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The migration finished on </w:t>
      </w:r>
      <w:r>
        <w:rPr>
          <w:b/>
        </w:rPr>
        <w:t>time</w:t>
      </w:r>
      <w:r>
        <w:rPr/>
        <w:t xml:space="preserve"> and under budget.</w:t>
      </w:r>
    </w:p>
    <w:p>
      <w:pPr>
        <w:pStyle w:val="Heading2"/>
        <w:bidi w:val="0"/>
        <w:jc w:val="left"/>
        <w:rPr/>
      </w:pPr>
      <w:r>
        <w:rPr/>
        <w:t>Risks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Vendor lock-in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Staff turnover</w:t>
      </w:r>
    </w:p>
    <w:tbl>
      <w:tblPr>
        <w:tblW w:w="178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976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Region</w:t>
            </w:r>
          </w:p>
        </w:tc>
        <w:tc>
          <w:tcPr>
            <w:tcW w:w="97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Revenue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1200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Café naïve — “quotes” </w:t>
      </w:r>
      <w:r>
        <w:rPr/>
        <w:t>日本語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