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4E79"/>
          <w:sz w:val="32"/>
          <w:szCs w:val="32"/>
        </w:rPr>
        <w:t xml:space="preserve">CISCO NSO</w:t>
      </w:r>
    </w:p>
    <w:p>
      <w:pPr>
        <w:pBdr>
          <w:bottom w:val="single" w:color="1F4E79" w:sz="8"/>
        </w:pBdr>
        <w:spacing w:after="200" w:before="200"/>
        <w:jc w:val="center"/>
      </w:pPr>
      <w:r>
        <w:rPr>
          <w:b/>
          <w:bCs/>
          <w:color w:val="1F4E79"/>
          <w:sz w:val="32"/>
          <w:szCs w:val="32"/>
        </w:rPr>
        <w:t xml:space="preserve">End-to-End Acceptance Test Procedure Document</w:t>
      </w:r>
    </w:p>
    <w:p>
      <w:pPr>
        <w:spacing w:before="400"/>
        <w:jc w:val="center"/>
      </w:pPr>
      <w:r>
        <w:rPr>
          <w:b/>
          <w:bCs/>
          <w:color w:val="1F4E79"/>
          <w:sz w:val="22"/>
          <w:szCs w:val="22"/>
        </w:rPr>
        <w:t xml:space="preserve">Environment: 172.28.2.17 (CFS) | 172.28.2.18 (RFS) | LSA Deployment (RFS/CFS)</w:t>
      </w:r>
    </w:p>
    <w:p>
      <w:pPr>
        <w:spacing w:before="200"/>
        <w:jc w:val="center"/>
      </w:pPr>
      <w:r>
        <w:rPr>
          <w:b/>
          <w:bCs/>
          <w:color w:val="1F4E79"/>
          <w:sz w:val="22"/>
          <w:szCs w:val="22"/>
        </w:rPr>
        <w:t xml:space="preserve">Telangana Fiber Grid Corporation Ltd. (T-FIBER)</w:t>
      </w:r>
    </w:p>
    <w:p>
      <w:pPr>
        <w:jc w:val="center"/>
      </w:pPr>
      <w:r>
        <w:rPr>
          <w:b/>
          <w:bCs/>
          <w:color w:val="1F4E79"/>
          <w:sz w:val="22"/>
          <w:szCs w:val="22"/>
        </w:rPr>
        <w:t xml:space="preserve">Government of Telangana</w:t>
      </w:r>
    </w:p>
    <w:p>
      <w:pPr>
        <w:spacing w:before="800"/>
        <w:jc w:val="center"/>
      </w:pPr>
      <w:r>
        <w:rPr>
          <w:color w:val="1F4E79"/>
          <w:sz w:val="22"/>
          <w:szCs w:val="22"/>
        </w:rPr>
        <w:t xml:space="preserve">JULY 07, 2026</w:t>
      </w:r>
    </w:p>
    <w:p>
      <w:r>
        <w:br w:type="page"/>
      </w:r>
    </w:p>
    <w:p>
      <w:pPr>
        <w:pStyle w:val="Heading1"/>
      </w:pPr>
      <w:r>
        <w:t xml:space="preserve">Revision History</w:t>
      </w:r>
    </w:p>
    <w:tbl>
      <w:tblPr>
        <w:tblW w:type="dxa" w:w="11000"/>
        <w:tblBorders>
          <w:top w:val="single" w:color="000000" w:sz="4"/>
          <w:left w:val="single" w:color="000000" w:sz="4"/>
          <w:bottom w:val="single" w:color="000000" w:sz="4"/>
          <w:right w:val="single" w:color="000000" w:sz="4"/>
          <w:insideH w:val="single" w:color="000000" w:sz="4"/>
          <w:insideV w:val="single" w:color="000000" w:sz="4"/>
        </w:tblBorders>
      </w:tblPr>
      <w:tblGrid>
        <w:gridCol w:w="1000"/>
        <w:gridCol w:w="1400"/>
        <w:gridCol w:w="4000"/>
        <w:gridCol w:w="1500"/>
        <w:gridCol w:w="1500"/>
        <w:gridCol w:w="1600"/>
      </w:tblGrid>
      <w:tr>
        <w:trPr>
          <w:tblHeader/>
        </w:trPr>
        <w:tc>
          <w:tcPr>
            <w:tcW w:type="dxa" w:w="1000"/>
            <w:shd w:fill="D9E2F3" w:val="clear"/>
          </w:tcPr>
          <w:p>
            <w:pPr>
              <w:jc w:val="center"/>
            </w:pPr>
            <w:r>
              <w:rPr>
                <w:b/>
                <w:bCs/>
                <w:sz w:val="18"/>
                <w:szCs w:val="18"/>
              </w:rPr>
              <w:t xml:space="preserve">Revision No.</w:t>
            </w:r>
          </w:p>
        </w:tc>
        <w:tc>
          <w:tcPr>
            <w:tcW w:type="dxa" w:w="1400"/>
            <w:shd w:fill="D9E2F3" w:val="clear"/>
          </w:tcPr>
          <w:p>
            <w:pPr>
              <w:jc w:val="center"/>
            </w:pPr>
            <w:r>
              <w:rPr>
                <w:b/>
                <w:bCs/>
                <w:sz w:val="18"/>
                <w:szCs w:val="18"/>
              </w:rPr>
              <w:t xml:space="preserve">Date of Submission</w:t>
            </w:r>
          </w:p>
        </w:tc>
        <w:tc>
          <w:tcPr>
            <w:tcW w:type="dxa" w:w="4000"/>
            <w:shd w:fill="D9E2F3" w:val="clear"/>
          </w:tcPr>
          <w:p>
            <w:pPr>
              <w:jc w:val="center"/>
            </w:pPr>
            <w:r>
              <w:rPr>
                <w:b/>
                <w:bCs/>
                <w:sz w:val="18"/>
                <w:szCs w:val="18"/>
              </w:rPr>
              <w:t xml:space="preserve">Description of Revision</w:t>
            </w:r>
          </w:p>
        </w:tc>
        <w:tc>
          <w:tcPr>
            <w:tcW w:type="dxa" w:w="1500"/>
            <w:shd w:fill="D9E2F3" w:val="clear"/>
          </w:tcPr>
          <w:p>
            <w:pPr>
              <w:jc w:val="center"/>
            </w:pPr>
            <w:r>
              <w:rPr>
                <w:b/>
                <w:bCs/>
                <w:sz w:val="18"/>
                <w:szCs w:val="18"/>
              </w:rPr>
              <w:t xml:space="preserve">Prepared By</w:t>
            </w:r>
          </w:p>
        </w:tc>
        <w:tc>
          <w:tcPr>
            <w:tcW w:type="dxa" w:w="1500"/>
            <w:shd w:fill="D9E2F3" w:val="clear"/>
          </w:tcPr>
          <w:p>
            <w:pPr>
              <w:jc w:val="center"/>
            </w:pPr>
            <w:r>
              <w:rPr>
                <w:b/>
                <w:bCs/>
                <w:sz w:val="18"/>
                <w:szCs w:val="18"/>
              </w:rPr>
              <w:t xml:space="preserve">Date of submission for Review</w:t>
            </w:r>
          </w:p>
        </w:tc>
        <w:tc>
          <w:tcPr>
            <w:tcW w:type="dxa" w:w="1600"/>
            <w:shd w:fill="D9E2F3" w:val="clear"/>
          </w:tcPr>
          <w:p>
            <w:pPr>
              <w:jc w:val="center"/>
            </w:pPr>
            <w:r>
              <w:rPr>
                <w:b/>
                <w:bCs/>
                <w:sz w:val="18"/>
                <w:szCs w:val="18"/>
              </w:rPr>
              <w:t xml:space="preserve">Review completed Date</w:t>
            </w:r>
          </w:p>
        </w:tc>
      </w:tr>
      <w:tr>
        <w:tc>
          <w:tcPr>
            <w:tcW w:type="dxa" w:w="1000"/>
          </w:tcPr>
          <w:p>
            <w:pPr>
              <w:jc w:val="center"/>
            </w:pPr>
            <w:r>
              <w:rPr>
                <w:sz w:val="18"/>
                <w:szCs w:val="18"/>
              </w:rPr>
              <w:t xml:space="preserve">1.0</w:t>
            </w:r>
          </w:p>
        </w:tc>
        <w:tc>
          <w:tcPr>
            <w:tcW w:type="dxa" w:w="1400"/>
          </w:tcPr>
          <w:p>
            <w:pPr>
              <w:jc w:val="center"/>
            </w:pPr>
            <w:r>
              <w:rPr>
                <w:sz w:val="18"/>
                <w:szCs w:val="18"/>
              </w:rPr>
              <w:t xml:space="preserve">07th Jul26</w:t>
            </w:r>
          </w:p>
        </w:tc>
        <w:tc>
          <w:tcPr>
            <w:tcW w:type="dxa" w:w="4000"/>
          </w:tcPr>
          <w:p>
            <w:pPr>
              <w:jc w:val="center"/>
            </w:pPr>
            <w:r>
              <w:rPr>
                <w:sz w:val="18"/>
                <w:szCs w:val="18"/>
              </w:rPr>
              <w:t xml:space="preserve">Initial Version - Reformatted to standard ATP template with CLI/UI test case structure</w:t>
            </w:r>
          </w:p>
        </w:tc>
        <w:tc>
          <w:tcPr>
            <w:tcW w:type="dxa" w:w="1500"/>
          </w:tcPr>
          <w:p>
            <w:pPr>
              <w:jc w:val="center"/>
            </w:pPr>
            <w:r>
              <w:rPr>
                <w:sz w:val="18"/>
                <w:szCs w:val="18"/>
              </w:rPr>
              <w:t xml:space="preserve">L&amp;T</w:t>
            </w:r>
          </w:p>
        </w:tc>
        <w:tc>
          <w:tcPr>
            <w:tcW w:type="dxa" w:w="1500"/>
          </w:tcPr>
          <w:p>
            <w:pPr>
              <w:jc w:val="center"/>
            </w:pPr>
            <w:r>
              <w:rPr>
                <w:sz w:val="18"/>
                <w:szCs w:val="18"/>
              </w:rPr>
              <w:t xml:space="preserve">07-07-2026</w:t>
            </w:r>
          </w:p>
        </w:tc>
        <w:tc>
          <w:tcPr>
            <w:tcW w:type="dxa" w:w="1600"/>
          </w:tcPr>
          <w:p>
            <w:pPr>
              <w:jc w:val="center"/>
            </w:pPr>
            <w:r>
              <w:rPr>
                <w:sz w:val="18"/>
                <w:szCs w:val="18"/>
              </w:rPr>
              <w:t xml:space="preserve"/>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200"/>
      </w:pPr>
      <w:r>
        <w:t xml:space="preserve">This acceptance test report confirms that the Cisco NSO (Network Services Orchestrator) platform has been installed, configured, and verified end-to-end for the T-Fiber network. NSO is the automation system that allows the network team to set up and manage customer internet/fibre connections without manual, device-by-device configuration.</w:t>
      </w:r>
    </w:p>
    <w:p>
      <w:pPr>
        <w:spacing w:after="200"/>
      </w:pPr>
      <w:r>
        <w:t xml:space="preserve">A complete acceptance test was carried out - from confirming the system is running, through submitting a real customer service order, to confirming the physical field device was activated and the order could be safely removed. Every check passed. Test cases are grouped into CLI-based verification (performed directly on the NSO command interface) followed by UI-based verification (performed on the CFS/RFS web dashboards and the Tejas EMS field management application).</w:t>
      </w:r>
    </w:p>
    <w:p>
      <w:pPr>
        <w:pStyle w:val="Heading2"/>
        <w:spacing w:before="200"/>
      </w:pPr>
      <w:r>
        <w:t xml:space="preserve">Site / Node Details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00"/>
      </w:tblGrid>
      <w:tr>
        <w:tc>
          <w:tcPr>
            <w:tcW w:type="dxa" w:w="3000"/>
            <w:shd w:fill="F2F2F2" w:val="clear"/>
          </w:tcPr>
          <w:p>
            <w:r>
              <w:rPr>
                <w:b/>
                <w:bCs/>
                <w:sz w:val="20"/>
                <w:szCs w:val="20"/>
              </w:rPr>
              <w:t xml:space="preserve">Environment</w:t>
            </w:r>
          </w:p>
        </w:tc>
        <w:tc>
          <w:tcPr>
            <w:tcW w:type="dxa" w:w="6000"/>
          </w:tcPr>
          <w:p>
            <w:r>
              <w:rPr>
                <w:sz w:val="20"/>
                <w:szCs w:val="20"/>
              </w:rPr>
              <w:t xml:space="preserve">172.28.2.17 (CFS - Customer Facing Service)</w:t>
            </w:r>
          </w:p>
        </w:tc>
      </w:tr>
      <w:tr>
        <w:tc>
          <w:tcPr>
            <w:tcW w:type="dxa" w:w="3000"/>
            <w:shd w:fill="F2F2F2" w:val="clear"/>
          </w:tcPr>
          <w:p>
            <w:r>
              <w:rPr>
                <w:b/>
                <w:bCs/>
                <w:sz w:val="20"/>
                <w:szCs w:val="20"/>
              </w:rPr>
              <w:t xml:space="preserve">RFS Node</w:t>
            </w:r>
          </w:p>
        </w:tc>
        <w:tc>
          <w:tcPr>
            <w:tcW w:type="dxa" w:w="6000"/>
          </w:tcPr>
          <w:p>
            <w:r>
              <w:rPr>
                <w:sz w:val="20"/>
                <w:szCs w:val="20"/>
              </w:rPr>
              <w:t xml:space="preserve">172.28.2.18 (RFS - Resource Facing Service)</w:t>
            </w:r>
          </w:p>
        </w:tc>
      </w:tr>
      <w:tr>
        <w:tc>
          <w:tcPr>
            <w:tcW w:type="dxa" w:w="3000"/>
            <w:shd w:fill="F2F2F2" w:val="clear"/>
          </w:tcPr>
          <w:p>
            <w:r>
              <w:rPr>
                <w:b/>
                <w:bCs/>
                <w:sz w:val="20"/>
                <w:szCs w:val="20"/>
              </w:rPr>
              <w:t xml:space="preserve">Cluster Nodes</w:t>
            </w:r>
          </w:p>
        </w:tc>
        <w:tc>
          <w:tcPr>
            <w:tcW w:type="dxa" w:w="6000"/>
          </w:tcPr>
          <w:p>
            <w:r>
              <w:rPr>
                <w:sz w:val="20"/>
                <w:szCs w:val="20"/>
              </w:rPr>
              <w:t xml:space="preserve">RFS-18, RFS-19, RFS-20</w:t>
            </w:r>
          </w:p>
        </w:tc>
      </w:tr>
      <w:tr>
        <w:tc>
          <w:tcPr>
            <w:tcW w:type="dxa" w:w="3000"/>
            <w:shd w:fill="F2F2F2" w:val="clear"/>
          </w:tcPr>
          <w:p>
            <w:r>
              <w:rPr>
                <w:b/>
                <w:bCs/>
                <w:sz w:val="20"/>
                <w:szCs w:val="20"/>
              </w:rPr>
              <w:t xml:space="preserve">Deployment Type</w:t>
            </w:r>
          </w:p>
        </w:tc>
        <w:tc>
          <w:tcPr>
            <w:tcW w:type="dxa" w:w="6000"/>
          </w:tcPr>
          <w:p>
            <w:r>
              <w:rPr>
                <w:sz w:val="20"/>
                <w:szCs w:val="20"/>
              </w:rPr>
              <w:t xml:space="preserve">LSA (Layered Service Architecture) - RFS/CFS</w:t>
            </w:r>
          </w:p>
        </w:tc>
      </w:tr>
      <w:tr>
        <w:tc>
          <w:tcPr>
            <w:tcW w:type="dxa" w:w="3000"/>
            <w:shd w:fill="F2F2F2" w:val="clear"/>
          </w:tcPr>
          <w:p>
            <w:r>
              <w:rPr>
                <w:b/>
                <w:bCs/>
                <w:sz w:val="20"/>
                <w:szCs w:val="20"/>
              </w:rPr>
              <w:t xml:space="preserve">Field Management System</w:t>
            </w:r>
          </w:p>
        </w:tc>
        <w:tc>
          <w:tcPr>
            <w:tcW w:type="dxa" w:w="6000"/>
          </w:tcPr>
          <w:p>
            <w:r>
              <w:rPr>
                <w:sz w:val="20"/>
                <w:szCs w:val="20"/>
              </w:rPr>
              <w:t xml:space="preserve">Tejas EMS</w:t>
            </w:r>
          </w:p>
        </w:tc>
      </w:tr>
    </w:tbl>
    <w:p>
      <w:r>
        <w:br w:type="page"/>
      </w:r>
    </w:p>
    <w:p>
      <w:pPr>
        <w:pStyle w:val="Heading1"/>
      </w:pPr>
      <w:r>
        <w:t xml:space="preserve">2 Test Cases</w:t>
      </w:r>
    </w:p>
    <w:p>
      <w:pPr>
        <w:pStyle w:val="Heading2"/>
        <w:spacing w:before="200"/>
      </w:pPr>
      <w:r>
        <w:t xml:space="preserve">2.1 Test Results Summary</w:t>
      </w:r>
    </w:p>
    <w:p>
      <w:pPr>
        <w:spacing w:after="150"/>
      </w:pPr>
      <w:r>
        <w:t xml:space="preserve">The table below summarizes each verification step performed and its outcome. Full technical evidence (screenshots) for each step is provided in the corresponding test case in Section 2.2 (CLI-based checks) and Section 2.3 (UI-based checks).</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400"/>
        <w:gridCol w:w="5500"/>
        <w:gridCol w:w="1500"/>
      </w:tblGrid>
      <w:tr>
        <w:trPr>
          <w:tblHeader/>
        </w:trPr>
        <w:tc>
          <w:tcPr>
            <w:tcW w:type="dxa" w:w="600"/>
            <w:shd w:fill="D9E2F3" w:val="clear"/>
          </w:tcPr>
          <w:p>
            <w:pPr>
              <w:jc w:val="center"/>
            </w:pPr>
            <w:r>
              <w:rPr>
                <w:b/>
                <w:bCs/>
                <w:sz w:val="20"/>
                <w:szCs w:val="20"/>
              </w:rPr>
              <w:t xml:space="preserve">#</w:t>
            </w:r>
          </w:p>
        </w:tc>
        <w:tc>
          <w:tcPr>
            <w:tcW w:type="dxa" w:w="2400"/>
            <w:shd w:fill="D9E2F3" w:val="clear"/>
          </w:tcPr>
          <w:p>
            <w:pPr>
              <w:jc w:val="center"/>
            </w:pPr>
            <w:r>
              <w:rPr>
                <w:b/>
                <w:bCs/>
                <w:sz w:val="20"/>
                <w:szCs w:val="20"/>
              </w:rPr>
              <w:t xml:space="preserve">Checkpoint</w:t>
            </w:r>
          </w:p>
        </w:tc>
        <w:tc>
          <w:tcPr>
            <w:tcW w:type="dxa" w:w="5500"/>
            <w:shd w:fill="D9E2F3" w:val="clear"/>
          </w:tcPr>
          <w:p>
            <w:pPr>
              <w:jc w:val="center"/>
            </w:pPr>
            <w:r>
              <w:rPr>
                <w:b/>
                <w:bCs/>
                <w:sz w:val="20"/>
                <w:szCs w:val="20"/>
              </w:rPr>
              <w:t xml:space="preserve">What It Confirms</w:t>
            </w:r>
          </w:p>
        </w:tc>
        <w:tc>
          <w:tcPr>
            <w:tcW w:type="dxa" w:w="1500"/>
            <w:shd w:fill="D9E2F3" w:val="clear"/>
          </w:tcPr>
          <w:p>
            <w:pPr>
              <w:jc w:val="center"/>
            </w:pPr>
            <w:r>
              <w:rPr>
                <w:b/>
                <w:bCs/>
                <w:sz w:val="20"/>
                <w:szCs w:val="20"/>
              </w:rPr>
              <w:t xml:space="preserve">Result</w:t>
            </w:r>
          </w:p>
        </w:tc>
      </w:tr>
      <w:tr>
        <w:tc>
          <w:tcPr>
            <w:tcW w:type="dxa" w:w="600"/>
          </w:tcPr>
          <w:p>
            <w:pPr>
              <w:jc w:val="center"/>
            </w:pPr>
            <w:r>
              <w:rPr>
                <w:b/>
                <w:bCs/>
                <w:sz w:val="20"/>
                <w:szCs w:val="20"/>
              </w:rPr>
              <w:t xml:space="preserve">1</w:t>
            </w:r>
          </w:p>
        </w:tc>
        <w:tc>
          <w:tcPr>
            <w:tcW w:type="dxa" w:w="2400"/>
          </w:tcPr>
          <w:p>
            <w:r>
              <w:rPr>
                <w:b/>
                <w:bCs/>
                <w:sz w:val="20"/>
                <w:szCs w:val="20"/>
              </w:rPr>
              <w:t xml:space="preserve">System Health Check</w:t>
            </w:r>
          </w:p>
        </w:tc>
        <w:tc>
          <w:tcPr>
            <w:tcW w:type="dxa" w:w="5500"/>
          </w:tcPr>
          <w:p>
            <w:r>
              <w:rPr>
                <w:sz w:val="20"/>
                <w:szCs w:val="20"/>
              </w:rPr>
              <w:t xml:space="preserve">Confirmed the orchestration platform (NSO) is running and available.</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2</w:t>
            </w:r>
          </w:p>
        </w:tc>
        <w:tc>
          <w:tcPr>
            <w:tcW w:type="dxa" w:w="2400"/>
          </w:tcPr>
          <w:p>
            <w:r>
              <w:rPr>
                <w:b/>
                <w:bCs/>
                <w:sz w:val="20"/>
                <w:szCs w:val="20"/>
              </w:rPr>
              <w:t xml:space="preserve">Administrator Access</w:t>
            </w:r>
          </w:p>
        </w:tc>
        <w:tc>
          <w:tcPr>
            <w:tcW w:type="dxa" w:w="5500"/>
          </w:tcPr>
          <w:p>
            <w:r>
              <w:rPr>
                <w:sz w:val="20"/>
                <w:szCs w:val="20"/>
              </w:rPr>
              <w:t xml:space="preserve">Confirmed authorized staff can securely log in to the system.</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3</w:t>
            </w:r>
          </w:p>
        </w:tc>
        <w:tc>
          <w:tcPr>
            <w:tcW w:type="dxa" w:w="2400"/>
          </w:tcPr>
          <w:p>
            <w:r>
              <w:rPr>
                <w:b/>
                <w:bCs/>
                <w:sz w:val="20"/>
                <w:szCs w:val="20"/>
              </w:rPr>
              <w:t xml:space="preserve">Network Device Connectivity</w:t>
            </w:r>
          </w:p>
        </w:tc>
        <w:tc>
          <w:tcPr>
            <w:tcW w:type="dxa" w:w="5500"/>
          </w:tcPr>
          <w:p>
            <w:r>
              <w:rPr>
                <w:sz w:val="20"/>
                <w:szCs w:val="20"/>
              </w:rPr>
              <w:t xml:space="preserve">Confirmed the platform can reach and communicate with field network devices (OLTs).</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4</w:t>
            </w:r>
          </w:p>
        </w:tc>
        <w:tc>
          <w:tcPr>
            <w:tcW w:type="dxa" w:w="2400"/>
          </w:tcPr>
          <w:p>
            <w:r>
              <w:rPr>
                <w:b/>
                <w:bCs/>
                <w:sz w:val="20"/>
                <w:szCs w:val="20"/>
              </w:rPr>
              <w:t xml:space="preserve">Automation Package Check</w:t>
            </w:r>
          </w:p>
        </w:tc>
        <w:tc>
          <w:tcPr>
            <w:tcW w:type="dxa" w:w="5500"/>
          </w:tcPr>
          <w:p>
            <w:r>
              <w:rPr>
                <w:sz w:val="20"/>
                <w:szCs w:val="20"/>
              </w:rPr>
              <w:t xml:space="preserve">Confirmed the provisioning automation package is correctly installed and active.</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5</w:t>
            </w:r>
          </w:p>
        </w:tc>
        <w:tc>
          <w:tcPr>
            <w:tcW w:type="dxa" w:w="2400"/>
          </w:tcPr>
          <w:p>
            <w:r>
              <w:rPr>
                <w:b/>
                <w:bCs/>
                <w:sz w:val="20"/>
                <w:szCs w:val="20"/>
              </w:rPr>
              <w:t xml:space="preserve">Service Order Submission</w:t>
            </w:r>
          </w:p>
        </w:tc>
        <w:tc>
          <w:tcPr>
            <w:tcW w:type="dxa" w:w="5500"/>
          </w:tcPr>
          <w:p>
            <w:r>
              <w:rPr>
                <w:sz w:val="20"/>
                <w:szCs w:val="20"/>
              </w:rPr>
              <w:t xml:space="preserve">A real customer service order (fibre connection setup) was submitted for processing.</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6</w:t>
            </w:r>
          </w:p>
        </w:tc>
        <w:tc>
          <w:tcPr>
            <w:tcW w:type="dxa" w:w="2400"/>
          </w:tcPr>
          <w:p>
            <w:r>
              <w:rPr>
                <w:b/>
                <w:bCs/>
                <w:sz w:val="20"/>
                <w:szCs w:val="20"/>
              </w:rPr>
              <w:t xml:space="preserve">Order Processing</w:t>
            </w:r>
          </w:p>
        </w:tc>
        <w:tc>
          <w:tcPr>
            <w:tcW w:type="dxa" w:w="5500"/>
          </w:tcPr>
          <w:p>
            <w:r>
              <w:rPr>
                <w:sz w:val="20"/>
                <w:szCs w:val="20"/>
              </w:rPr>
              <w:t xml:space="preserve">The order was processed and committed successfully with no errors.</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7</w:t>
            </w:r>
          </w:p>
        </w:tc>
        <w:tc>
          <w:tcPr>
            <w:tcW w:type="dxa" w:w="2400"/>
          </w:tcPr>
          <w:p>
            <w:r>
              <w:rPr>
                <w:b/>
                <w:bCs/>
                <w:sz w:val="20"/>
                <w:szCs w:val="20"/>
              </w:rPr>
              <w:t xml:space="preserve">Audit Log Verification</w:t>
            </w:r>
          </w:p>
        </w:tc>
        <w:tc>
          <w:tcPr>
            <w:tcW w:type="dxa" w:w="5500"/>
          </w:tcPr>
          <w:p>
            <w:r>
              <w:rPr>
                <w:sz w:val="20"/>
                <w:szCs w:val="20"/>
              </w:rPr>
              <w:t xml:space="preserve">System logs correctly recorded the full transaction for traceability.</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8</w:t>
            </w:r>
          </w:p>
        </w:tc>
        <w:tc>
          <w:tcPr>
            <w:tcW w:type="dxa" w:w="2400"/>
          </w:tcPr>
          <w:p>
            <w:r>
              <w:rPr>
                <w:b/>
                <w:bCs/>
                <w:sz w:val="20"/>
                <w:szCs w:val="20"/>
              </w:rPr>
              <w:t xml:space="preserve">Web Portal Verification</w:t>
            </w:r>
          </w:p>
        </w:tc>
        <w:tc>
          <w:tcPr>
            <w:tcW w:type="dxa" w:w="5500"/>
          </w:tcPr>
          <w:p>
            <w:r>
              <w:rPr>
                <w:sz w:val="20"/>
                <w:szCs w:val="20"/>
              </w:rPr>
              <w:t xml:space="preserve">The committed order was confirmed visible in both business and network-facing web dashboards.</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9</w:t>
            </w:r>
          </w:p>
        </w:tc>
        <w:tc>
          <w:tcPr>
            <w:tcW w:type="dxa" w:w="2400"/>
          </w:tcPr>
          <w:p>
            <w:r>
              <w:rPr>
                <w:b/>
                <w:bCs/>
                <w:sz w:val="20"/>
                <w:szCs w:val="20"/>
              </w:rPr>
              <w:t xml:space="preserve">Field Device Provisioning</w:t>
            </w:r>
          </w:p>
        </w:tc>
        <w:tc>
          <w:tcPr>
            <w:tcW w:type="dxa" w:w="5500"/>
          </w:tcPr>
          <w:p>
            <w:r>
              <w:rPr>
                <w:sz w:val="20"/>
                <w:szCs w:val="20"/>
              </w:rPr>
              <w:t xml:space="preserve">Confirmed the physical field device (OLT) was actually configured to activate service.</w:t>
            </w:r>
          </w:p>
        </w:tc>
        <w:tc>
          <w:tcPr>
            <w:tcW w:type="dxa" w:w="1500"/>
          </w:tcPr>
          <w:p>
            <w:pPr>
              <w:jc w:val="center"/>
            </w:pPr>
            <w:r>
              <w:rPr>
                <w:b/>
                <w:bCs/>
                <w:sz w:val="20"/>
                <w:szCs w:val="20"/>
              </w:rPr>
              <w:t xml:space="preserve">PASS</w:t>
            </w:r>
          </w:p>
        </w:tc>
      </w:tr>
      <w:tr>
        <w:tc>
          <w:tcPr>
            <w:tcW w:type="dxa" w:w="600"/>
          </w:tcPr>
          <w:p>
            <w:pPr>
              <w:jc w:val="center"/>
            </w:pPr>
            <w:r>
              <w:rPr>
                <w:b/>
                <w:bCs/>
                <w:sz w:val="20"/>
                <w:szCs w:val="20"/>
              </w:rPr>
              <w:t xml:space="preserve">10</w:t>
            </w:r>
          </w:p>
        </w:tc>
        <w:tc>
          <w:tcPr>
            <w:tcW w:type="dxa" w:w="2400"/>
          </w:tcPr>
          <w:p>
            <w:r>
              <w:rPr>
                <w:b/>
                <w:bCs/>
                <w:sz w:val="20"/>
                <w:szCs w:val="20"/>
              </w:rPr>
              <w:t xml:space="preserve">Delete</w:t>
            </w:r>
          </w:p>
        </w:tc>
        <w:tc>
          <w:tcPr>
            <w:tcW w:type="dxa" w:w="5500"/>
          </w:tcPr>
          <w:p>
            <w:r>
              <w:rPr>
                <w:sz w:val="20"/>
                <w:szCs w:val="20"/>
              </w:rPr>
              <w:t xml:space="preserve">Confirmed the system can cleanly remove a service order, proving safe rollback capability.</w:t>
            </w:r>
          </w:p>
        </w:tc>
        <w:tc>
          <w:tcPr>
            <w:tcW w:type="dxa" w:w="1500"/>
          </w:tcPr>
          <w:p>
            <w:pPr>
              <w:jc w:val="center"/>
            </w:pPr>
            <w:r>
              <w:rPr>
                <w:b/>
                <w:bCs/>
                <w:sz w:val="20"/>
                <w:szCs w:val="20"/>
              </w:rPr>
              <w:t xml:space="preserve">PASS</w:t>
            </w:r>
          </w:p>
        </w:tc>
      </w:tr>
    </w:tbl>
    <w:p>
      <w:r>
        <w:br w:type="page"/>
      </w:r>
    </w:p>
    <w:p>
      <w:pPr>
        <w:pStyle w:val="Heading2"/>
      </w:pPr>
      <w:r>
        <w:t xml:space="preserve">2.2 CLI-Based Test Cases</w:t>
      </w:r>
    </w:p>
    <w:p>
      <w:pPr>
        <w:spacing w:after="150"/>
      </w:pPr>
      <w:r>
        <w:t xml:space="preserve">These test cases are performed directly on the NSO command-line interface (CLI) and validate the platform, its connectivity, and its provisioning logic before any web-facing verification is attempted.</w:t>
      </w:r>
    </w:p>
    <w:p>
      <w:pPr>
        <w:pStyle w:val="Heading2"/>
        <w:spacing w:after="120" w:before="300"/>
      </w:pPr>
      <w:r>
        <w:rPr>
          <w:b/>
          <w:bCs/>
        </w:rPr>
        <w:t xml:space="preserve">Test Case 1: System Health Check</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Verify that the NSO orchestration platform is up and running, and confirm the installed software version.</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A system-level health check is performed first because every later step - device connectivity, package status, order processing - depends on the platform being available. Running this check first isolates platform-level issues from service-level issues, so a failure later in the sequence can be attributed correctly.</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Login to the NSO server via SSH.
2. Run 'ncs --status' (or enter the NSO CLI with 'ncs_cli' and run 'show ncs-state').
3. Verify the process is reported as running and the installed NSO version is displayed.</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NSO reports a running/up state and returns its installed version with no errors.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NSO status check confirming the platform is running.</w:t>
            </w:r>
          </w:p>
          <w:p>
            <w:pPr>
              <w:spacing w:after="100"/>
              <w:jc w:val="center"/>
            </w:pPr>
            <w:r>
              <w:drawing>
                <wp:inline distT="0" distB="0" distL="0" distR="0">
                  <wp:extent cx="51244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24450" cy="1181100"/>
                          </a:xfrm>
                          <a:prstGeom prst="rect">
                            <a:avLst/>
                          </a:prstGeom>
                        </pic:spPr>
                      </pic:pic>
                    </a:graphicData>
                  </a:graphic>
                </wp:inline>
              </w:drawing>
            </w:r>
          </w:p>
        </w:tc>
      </w:tr>
    </w:tbl>
    <w:p>
      <w:pPr>
        <w:spacing w:after="200"/>
      </w:pPr>
    </w:p>
    <w:p>
      <w:pPr>
        <w:pStyle w:val="Heading2"/>
        <w:spacing w:after="120" w:before="300"/>
      </w:pPr>
      <w:r>
        <w:rPr>
          <w:b/>
          <w:bCs/>
        </w:rPr>
        <w:t xml:space="preserve">Test Case 2: Administrator Access</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Verify that an authorized administrator can securely log in to the NSO command interface.</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Confirms that access control is functioning as intended - only credentialed staff can reach the platform's command interface - before any configuration activity is attempted. This protects the network from unauthorized or accidental changes.</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Connect to the NSO CLI using administrator credentials ('ncs_cli -u admin').
2. Confirm the CLI prompt is reached in operational/configuration mode.</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administrator logs in successfully and reaches the NSO CLI prompt without error.</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Administrator logging into the NSO CLI.</w:t>
            </w:r>
          </w:p>
          <w:p>
            <w:pPr>
              <w:spacing w:after="100"/>
              <w:jc w:val="center"/>
            </w:pPr>
            <w:r>
              <w:drawing>
                <wp:inline distT="0" distB="0" distL="0" distR="0">
                  <wp:extent cx="512445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4450" cy="2324100"/>
                          </a:xfrm>
                          <a:prstGeom prst="rect">
                            <a:avLst/>
                          </a:prstGeom>
                        </pic:spPr>
                      </pic:pic>
                    </a:graphicData>
                  </a:graphic>
                </wp:inline>
              </w:drawing>
            </w:r>
          </w:p>
        </w:tc>
      </w:tr>
    </w:tbl>
    <w:p>
      <w:pPr>
        <w:spacing w:after="200"/>
      </w:pPr>
    </w:p>
    <w:p>
      <w:pPr>
        <w:pStyle w:val="Heading2"/>
        <w:spacing w:after="120" w:before="300"/>
      </w:pPr>
      <w:r>
        <w:rPr>
          <w:b/>
          <w:bCs/>
        </w:rPr>
        <w:t xml:space="preserve">Test Case 3: Network Device Connectivity</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Verify that NSO can reach and communicate with the field network devices (OLTs) it manages, and confirm the RFS/CFS cluster nodes (RFS-18, RFS-19, RFS-20) report the expected role and administrative state.</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NSO can only provision or read from a device once connectivity to it is confirmed. Validating reachability - and confirming the cluster nodes are in the correct Leader/Follower role and Locked/Unlocked state - proves the automation has a working path to the field and a healthy cluster before it is asked to configure anything.</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From the NSO CLI, run 'show devices list' and 'show devices device &lt;name&gt; state' to confirm each managed device is reachable.
2. Run the equivalent cluster-status command to confirm the RFS/CFS node roles (Leader/Follower) and administrative state (Locked/Unlocked).</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All managed devices report reachable/connected, and the RFS/CFS cluster nodes report the expected Leader/Follower roles and Locked/Unlocked states.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Device connectivity list confirming reachable network devices. (Additional cluster Leader/Follower and Locked/Unlocked state evidence is provided in Annexure A.)</w:t>
            </w:r>
          </w:p>
          <w:p>
            <w:pPr>
              <w:spacing w:after="100"/>
              <w:jc w:val="center"/>
            </w:pPr>
            <w:r>
              <w:drawing>
                <wp:inline distT="0" distB="0" distL="0" distR="0">
                  <wp:extent cx="51244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895350"/>
                          </a:xfrm>
                          <a:prstGeom prst="rect">
                            <a:avLst/>
                          </a:prstGeom>
                        </pic:spPr>
                      </pic:pic>
                    </a:graphicData>
                  </a:graphic>
                </wp:inline>
              </w:drawing>
            </w:r>
          </w:p>
        </w:tc>
      </w:tr>
    </w:tbl>
    <w:p>
      <w:pPr>
        <w:spacing w:after="200"/>
      </w:pPr>
    </w:p>
    <w:p>
      <w:pPr>
        <w:pStyle w:val="Heading2"/>
        <w:spacing w:after="120" w:before="300"/>
      </w:pPr>
      <w:r>
        <w:rPr>
          <w:b/>
          <w:bCs/>
        </w:rPr>
        <w:t xml:space="preserve">Test Case 4: Automation Package Check</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Verify that the service provisioning automation package is correctly installed and in an operational (active) state on NSO.</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The automation package contains the logic that turns a service order into device configuration. If it is not loaded and active, order submission would either fail outright or silently do nothing, so this check confirms the automation logic itself is ready before it is exercised in the next steps.</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From the NSO CLI, run 'show packages package oper-status'.
2. Confirm the relevant service package(s) report an 'up'/enabled state with no load errors.</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automation package(s) show an active/operational status with no load errors.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Service package operational status - confirmed active.</w:t>
            </w:r>
          </w:p>
          <w:p>
            <w:pPr>
              <w:spacing w:after="100"/>
              <w:jc w:val="center"/>
            </w:pPr>
            <w:r>
              <w:drawing>
                <wp:inline distT="0" distB="0" distL="0" distR="0">
                  <wp:extent cx="51244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438400"/>
                          </a:xfrm>
                          <a:prstGeom prst="rect">
                            <a:avLst/>
                          </a:prstGeom>
                        </pic:spPr>
                      </pic:pic>
                    </a:graphicData>
                  </a:graphic>
                </wp:inline>
              </w:drawing>
            </w:r>
          </w:p>
        </w:tc>
      </w:tr>
    </w:tbl>
    <w:p>
      <w:pPr>
        <w:spacing w:after="200"/>
      </w:pPr>
    </w:p>
    <w:p>
      <w:pPr>
        <w:pStyle w:val="Heading2"/>
        <w:spacing w:after="120" w:before="300"/>
      </w:pPr>
      <w:r>
        <w:rPr>
          <w:b/>
          <w:bCs/>
        </w:rPr>
        <w:t xml:space="preserve">Test Case 5: Service Order Submission</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Submit a real customer service order (fibre connection setup) into NSO, containing the customer and connection details (device, package, VLAN, bandwidth profile, etc.).</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This is the core function under test - it proves that a realistic, end-user service can actually be requested through the automation platform, rather than only proving the platform is idle and healthy.</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From the NSO CLI, enter configuration mode ('configure').
2. Create the service instance with the required customer and connection parameters.
3. Run a dry-run/validate before committing to catch any input errors.</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service instance is accepted with no validation errors and is ready to commit.</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Evidence captured together with Test Case 6 (Order Processing) below.</w:t>
            </w:r>
          </w:p>
          <w:p>
            <w:r>
              <w:t xml:space="preserve"/>
            </w:r>
          </w:p>
          <w:p>
            <w:r>
              <w:t xml:space="preserve"/>
            </w:r>
          </w:p>
          <w:p>
            <w:r>
              <w:t xml:space="preserve"/>
            </w:r>
          </w:p>
          <w:p>
            <w:r>
              <w:t xml:space="preserve"/>
            </w:r>
          </w:p>
        </w:tc>
      </w:tr>
    </w:tbl>
    <w:p>
      <w:pPr>
        <w:spacing w:after="200"/>
      </w:pPr>
    </w:p>
    <w:p>
      <w:pPr>
        <w:pStyle w:val="Heading2"/>
        <w:spacing w:after="120" w:before="300"/>
      </w:pPr>
      <w:r>
        <w:rPr>
          <w:b/>
          <w:bCs/>
        </w:rPr>
        <w:t xml:space="preserve">Test Case 6: Order Processing</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Commit the submitted service order and confirm it is processed successfully with no errors.</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Submitting an order is not the same as it taking effect. This step proves the transaction actually completes and is pushed down to the network layer, which is the point at which the customer's service genuinely becomes provisionable.</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Run 'commit' from the NSO CLI (having reviewed 'commit dry-run' beforehand).
2. Observe the commit result / result summary for errors or warnings.</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commit completes successfully with no errors or warnings.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Confirmation that the order committed successfully.</w:t>
            </w:r>
          </w:p>
          <w:p>
            <w:pPr>
              <w:spacing w:after="100"/>
              <w:jc w:val="center"/>
            </w:pPr>
            <w:r>
              <w:drawing>
                <wp:inline distT="0" distB="0" distL="0" distR="0">
                  <wp:extent cx="51244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552450"/>
                          </a:xfrm>
                          <a:prstGeom prst="rect">
                            <a:avLst/>
                          </a:prstGeom>
                        </pic:spPr>
                      </pic:pic>
                    </a:graphicData>
                  </a:graphic>
                </wp:inline>
              </w:drawing>
            </w:r>
          </w:p>
        </w:tc>
      </w:tr>
    </w:tbl>
    <w:p>
      <w:pPr>
        <w:spacing w:after="200"/>
      </w:pPr>
    </w:p>
    <w:p>
      <w:pPr>
        <w:pStyle w:val="Heading2"/>
        <w:spacing w:after="120" w:before="300"/>
      </w:pPr>
      <w:r>
        <w:rPr>
          <w:b/>
          <w:bCs/>
        </w:rPr>
        <w:t xml:space="preserve">Test Case 7: Audit Log Verification</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Verify that the committed transaction is correctly recorded in the NSO audit log, including the acting user, timestamp, and change details.</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Traceability is a compliance and operational-support requirement - every change made through automation must be attributable to a user and a point in time so issues can be investigated after the fact. This step proves that logging is actually happening, rather than only being assumed.</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From the NSO CLI (or the NSO WebUI Audit Log view), query the audit trail for the committed transaction / Service ID.
2. Confirm the entry, acting user, and timestamp are present and accurate.</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transaction appears correctly and completely in the audit log.</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r>
              <w:t xml:space="preserve"/>
            </w:r>
          </w:p>
          <w:p>
            <w:r>
              <w:t xml:space="preserve"/>
            </w:r>
          </w:p>
          <w:p>
            <w:r>
              <w:t xml:space="preserve"/>
            </w:r>
          </w:p>
          <w:p>
            <w:r>
              <w:t xml:space="preserve"/>
            </w:r>
          </w:p>
        </w:tc>
      </w:tr>
    </w:tbl>
    <w:p>
      <w:pPr>
        <w:spacing w:after="200"/>
      </w:pPr>
    </w:p>
    <w:p>
      <w:r>
        <w:br w:type="page"/>
      </w:r>
    </w:p>
    <w:p>
      <w:pPr>
        <w:pStyle w:val="Heading2"/>
      </w:pPr>
      <w:r>
        <w:t xml:space="preserve">2.3 UI-Based Test Cases</w:t>
      </w:r>
    </w:p>
    <w:p>
      <w:pPr>
        <w:spacing w:after="150"/>
      </w:pPr>
      <w:r>
        <w:t xml:space="preserve">These test cases are performed on the web-facing systems - the CFS (172.28.2.17) and RFS (172.28.2.18) web dashboards and the Tejas EMS field management application - and validate that the automated changes made via the CLI are correctly reflected in the systems that business and field teams actually use day to day.</w:t>
      </w:r>
    </w:p>
    <w:p>
      <w:pPr>
        <w:pStyle w:val="Heading2"/>
        <w:spacing w:after="120" w:before="300"/>
      </w:pPr>
      <w:r>
        <w:rPr>
          <w:b/>
          <w:bCs/>
        </w:rPr>
        <w:t xml:space="preserve">Test Case 8: Web Portal Verification</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Confirm the committed service order is visible in both the business-facing (CFS, 172.28.2.17) and network-facing (RFS, 172.28.2.18) web dashboards.</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Field and back-office teams work primarily through the web dashboards rather than the CLI. This step confirms that what was created via automation is actually visible and searchable to those teams by Service ID, which is what matters for day-to-day operational usability.</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Log in to the CFS web portal (172.28.2.17).
2. Search for the committed Service ID and confirm it is present.
3. Log in to the RFS web portal (172.28.2.18) and repeat the search for the same Service ID.</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committed Service ID is visible and correctly represented on both the CFS and RFS web dashboards.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Committed service order confirmed in the CFS (172.28.2.17) and RFS (172.28.2.18) web dashboards by Service ID.</w:t>
            </w:r>
          </w:p>
          <w:p>
            <w:pPr>
              <w:spacing w:after="100"/>
              <w:jc w:val="center"/>
            </w:pPr>
            <w:r>
              <w:drawing>
                <wp:inline distT="0" distB="0" distL="0" distR="0">
                  <wp:extent cx="51244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524125"/>
                          </a:xfrm>
                          <a:prstGeom prst="rect">
                            <a:avLst/>
                          </a:prstGeom>
                        </pic:spPr>
                      </pic:pic>
                    </a:graphicData>
                  </a:graphic>
                </wp:inline>
              </w:drawing>
            </w:r>
          </w:p>
          <w:p>
            <w:pPr>
              <w:spacing w:after="100"/>
              <w:jc w:val="center"/>
            </w:pPr>
            <w:r>
              <w:drawing>
                <wp:inline distT="0" distB="0" distL="0" distR="0">
                  <wp:extent cx="51244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505075"/>
                          </a:xfrm>
                          <a:prstGeom prst="rect">
                            <a:avLst/>
                          </a:prstGeom>
                        </pic:spPr>
                      </pic:pic>
                    </a:graphicData>
                  </a:graphic>
                </wp:inline>
              </w:drawing>
            </w:r>
          </w:p>
        </w:tc>
      </w:tr>
    </w:tbl>
    <w:p>
      <w:pPr>
        <w:spacing w:after="200"/>
      </w:pPr>
    </w:p>
    <w:p>
      <w:pPr>
        <w:pStyle w:val="Heading2"/>
        <w:spacing w:after="120" w:before="300"/>
      </w:pPr>
      <w:r>
        <w:rPr>
          <w:b/>
          <w:bCs/>
        </w:rPr>
        <w:t xml:space="preserve">Test Case 9: Field Device Provisioning</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Confirm the physical field device (OLT) was actually configured to activate the service, as seen in the Tejas EMS field management system.</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This is the ultimate proof of end-to-end success - a service order and a committed transaction are only meaningful if they result in the physical OLT actually being configured to deliver the service to the customer.</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Log in to the Tejas EMS application.
2. Filter by the relevant ONT Serial Number.
3. Confirm the corresponding OLT service has been provisioned.</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OLT/ONT service is shown as provisioned/active in Tejas EMS.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OLT provisioning confirmed in the Tejas EMS field management system, filtered by ONT Serial Number.</w:t>
            </w:r>
          </w:p>
          <w:p>
            <w:pPr>
              <w:spacing w:after="100"/>
              <w:jc w:val="center"/>
            </w:pPr>
            <w:r>
              <w:drawing>
                <wp:inline distT="0" distB="0" distL="0" distR="0">
                  <wp:extent cx="51244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24450" cy="2524125"/>
                          </a:xfrm>
                          <a:prstGeom prst="rect">
                            <a:avLst/>
                          </a:prstGeom>
                        </pic:spPr>
                      </pic:pic>
                    </a:graphicData>
                  </a:graphic>
                </wp:inline>
              </w:drawing>
            </w:r>
          </w:p>
        </w:tc>
      </w:tr>
    </w:tbl>
    <w:p>
      <w:pPr>
        <w:spacing w:after="200"/>
      </w:pPr>
    </w:p>
    <w:p>
      <w:pPr>
        <w:pStyle w:val="Heading2"/>
        <w:spacing w:after="120" w:before="300"/>
      </w:pPr>
      <w:r>
        <w:rPr>
          <w:b/>
          <w:bCs/>
        </w:rPr>
        <w:t xml:space="preserve">Test Case 10: Delete (Service Order Deletion &amp; Rollback Verification)</w:t>
      </w:r>
    </w:p>
    <w:tbl>
      <w:tblPr>
        <w:tblW w:type="dxa" w:w="100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8000"/>
      </w:tblGrid>
      <w:tr>
        <w:tc>
          <w:tcPr>
            <w:tcW w:type="dxa" w:w="2000"/>
            <w:shd w:fill="F2F2F2" w:val="clear"/>
            <w:vAlign w:val="top"/>
          </w:tcPr>
          <w:p>
            <w:r>
              <w:rPr>
                <w:b/>
                <w:bCs/>
                <w:sz w:val="20"/>
                <w:szCs w:val="20"/>
              </w:rPr>
              <w:t xml:space="preserve">Description:</w:t>
            </w:r>
          </w:p>
        </w:tc>
        <w:tc>
          <w:tcPr>
            <w:tcW w:type="dxa" w:w="8000"/>
          </w:tcPr>
          <w:p>
            <w:r>
              <w:rPr>
                <w:sz w:val="20"/>
                <w:szCs w:val="20"/>
              </w:rPr>
              <w:t xml:space="preserve">Delete the committed service order and confirm it is cleanly removed from CFS, RFS, and Tejas EMS.</w:t>
            </w:r>
          </w:p>
        </w:tc>
      </w:tr>
      <w:tr>
        <w:tc>
          <w:tcPr>
            <w:tcW w:type="dxa" w:w="2000"/>
            <w:shd w:fill="F2F2F2" w:val="clear"/>
            <w:vAlign w:val="top"/>
          </w:tcPr>
          <w:p>
            <w:r>
              <w:rPr>
                <w:b/>
                <w:bCs/>
                <w:sz w:val="20"/>
                <w:szCs w:val="20"/>
              </w:rPr>
              <w:t xml:space="preserve">Why This Step:</w:t>
            </w:r>
          </w:p>
        </w:tc>
        <w:tc>
          <w:tcPr>
            <w:tcW w:type="dxa" w:w="8000"/>
          </w:tcPr>
          <w:p>
            <w:r>
              <w:rPr>
                <w:sz w:val="20"/>
                <w:szCs w:val="20"/>
              </w:rPr>
              <w:t xml:space="preserve">Being able to safely provision a service is only half the requirement - the platform must also be able to cleanly reverse an order (e.g., for cancellations or correction of errors) without leaving orphaned configuration on the device or inconsistent records between systems. This proves rollback is safe before the platform is trusted for production changes.</w:t>
            </w:r>
          </w:p>
        </w:tc>
      </w:tr>
      <w:tr>
        <w:tc>
          <w:tcPr>
            <w:tcW w:type="dxa" w:w="2000"/>
            <w:shd w:fill="F2F2F2" w:val="clear"/>
            <w:vAlign w:val="top"/>
          </w:tcPr>
          <w:p>
            <w:r>
              <w:rPr>
                <w:b/>
                <w:bCs/>
                <w:sz w:val="20"/>
                <w:szCs w:val="20"/>
              </w:rPr>
              <w:t xml:space="preserve">Procedure:</w:t>
            </w:r>
          </w:p>
        </w:tc>
        <w:tc>
          <w:tcPr>
            <w:tcW w:type="dxa" w:w="8000"/>
          </w:tcPr>
          <w:p>
            <w:r>
              <w:rPr>
                <w:sz w:val="20"/>
                <w:szCs w:val="20"/>
              </w:rPr>
              <w:t xml:space="preserve">1. In the CFS web portal (172.28.2.17), search for the Service ID, select the service, and perform the delete operation.
2. Verify the Service ID no longer appears in CFS (172.28.2.17).
3. Verify the same Service ID no longer appears in RFS (172.28.2.18).
4. Verify the corresponding service is also removed from Tejas EMS (by ONT Serial Number or relevant service detail).</w:t>
            </w:r>
          </w:p>
        </w:tc>
      </w:tr>
      <w:tr>
        <w:tc>
          <w:tcPr>
            <w:tcW w:type="dxa" w:w="2000"/>
            <w:shd w:fill="F2F2F2" w:val="clear"/>
            <w:vAlign w:val="top"/>
          </w:tcPr>
          <w:p>
            <w:r>
              <w:rPr>
                <w:b/>
                <w:bCs/>
                <w:sz w:val="20"/>
                <w:szCs w:val="20"/>
              </w:rPr>
              <w:t xml:space="preserve">Expected Result:</w:t>
            </w:r>
          </w:p>
        </w:tc>
        <w:tc>
          <w:tcPr>
            <w:tcW w:type="dxa" w:w="8000"/>
          </w:tcPr>
          <w:p>
            <w:r>
              <w:rPr>
                <w:sz w:val="20"/>
                <w:szCs w:val="20"/>
              </w:rPr>
              <w:t xml:space="preserve">The service order is cleanly removed from CFS, RFS, and Tejas EMS with no residual configuration or errors.</w:t>
            </w:r>
          </w:p>
        </w:tc>
      </w:tr>
      <w:tr>
        <w:tc>
          <w:tcPr>
            <w:tcW w:type="dxa" w:w="2000"/>
            <w:shd w:fill="F2F2F2" w:val="clear"/>
            <w:vAlign w:val="top"/>
          </w:tcPr>
          <w:p>
            <w:r>
              <w:rPr>
                <w:b/>
                <w:bCs/>
                <w:sz w:val="20"/>
                <w:szCs w:val="20"/>
              </w:rPr>
              <w:t xml:space="preserve">Result:</w:t>
            </w:r>
          </w:p>
        </w:tc>
        <w:tc>
          <w:tcPr>
            <w:tcW w:type="dxa" w:w="8000"/>
          </w:tcPr>
          <w:p>
            <w:r>
              <w:rPr>
                <w:sz w:val="20"/>
                <w:szCs w:val="20"/>
              </w:rPr>
              <w:t xml:space="preserve">☐ OK        ☐ Not OK</w:t>
            </w:r>
          </w:p>
        </w:tc>
      </w:tr>
      <w:tr>
        <w:tc>
          <w:tcPr>
            <w:tcW w:type="dxa" w:w="2000"/>
            <w:shd w:fill="F2F2F2" w:val="clear"/>
            <w:vAlign w:val="top"/>
          </w:tcPr>
          <w:p>
            <w:r>
              <w:rPr>
                <w:b/>
                <w:bCs/>
                <w:sz w:val="20"/>
                <w:szCs w:val="20"/>
              </w:rPr>
              <w:t xml:space="preserve">Logs/Snaps:
(if Any)</w:t>
            </w:r>
          </w:p>
        </w:tc>
        <w:tc>
          <w:tcPr>
            <w:tcW w:type="dxa" w:w="8000"/>
          </w:tcPr>
          <w:p>
            <w:pPr>
              <w:spacing w:after="100"/>
            </w:pPr>
            <w:r>
              <w:rPr>
                <w:i/>
                <w:iCs/>
                <w:sz w:val="18"/>
                <w:szCs w:val="18"/>
              </w:rPr>
              <w:t xml:space="preserve">Delete operation performed in CFS, followed by confirmation of removal from CFS, RFS, and Tejas EMS respectively.</w:t>
            </w:r>
          </w:p>
          <w:p>
            <w:pPr>
              <w:spacing w:after="100"/>
              <w:jc w:val="center"/>
            </w:pPr>
            <w:r>
              <w:drawing>
                <wp:inline distT="0" distB="0" distL="0" distR="0">
                  <wp:extent cx="512445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24450" cy="2543175"/>
                          </a:xfrm>
                          <a:prstGeom prst="rect">
                            <a:avLst/>
                          </a:prstGeom>
                        </pic:spPr>
                      </pic:pic>
                    </a:graphicData>
                  </a:graphic>
                </wp:inline>
              </w:drawing>
            </w:r>
          </w:p>
          <w:p>
            <w:pPr>
              <w:spacing w:after="100"/>
              <w:jc w:val="center"/>
            </w:pPr>
            <w:r>
              <w:drawing>
                <wp:inline distT="0" distB="0" distL="0" distR="0">
                  <wp:extent cx="512445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514600"/>
                          </a:xfrm>
                          <a:prstGeom prst="rect">
                            <a:avLst/>
                          </a:prstGeom>
                        </pic:spPr>
                      </pic:pic>
                    </a:graphicData>
                  </a:graphic>
                </wp:inline>
              </w:drawing>
            </w:r>
          </w:p>
          <w:p>
            <w:pPr>
              <w:spacing w:after="100"/>
              <w:jc w:val="center"/>
            </w:pPr>
            <w:r>
              <w:drawing>
                <wp:inline distT="0" distB="0" distL="0" distR="0">
                  <wp:extent cx="51244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552700"/>
                          </a:xfrm>
                          <a:prstGeom prst="rect">
                            <a:avLst/>
                          </a:prstGeom>
                        </pic:spPr>
                      </pic:pic>
                    </a:graphicData>
                  </a:graphic>
                </wp:inline>
              </w:drawing>
            </w:r>
          </w:p>
          <w:p>
            <w:pPr>
              <w:spacing w:after="100"/>
              <w:jc w:val="center"/>
            </w:pPr>
            <w:r>
              <w:drawing>
                <wp:inline distT="0" distB="0" distL="0" distR="0">
                  <wp:extent cx="51244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24450" cy="2524125"/>
                          </a:xfrm>
                          <a:prstGeom prst="rect">
                            <a:avLst/>
                          </a:prstGeom>
                        </pic:spPr>
                      </pic:pic>
                    </a:graphicData>
                  </a:graphic>
                </wp:inline>
              </w:drawing>
            </w:r>
          </w:p>
        </w:tc>
      </w:tr>
    </w:tbl>
    <w:p>
      <w:pPr>
        <w:spacing w:after="200"/>
      </w:pPr>
    </w:p>
    <w:p>
      <w:r>
        <w:br w:type="page"/>
      </w:r>
    </w:p>
    <w:p>
      <w:pPr>
        <w:pStyle w:val="Heading1"/>
      </w:pPr>
      <w:r>
        <w:t xml:space="preserve">Annexure A: Cluster High-Availability (RFS Leader/Follower &amp; Lock-State) Evidence</w:t>
      </w:r>
    </w:p>
    <w:p>
      <w:pPr>
        <w:spacing w:after="200"/>
      </w:pPr>
      <w:r>
        <w:t xml:space="preserve">This annexure preserves supplementary evidence captured during the acceptance test, demonstrating cluster resiliency behaviour across different RFS node role and administrative-state combinations. It supports Test Case 3 (Network Device Connectivity) and is not a separate numbered test case.</w:t>
      </w:r>
    </w:p>
    <w:p>
      <w:pPr>
        <w:pStyle w:val="Heading2"/>
        <w:spacing w:before="150"/>
      </w:pPr>
      <w:r>
        <w:t xml:space="preserve">A.1 Baseline Cluster State - RFS-18 Leader, RFS-19 &amp; RFS-20 Followers (All Unlocked)</w:t>
      </w:r>
    </w:p>
    <w:p>
      <w:pPr>
        <w:spacing w:after="150"/>
      </w:pPr>
      <w:r>
        <w:t xml:space="preserve">In the NSO setup, RFS-18, RFS-19, and RFS-20 are configured as RFS nodes, where RFS-18 acts as the Leader and RFS-19 and RFS-20 act as Followers. All RFS nodes (18, 19, and 20) are in the Unlocked state, as shown below.</w:t>
      </w:r>
    </w:p>
    <w:p>
      <w:pPr>
        <w:spacing w:after="10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800350"/>
                    </a:xfrm>
                    <a:prstGeom prst="rect">
                      <a:avLst/>
                    </a:prstGeom>
                  </pic:spPr>
                </pic:pic>
              </a:graphicData>
            </a:graphic>
          </wp:inline>
        </w:drawing>
      </w:r>
    </w:p>
    <w:p>
      <w:pPr>
        <w:spacing w:after="100"/>
        <w:jc w:val="center"/>
      </w:pPr>
      <w:r>
        <w:drawing>
          <wp:inline distT="0" distB="0" distL="0" distR="0">
            <wp:extent cx="5667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790825"/>
                    </a:xfrm>
                    <a:prstGeom prst="rect">
                      <a:avLst/>
                    </a:prstGeom>
                  </pic:spPr>
                </pic:pic>
              </a:graphicData>
            </a:graphic>
          </wp:inline>
        </w:drawing>
      </w:r>
    </w:p>
    <w:p>
      <w:pPr>
        <w:spacing w:after="100"/>
        <w:jc w:val="center"/>
      </w:pPr>
      <w:r>
        <w:drawing>
          <wp:inline distT="0" distB="0" distL="0" distR="0">
            <wp:extent cx="56673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7375" cy="2781300"/>
                    </a:xfrm>
                    <a:prstGeom prst="rect">
                      <a:avLst/>
                    </a:prstGeom>
                  </pic:spPr>
                </pic:pic>
              </a:graphicData>
            </a:graphic>
          </wp:inline>
        </w:drawing>
      </w:r>
    </w:p>
    <w:p>
      <w:pPr>
        <w:spacing w:after="100"/>
        <w:jc w:val="center"/>
      </w:pPr>
      <w:r>
        <w:drawing>
          <wp:inline distT="0" distB="0" distL="0" distR="0">
            <wp:extent cx="5667375"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67375" cy="3324225"/>
                    </a:xfrm>
                    <a:prstGeom prst="rect">
                      <a:avLst/>
                    </a:prstGeom>
                  </pic:spPr>
                </pic:pic>
              </a:graphicData>
            </a:graphic>
          </wp:inline>
        </w:drawing>
      </w:r>
    </w:p>
    <w:p>
      <w:pPr>
        <w:pStyle w:val="Heading2"/>
        <w:spacing w:before="200"/>
      </w:pPr>
      <w:r>
        <w:t xml:space="preserve">A.2 Scenario - RFS-18 &amp; RFS-20 Locked, RFS-19 Unlocked</w:t>
      </w:r>
    </w:p>
    <w:p>
      <w:pPr>
        <w:spacing w:after="150"/>
      </w:pPr>
      <w:r>
        <w:t xml:space="preserve">RFS-18 and RFS-20 are placed in the Locked state, while RFS-19 remains Unlocked. The committed service order remains correctly visible in CFS, RFS, and Tejas EMS in this state.</w:t>
      </w:r>
    </w:p>
    <w:p>
      <w:pPr>
        <w:spacing w:after="100"/>
        <w:jc w:val="center"/>
      </w:pPr>
      <w:r>
        <w:drawing>
          <wp:inline distT="0" distB="0" distL="0" distR="0">
            <wp:extent cx="5667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790825"/>
                    </a:xfrm>
                    <a:prstGeom prst="rect">
                      <a:avLst/>
                    </a:prstGeom>
                  </pic:spPr>
                </pic:pic>
              </a:graphicData>
            </a:graphic>
          </wp:inline>
        </w:drawing>
      </w:r>
    </w:p>
    <w:p>
      <w:pPr>
        <w:spacing w:after="100"/>
        <w:jc w:val="center"/>
      </w:pPr>
      <w:r>
        <w:drawing>
          <wp:inline distT="0" distB="0" distL="0" distR="0">
            <wp:extent cx="56673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667375" cy="2762250"/>
                    </a:xfrm>
                    <a:prstGeom prst="rect">
                      <a:avLst/>
                    </a:prstGeom>
                  </pic:spPr>
                </pic:pic>
              </a:graphicData>
            </a:graphic>
          </wp:inline>
        </w:drawing>
      </w:r>
    </w:p>
    <w:p>
      <w:pPr>
        <w:spacing w:after="10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667375" cy="2800350"/>
                    </a:xfrm>
                    <a:prstGeom prst="rect">
                      <a:avLst/>
                    </a:prstGeom>
                  </pic:spPr>
                </pic:pic>
              </a:graphicData>
            </a:graphic>
          </wp:inline>
        </w:drawing>
      </w:r>
    </w:p>
    <w:p>
      <w:pPr>
        <w:spacing w:after="100"/>
        <w:jc w:val="center"/>
      </w:pPr>
      <w:r>
        <w:drawing>
          <wp:inline distT="0" distB="0" distL="0" distR="0">
            <wp:extent cx="5667375"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667375" cy="2781300"/>
                    </a:xfrm>
                    <a:prstGeom prst="rect">
                      <a:avLst/>
                    </a:prstGeom>
                  </pic:spPr>
                </pic:pic>
              </a:graphicData>
            </a:graphic>
          </wp:inline>
        </w:drawing>
      </w:r>
    </w:p>
    <w:p>
      <w:pPr>
        <w:spacing w:after="100"/>
        <w:jc w:val="center"/>
      </w:pPr>
      <w:r>
        <w:drawing>
          <wp:inline distT="0" distB="0" distL="0" distR="0">
            <wp:extent cx="5667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667375" cy="2790825"/>
                    </a:xfrm>
                    <a:prstGeom prst="rect">
                      <a:avLst/>
                    </a:prstGeom>
                  </pic:spPr>
                </pic:pic>
              </a:graphicData>
            </a:graphic>
          </wp:inline>
        </w:drawing>
      </w:r>
    </w:p>
    <w:p>
      <w:pPr>
        <w:spacing w:after="100"/>
        <w:jc w:val="center"/>
      </w:pPr>
      <w:r>
        <w:drawing>
          <wp:inline distT="0" distB="0" distL="0" distR="0">
            <wp:extent cx="5667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667375" cy="2790825"/>
                    </a:xfrm>
                    <a:prstGeom prst="rect">
                      <a:avLst/>
                    </a:prstGeom>
                  </pic:spPr>
                </pic:pic>
              </a:graphicData>
            </a:graphic>
          </wp:inline>
        </w:drawing>
      </w:r>
    </w:p>
    <w:p>
      <w:pPr>
        <w:pStyle w:val="Heading2"/>
        <w:spacing w:before="200"/>
      </w:pPr>
      <w:r>
        <w:t xml:space="preserve">A.3 Scenario - RFS-18 &amp; RFS-19 Locked, RFS-20 Unlocked</w:t>
      </w:r>
    </w:p>
    <w:p>
      <w:pPr>
        <w:spacing w:after="150"/>
      </w:pPr>
      <w:r>
        <w:t xml:space="preserve">RFS-18 and RFS-19 are placed in the Locked state, while RFS-20 remains Unlocked. The committed service order continues to be correctly reflected in CFS, RFS, and Tejas EMS.</w:t>
      </w:r>
    </w:p>
    <w:p>
      <w:pPr>
        <w:spacing w:after="10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667375" cy="2800350"/>
                    </a:xfrm>
                    <a:prstGeom prst="rect">
                      <a:avLst/>
                    </a:prstGeom>
                  </pic:spPr>
                </pic:pic>
              </a:graphicData>
            </a:graphic>
          </wp:inline>
        </w:drawing>
      </w:r>
    </w:p>
    <w:p>
      <w:pPr>
        <w:spacing w:after="100"/>
        <w:jc w:val="center"/>
      </w:pPr>
      <w:r>
        <w:drawing>
          <wp:inline distT="0" distB="0" distL="0" distR="0">
            <wp:extent cx="56673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667375" cy="2790825"/>
                    </a:xfrm>
                    <a:prstGeom prst="rect">
                      <a:avLst/>
                    </a:prstGeom>
                  </pic:spPr>
                </pic:pic>
              </a:graphicData>
            </a:graphic>
          </wp:inline>
        </w:drawing>
      </w:r>
    </w:p>
    <w:p>
      <w:pPr>
        <w:spacing w:after="100"/>
        <w:jc w:val="center"/>
      </w:pPr>
      <w:r>
        <w:drawing>
          <wp:inline distT="0" distB="0" distL="0" distR="0">
            <wp:extent cx="56673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667375" cy="2800350"/>
                    </a:xfrm>
                    <a:prstGeom prst="rect">
                      <a:avLst/>
                    </a:prstGeom>
                  </pic:spPr>
                </pic:pic>
              </a:graphicData>
            </a:graphic>
          </wp:inline>
        </w:drawing>
      </w:r>
    </w:p>
    <w:p>
      <w:pPr>
        <w:spacing w:after="200"/>
        <w:jc w:val="center"/>
      </w:pPr>
      <w:r>
        <w:rPr>
          <w:i/>
          <w:iCs/>
          <w:sz w:val="18"/>
          <w:szCs w:val="18"/>
        </w:rPr>
        <w:t xml:space="preserve">Committed order confirmed in CFS.</w:t>
      </w:r>
    </w:p>
    <w:p>
      <w:pPr>
        <w:spacing w:after="100"/>
        <w:jc w:val="center"/>
      </w:pPr>
      <w:r>
        <w:drawing>
          <wp:inline distT="0" distB="0" distL="0" distR="0">
            <wp:extent cx="56673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667375" cy="2771775"/>
                    </a:xfrm>
                    <a:prstGeom prst="rect">
                      <a:avLst/>
                    </a:prstGeom>
                  </pic:spPr>
                </pic:pic>
              </a:graphicData>
            </a:graphic>
          </wp:inline>
        </w:drawing>
      </w:r>
    </w:p>
    <w:p>
      <w:pPr>
        <w:spacing w:after="200"/>
        <w:jc w:val="center"/>
      </w:pPr>
      <w:r>
        <w:rPr>
          <w:i/>
          <w:iCs/>
          <w:sz w:val="18"/>
          <w:szCs w:val="18"/>
        </w:rPr>
        <w:t xml:space="preserve">Committed order confirmed in RFS.</w:t>
      </w:r>
    </w:p>
    <w:p>
      <w:pPr>
        <w:spacing w:after="100"/>
        <w:jc w:val="center"/>
      </w:pPr>
      <w:r>
        <w:drawing>
          <wp:inline distT="0" distB="0" distL="0" distR="0">
            <wp:extent cx="56673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667375" cy="2771775"/>
                    </a:xfrm>
                    <a:prstGeom prst="rect">
                      <a:avLst/>
                    </a:prstGeom>
                  </pic:spPr>
                </pic:pic>
              </a:graphicData>
            </a:graphic>
          </wp:inline>
        </w:drawing>
      </w:r>
    </w:p>
    <w:p>
      <w:pPr>
        <w:spacing w:after="200"/>
        <w:jc w:val="center"/>
      </w:pPr>
      <w:r>
        <w:rPr>
          <w:i/>
          <w:iCs/>
          <w:sz w:val="18"/>
          <w:szCs w:val="18"/>
        </w:rPr>
        <w:t xml:space="preserve">Committed order confirmed in Tejas EMS.</w:t>
      </w:r>
    </w:p>
    <w:p>
      <w:pPr>
        <w:spacing w:after="100"/>
        <w:jc w:val="center"/>
      </w:pPr>
      <w:r>
        <w:drawing>
          <wp:inline distT="0" distB="0" distL="0" distR="0">
            <wp:extent cx="56673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667375" cy="2771775"/>
                    </a:xfrm>
                    <a:prstGeom prst="rect">
                      <a:avLst/>
                    </a:prstGeom>
                  </pic:spPr>
                </pic:pic>
              </a:graphicData>
            </a:graphic>
          </wp:inline>
        </w:drawing>
      </w:r>
    </w:p>
    <w:p>
      <w:r>
        <w:br w:type="page"/>
      </w:r>
    </w:p>
    <w:p>
      <w:pPr>
        <w:pStyle w:val="Heading1"/>
      </w:pPr>
      <w:r>
        <w:t xml:space="preserve">3 Document Acceptance</w:t>
      </w:r>
    </w:p>
    <w:p>
      <w:pPr>
        <w:spacing w:after="200"/>
      </w:pPr>
      <w:r>
        <w:t xml:space="preserve"/>
      </w:r>
    </w:p>
    <w:tbl>
      <w:tblPr>
        <w:tblW w:type="dxa" w:w="11000"/>
        <w:tblBorders>
          <w:top w:val="single" w:color="000000" w:sz="4"/>
          <w:left w:val="single" w:color="000000" w:sz="4"/>
          <w:bottom w:val="single" w:color="000000" w:sz="4"/>
          <w:right w:val="single" w:color="000000" w:sz="4"/>
          <w:insideH w:val="single" w:color="000000" w:sz="4"/>
          <w:insideV w:val="single" w:color="000000" w:sz="4"/>
        </w:tblBorders>
      </w:tblPr>
      <w:tblGrid>
        <w:gridCol w:w="2500"/>
        <w:gridCol w:w="2800"/>
        <w:gridCol w:w="2800"/>
        <w:gridCol w:w="2900"/>
      </w:tblGrid>
      <w:tr>
        <w:trPr>
          <w:tblHeader/>
        </w:trPr>
        <w:tc>
          <w:tcPr>
            <w:tcW w:type="dxa" w:w="2500"/>
            <w:shd w:fill="D9D9D9" w:val="clear"/>
          </w:tcPr>
          <w:p>
            <w:r>
              <w:rPr>
                <w:b/>
                <w:bCs/>
                <w:sz w:val="20"/>
                <w:szCs w:val="20"/>
              </w:rPr>
              <w:t xml:space="preserve">Organization</w:t>
            </w:r>
          </w:p>
        </w:tc>
        <w:tc>
          <w:tcPr>
            <w:tcW w:type="dxa" w:w="2800"/>
            <w:shd w:fill="D9D9D9" w:val="clear"/>
          </w:tcPr>
          <w:p>
            <w:r>
              <w:rPr>
                <w:b/>
                <w:bCs/>
                <w:sz w:val="20"/>
                <w:szCs w:val="20"/>
              </w:rPr>
              <w:t xml:space="preserve">MSI Representative</w:t>
            </w:r>
          </w:p>
        </w:tc>
        <w:tc>
          <w:tcPr>
            <w:tcW w:type="dxa" w:w="2800"/>
            <w:shd w:fill="D9D9D9" w:val="clear"/>
          </w:tcPr>
          <w:p>
            <w:r>
              <w:rPr>
                <w:b/>
                <w:bCs/>
                <w:sz w:val="20"/>
                <w:szCs w:val="20"/>
              </w:rPr>
              <w:t xml:space="preserve">TPA Representative</w:t>
            </w:r>
          </w:p>
        </w:tc>
        <w:tc>
          <w:tcPr>
            <w:tcW w:type="dxa" w:w="2900"/>
            <w:shd w:fill="D9D9D9" w:val="clear"/>
          </w:tcPr>
          <w:p>
            <w:r>
              <w:rPr>
                <w:b/>
                <w:bCs/>
                <w:sz w:val="20"/>
                <w:szCs w:val="20"/>
              </w:rPr>
              <w:t xml:space="preserve">T-Fiber Representative</w:t>
            </w:r>
          </w:p>
        </w:tc>
      </w:tr>
      <w:tr>
        <w:tc>
          <w:tcPr>
            <w:tcW w:type="dxa" w:w="2500"/>
          </w:tcPr>
          <w:p>
            <w:r>
              <w:rPr>
                <w:sz w:val="20"/>
                <w:szCs w:val="20"/>
              </w:rPr>
              <w:t xml:space="preserve">Signature</w:t>
            </w:r>
          </w:p>
        </w:tc>
        <w:tc>
          <w:tcPr>
            <w:tcW w:type="dxa" w:w="2800"/>
          </w:tcPr>
          <w:p>
            <w:r>
              <w:t xml:space="preserve"/>
            </w:r>
          </w:p>
        </w:tc>
        <w:tc>
          <w:tcPr>
            <w:tcW w:type="dxa" w:w="2800"/>
          </w:tcPr>
          <w:p>
            <w:r>
              <w:t xml:space="preserve"/>
            </w:r>
          </w:p>
        </w:tc>
        <w:tc>
          <w:tcPr>
            <w:tcW w:type="dxa" w:w="2900"/>
          </w:tcPr>
          <w:p>
            <w:r>
              <w:t xml:space="preserve"/>
            </w:r>
          </w:p>
        </w:tc>
      </w:tr>
      <w:tr>
        <w:tc>
          <w:tcPr>
            <w:tcW w:type="dxa" w:w="2500"/>
          </w:tcPr>
          <w:p>
            <w:r>
              <w:rPr>
                <w:sz w:val="20"/>
                <w:szCs w:val="20"/>
              </w:rPr>
              <w:t xml:space="preserve">Name</w:t>
            </w:r>
          </w:p>
        </w:tc>
        <w:tc>
          <w:tcPr>
            <w:tcW w:type="dxa" w:w="2800"/>
          </w:tcPr>
          <w:p>
            <w:r>
              <w:t xml:space="preserve"/>
            </w:r>
          </w:p>
        </w:tc>
        <w:tc>
          <w:tcPr>
            <w:tcW w:type="dxa" w:w="2800"/>
          </w:tcPr>
          <w:p>
            <w:r>
              <w:t xml:space="preserve"/>
            </w:r>
          </w:p>
        </w:tc>
        <w:tc>
          <w:tcPr>
            <w:tcW w:type="dxa" w:w="2900"/>
          </w:tcPr>
          <w:p>
            <w:r>
              <w:t xml:space="preserve"/>
            </w:r>
          </w:p>
        </w:tc>
      </w:tr>
      <w:tr>
        <w:tc>
          <w:tcPr>
            <w:tcW w:type="dxa" w:w="2500"/>
          </w:tcPr>
          <w:p>
            <w:r>
              <w:rPr>
                <w:sz w:val="20"/>
                <w:szCs w:val="20"/>
              </w:rPr>
              <w:t xml:space="preserve">Designation</w:t>
            </w:r>
          </w:p>
        </w:tc>
        <w:tc>
          <w:tcPr>
            <w:tcW w:type="dxa" w:w="2800"/>
          </w:tcPr>
          <w:p>
            <w:r>
              <w:t xml:space="preserve"/>
            </w:r>
          </w:p>
        </w:tc>
        <w:tc>
          <w:tcPr>
            <w:tcW w:type="dxa" w:w="2800"/>
          </w:tcPr>
          <w:p>
            <w:r>
              <w:t xml:space="preserve"/>
            </w:r>
          </w:p>
        </w:tc>
        <w:tc>
          <w:tcPr>
            <w:tcW w:type="dxa" w:w="2900"/>
          </w:tcPr>
          <w:p>
            <w:r>
              <w:t xml:space="preserve"/>
            </w:r>
          </w:p>
        </w:tc>
      </w:tr>
      <w:tr>
        <w:tc>
          <w:tcPr>
            <w:tcW w:type="dxa" w:w="2500"/>
          </w:tcPr>
          <w:p>
            <w:r>
              <w:rPr>
                <w:sz w:val="20"/>
                <w:szCs w:val="20"/>
              </w:rPr>
              <w:t xml:space="preserve">E-mail ID</w:t>
            </w:r>
          </w:p>
        </w:tc>
        <w:tc>
          <w:tcPr>
            <w:tcW w:type="dxa" w:w="2800"/>
          </w:tcPr>
          <w:p>
            <w:r>
              <w:t xml:space="preserve"/>
            </w:r>
          </w:p>
        </w:tc>
        <w:tc>
          <w:tcPr>
            <w:tcW w:type="dxa" w:w="2800"/>
          </w:tcPr>
          <w:p>
            <w:r>
              <w:t xml:space="preserve"/>
            </w:r>
          </w:p>
        </w:tc>
        <w:tc>
          <w:tcPr>
            <w:tcW w:type="dxa" w:w="2900"/>
          </w:tcPr>
          <w:p>
            <w:r>
              <w:t xml:space="preserve"/>
            </w:r>
          </w:p>
        </w:tc>
      </w:tr>
      <w:tr>
        <w:tc>
          <w:tcPr>
            <w:tcW w:type="dxa" w:w="2500"/>
          </w:tcPr>
          <w:p>
            <w:r>
              <w:rPr>
                <w:sz w:val="20"/>
                <w:szCs w:val="20"/>
              </w:rPr>
              <w:t xml:space="preserve">Phone Number</w:t>
            </w:r>
          </w:p>
        </w:tc>
        <w:tc>
          <w:tcPr>
            <w:tcW w:type="dxa" w:w="2800"/>
          </w:tcPr>
          <w:p>
            <w:r>
              <w:t xml:space="preserve"/>
            </w:r>
          </w:p>
        </w:tc>
        <w:tc>
          <w:tcPr>
            <w:tcW w:type="dxa" w:w="2800"/>
          </w:tcPr>
          <w:p>
            <w:r>
              <w:t xml:space="preserve"/>
            </w:r>
          </w:p>
        </w:tc>
        <w:tc>
          <w:tcPr>
            <w:tcW w:type="dxa" w:w="2900"/>
          </w:tcPr>
          <w:p>
            <w:r>
              <w:t xml:space="preserve"/>
            </w:r>
          </w:p>
        </w:tc>
      </w:tr>
      <w:tr>
        <w:tc>
          <w:tcPr>
            <w:tcW w:type="dxa" w:w="2500"/>
          </w:tcPr>
          <w:p>
            <w:r>
              <w:rPr>
                <w:sz w:val="20"/>
                <w:szCs w:val="20"/>
              </w:rPr>
              <w:t xml:space="preserve">Date</w:t>
            </w:r>
          </w:p>
        </w:tc>
        <w:tc>
          <w:tcPr>
            <w:tcW w:type="dxa" w:w="2800"/>
          </w:tcPr>
          <w:p>
            <w:r>
              <w:t xml:space="preserve"/>
            </w:r>
          </w:p>
        </w:tc>
        <w:tc>
          <w:tcPr>
            <w:tcW w:type="dxa" w:w="2800"/>
          </w:tcPr>
          <w:p>
            <w:r>
              <w:t xml:space="preserve"/>
            </w:r>
          </w:p>
        </w:tc>
        <w:tc>
          <w:tcPr>
            <w:tcW w:type="dxa" w:w="2900"/>
          </w:tcPr>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ad96e649baa89514f4eaec2be1bb0475e01c7cf.jpg"/><Relationship Id="rId8" Type="http://schemas.openxmlformats.org/officeDocument/2006/relationships/image" Target="media/c3ba24f8ac2634656384927ed913f1320c0e268d.jpg"/><Relationship Id="rId9" Type="http://schemas.openxmlformats.org/officeDocument/2006/relationships/image" Target="media/2f39d09bafe15fd10dfb5e6dda0c0610c214d02e.jpg"/><Relationship Id="rId10" Type="http://schemas.openxmlformats.org/officeDocument/2006/relationships/image" Target="media/74db7c928ee4201c20c4fcf545475e5d4f59a515.jpg"/><Relationship Id="rId11" Type="http://schemas.openxmlformats.org/officeDocument/2006/relationships/image" Target="media/49755943cb424f2fd6e8086ac87b8a9d889c7196.jpg"/><Relationship Id="rId12" Type="http://schemas.openxmlformats.org/officeDocument/2006/relationships/image" Target="media/f078e4a3a9df35ab33539e40eec41de0eee99b88.jpg"/><Relationship Id="rId13" Type="http://schemas.openxmlformats.org/officeDocument/2006/relationships/image" Target="media/9ad177d04cfea8336e872fb5a2f760b308e1d43b.jpg"/><Relationship Id="rId14" Type="http://schemas.openxmlformats.org/officeDocument/2006/relationships/image" Target="media/a720220e895d99d498b66ecb9e46d19f5eaf29e9.jpg"/><Relationship Id="rId15" Type="http://schemas.openxmlformats.org/officeDocument/2006/relationships/image" Target="media/6402d3f5d3d7525b4edaef7dd1c0fa29a57b4b60.jpg"/><Relationship Id="rId16" Type="http://schemas.openxmlformats.org/officeDocument/2006/relationships/image" Target="media/0a71160785b31fa9ba7dc8c659bde8fee74e487a.jpg"/><Relationship Id="rId17" Type="http://schemas.openxmlformats.org/officeDocument/2006/relationships/image" Target="media/076607cb07ba8a6af9c495944189dfdd8c28596e.jpg"/><Relationship Id="rId18" Type="http://schemas.openxmlformats.org/officeDocument/2006/relationships/image" Target="media/2a082fa0cec156c92f60ea85f42964463bfa172a.jpg"/><Relationship Id="rId19" Type="http://schemas.openxmlformats.org/officeDocument/2006/relationships/image" Target="media/96ecc1eada12e205f8c8716a56a48c5496b405f0.jpg"/><Relationship Id="rId20" Type="http://schemas.openxmlformats.org/officeDocument/2006/relationships/image" Target="media/dec702bc24074d6172beb8573b372161bb921153.jpg"/><Relationship Id="rId21" Type="http://schemas.openxmlformats.org/officeDocument/2006/relationships/image" Target="media/d5f77d125e4b38b30ad07222728863b7a0174de9.jpg"/><Relationship Id="rId22" Type="http://schemas.openxmlformats.org/officeDocument/2006/relationships/image" Target="media/aa12b65ecc42ce528ddd2aae8ed0ecbd07d3e8fe.jpg"/><Relationship Id="rId23" Type="http://schemas.openxmlformats.org/officeDocument/2006/relationships/image" Target="media/06397d7b475206a240e71fcb1dccea2a14becac9.jpg"/><Relationship Id="rId24" Type="http://schemas.openxmlformats.org/officeDocument/2006/relationships/image" Target="media/2f76679b216c5d88c81f1902312bebb5fa13dafb.jpg"/><Relationship Id="rId25" Type="http://schemas.openxmlformats.org/officeDocument/2006/relationships/image" Target="media/1abe1f215af52709bf338c4dbb578fa7297e1f88.jpg"/><Relationship Id="rId26" Type="http://schemas.openxmlformats.org/officeDocument/2006/relationships/image" Target="media/9c561df3f6b64c7ed5ebb0c854648c2324c55a22.jpg"/><Relationship Id="rId27" Type="http://schemas.openxmlformats.org/officeDocument/2006/relationships/image" Target="media/f43bbcc7592f89f584cf09c41607402cd918c668.jpg"/><Relationship Id="rId28" Type="http://schemas.openxmlformats.org/officeDocument/2006/relationships/image" Target="media/2bcd076ef5d830e04bea6f76a9a827a0daf90313.jpg"/><Relationship Id="rId29" Type="http://schemas.openxmlformats.org/officeDocument/2006/relationships/image" Target="media/d3ba6433926dc95a6805dcc04cdb2c3fb197d67c.jpg"/><Relationship Id="rId30" Type="http://schemas.openxmlformats.org/officeDocument/2006/relationships/image" Target="media/d291bb6282008c1abaa76530f1edf36161e6940f.jpg"/><Relationship Id="rId31" Type="http://schemas.openxmlformats.org/officeDocument/2006/relationships/image" Target="media/3fc768023a0ddd468e9b3cf77b6bcc8b9d19cb5c.jpg"/><Relationship Id="rId32" Type="http://schemas.openxmlformats.org/officeDocument/2006/relationships/image" Target="media/c17c7f7d3d3a372f6298f1a22d70a538afaabc26.jpg"/><Relationship Id="rId33" Type="http://schemas.openxmlformats.org/officeDocument/2006/relationships/image" Target="media/fbe37f82b48b48347755bd062f0fa94ab3d65626.jpg"/><Relationship Id="rId34" Type="http://schemas.openxmlformats.org/officeDocument/2006/relationships/image" Target="media/0e9c540c22103faa14e1824538118d0a9453684c.jp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2026-07-08T00:44:09.569Z</dcterms:created>
  <dcterms:modified xsi:type="dcterms:W3CDTF">2026-07-08T00:44:09.581Z</dcterms:modified>
</cp:coreProperties>
</file>

<file path=docProps/custom.xml><?xml version="1.0" encoding="utf-8"?>
<Properties xmlns="http://schemas.openxmlformats.org/officeDocument/2006/custom-properties" xmlns:vt="http://schemas.openxmlformats.org/officeDocument/2006/docPropsVTypes"/>
</file>