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864"/>
          <w:sz w:val="30"/>
          <w:szCs w:val="30"/>
        </w:rPr>
        <w:t xml:space="preserve">Quality Assurance Plan</w:t>
      </w:r>
    </w:p>
    <w:p>
      <w:pPr>
        <w:pBdr>
          <w:bottom w:val="single" w:color="1F3864" w:sz="8" w:space="4"/>
        </w:pBdr>
        <w:spacing w:after="40"/>
      </w:pPr>
      <w:r>
        <w:rPr>
          <w:rFonts w:ascii="Calibri" w:cs="Calibri" w:eastAsia="Calibri" w:hAnsi="Calibri"/>
          <w:color w:val="444444"/>
          <w:sz w:val="19"/>
          <w:szCs w:val="19"/>
        </w:rPr>
        <w:t xml:space="preserve">JMD Bakery Distribution Management System</w:t>
      </w:r>
    </w:p>
    <w:p>
      <w:pPr>
        <w:spacing w:after="100" w:before="0" w:line="240"/>
      </w:pPr>
      <w:r>
        <w:rPr>
          <w:rFonts w:ascii="Calibri" w:cs="Calibri" w:eastAsia="Calibri" w:hAnsi="Calibri"/>
          <w:b/>
          <w:bCs/>
          <w:sz w:val="16"/>
          <w:szCs w:val="16"/>
        </w:rPr>
        <w:t xml:space="preserve">Prepared by: </w:t>
      </w:r>
      <w:r>
        <w:rPr>
          <w:rFonts w:ascii="Calibri" w:cs="Calibri" w:eastAsia="Calibri" w:hAnsi="Calibri"/>
          <w:sz w:val="16"/>
          <w:szCs w:val="16"/>
        </w:rPr>
        <w:t xml:space="preserve">Khenn     </w:t>
      </w:r>
      <w:r>
        <w:rPr>
          <w:rFonts w:ascii="Calibri" w:cs="Calibri" w:eastAsia="Calibri" w:hAnsi="Calibri"/>
          <w:b/>
          <w:bCs/>
          <w:sz w:val="16"/>
          <w:szCs w:val="16"/>
        </w:rPr>
        <w:t xml:space="preserve">Covers: </w:t>
      </w:r>
      <w:r>
        <w:rPr>
          <w:rFonts w:ascii="Calibri" w:cs="Calibri" w:eastAsia="Calibri" w:hAnsi="Calibri"/>
          <w:sz w:val="16"/>
          <w:szCs w:val="16"/>
        </w:rPr>
        <w:t xml:space="preserve">apps/admin · apps/agent-app · supabase/     </w:t>
      </w:r>
      <w:r>
        <w:rPr>
          <w:rFonts w:ascii="Calibri" w:cs="Calibri" w:eastAsia="Calibri" w:hAnsi="Calibri"/>
          <w:b/>
          <w:bCs/>
          <w:sz w:val="16"/>
          <w:szCs w:val="16"/>
        </w:rPr>
        <w:t xml:space="preserve">Checked on: </w:t>
      </w:r>
      <w:r>
        <w:rPr>
          <w:rFonts w:ascii="Calibri" w:cs="Calibri" w:eastAsia="Calibri" w:hAnsi="Calibri"/>
          <w:sz w:val="16"/>
          <w:szCs w:val="16"/>
        </w:rPr>
        <w:t xml:space="preserve">commit 5ce3687, 14 September 2026</w:t>
      </w:r>
    </w:p>
    <w:p>
      <w:pPr>
        <w:spacing w:after="50" w:before="130"/>
      </w:pPr>
      <w:r>
        <w:rPr>
          <w:rFonts w:ascii="Calibri" w:cs="Calibri" w:eastAsia="Calibri" w:hAnsi="Calibri"/>
          <w:b/>
          <w:bCs/>
          <w:color w:val="1F3864"/>
          <w:sz w:val="20"/>
          <w:szCs w:val="20"/>
        </w:rPr>
        <w:t xml:space="preserve">1.  Our testing priorities</w:t>
      </w:r>
    </w:p>
    <w:p>
      <w:pPr>
        <w:spacing w:after="60" w:before="0" w:line="240"/>
      </w:pPr>
      <w:r>
        <w:rPr>
          <w:rFonts w:ascii="Calibri" w:cs="Calibri" w:eastAsia="Calibri" w:hAnsi="Calibri"/>
          <w:sz w:val="17"/>
          <w:szCs w:val="17"/>
        </w:rPr>
        <w:t xml:space="preserve">Two things shape how we test. Agents work in places with poor reception, and the office relies on this system's figures to know what was sold and who still owes money. So we test in this order — the biggest risk first.</w:t>
      </w:r>
    </w:p>
    <w:tbl>
      <w:tblPr>
        <w:tblW w:type="dxa" w:w="10080"/>
        <w:tblBorders>
          <w:top w:val="single" w:color="B7C3D6" w:sz="2"/>
          <w:left w:val="single" w:color="B7C3D6" w:sz="2"/>
          <w:bottom w:val="single" w:color="B7C3D6" w:sz="2"/>
          <w:right w:val="single" w:color="B7C3D6" w:sz="2"/>
          <w:insideH w:val="single" w:color="D6DEEA" w:sz="2"/>
          <w:insideV w:val="single" w:color="D6DEEA" w:sz="2"/>
        </w:tblBorders>
      </w:tblPr>
      <w:tblGrid>
        <w:gridCol w:w="420"/>
        <w:gridCol w:w="3100"/>
        <w:gridCol w:w="3660"/>
        <w:gridCol w:w="2900"/>
      </w:tblGrid>
      <w:tr>
        <w:trPr>
          <w:tblHeader/>
        </w:trPr>
        <w:tc>
          <w:tcPr>
            <w:tcW w:type="dxa" w:w="42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w:t>
            </w:r>
          </w:p>
        </w:tc>
        <w:tc>
          <w:tcPr>
            <w:tcW w:type="dxa" w:w="31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Priority</w:t>
            </w:r>
          </w:p>
        </w:tc>
        <w:tc>
          <w:tcPr>
            <w:tcW w:type="dxa" w:w="366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The reason it ranks here</w:t>
            </w:r>
          </w:p>
        </w:tc>
        <w:tc>
          <w:tcPr>
            <w:tcW w:type="dxa" w:w="29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Type of test used</w:t>
            </w:r>
          </w:p>
        </w:tc>
      </w:tr>
      <w:tr>
        <w:trPr>
          <w:tblHeader w:val="false"/>
        </w:trPr>
        <w:tc>
          <w:tcPr>
            <w:tcW w:type="dxa" w:w="42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1</w:t>
            </w:r>
          </w:p>
        </w:tc>
        <w:tc>
          <w:tcPr>
            <w:tcW w:type="dxa" w:w="31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Correct computation of money and stock</w:t>
            </w:r>
          </w:p>
        </w:tc>
        <w:tc>
          <w:tcPr>
            <w:tcW w:type="dxa" w:w="366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Everything the system exists for — sales totals, credit, payments, inventory variance — is a number. A wrong one gives no warning sign.</w:t>
            </w:r>
          </w:p>
        </w:tc>
        <w:tc>
          <w:tcPr>
            <w:tcW w:type="dxa" w:w="29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Unit tests covering the helper functions in core/</w:t>
            </w:r>
          </w:p>
        </w:tc>
      </w:tr>
      <w:tr>
        <w:trPr>
          <w:tblHeader w:val="false"/>
        </w:trPr>
        <w:tc>
          <w:tcPr>
            <w:tcW w:type="dxa" w:w="42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2</w:t>
            </w:r>
          </w:p>
        </w:tc>
        <w:tc>
          <w:tcPr>
            <w:tcW w:type="dxa" w:w="31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Offline entries are never dropped</w:t>
            </w:r>
          </w:p>
        </w:tc>
        <w:tc>
          <w:tcPr>
            <w:tcW w:type="dxa" w:w="366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Records are written on the device and uploaded later. One missing queued row means a sale nobody can recover.</w:t>
            </w:r>
          </w:p>
        </w:tc>
        <w:tc>
          <w:tcPr>
            <w:tcW w:type="dxa" w:w="29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Integration tests on DAOs, services and the outbox against real SQLite</w:t>
            </w:r>
          </w:p>
        </w:tc>
      </w:tr>
      <w:tr>
        <w:trPr>
          <w:tblHeader w:val="false"/>
        </w:trPr>
        <w:tc>
          <w:tcPr>
            <w:tcW w:type="dxa" w:w="42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3</w:t>
            </w:r>
          </w:p>
        </w:tc>
        <w:tc>
          <w:tcPr>
            <w:tcW w:type="dxa" w:w="31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Device and server finish in sync</w:t>
            </w:r>
          </w:p>
        </w:tc>
        <w:tc>
          <w:tcPr>
            <w:tcW w:type="dxa" w:w="366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Once a pull and push finish, both copies have to line up, open sessions included.</w:t>
            </w:r>
          </w:p>
        </w:tc>
        <w:tc>
          <w:tcPr>
            <w:tcW w:type="dxa" w:w="29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The suite under src/tests/lib/sync/</w:t>
            </w:r>
          </w:p>
        </w:tc>
      </w:tr>
      <w:tr>
        <w:trPr>
          <w:tblHeader w:val="false"/>
        </w:trPr>
        <w:tc>
          <w:tcPr>
            <w:tcW w:type="dxa" w:w="42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4</w:t>
            </w:r>
          </w:p>
        </w:tc>
        <w:tc>
          <w:tcPr>
            <w:tcW w:type="dxa" w:w="31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The screens used daily stay stable</w:t>
            </w:r>
          </w:p>
        </w:tc>
        <w:tc>
          <w:tcPr>
            <w:tcW w:type="dxa" w:w="366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 crash partway through a route stops the agent from completing the visit.</w:t>
            </w:r>
          </w:p>
        </w:tc>
        <w:tc>
          <w:tcPr>
            <w:tcW w:type="dxa" w:w="29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Component tests written with Testing Library</w:t>
            </w:r>
          </w:p>
        </w:tc>
      </w:tr>
    </w:tbl>
    <w:p>
      <w:pPr>
        <w:spacing w:after="40"/>
      </w:pPr>
      <w:r>
        <w:rPr>
          <w:rFonts w:ascii="Calibri" w:cs="Calibri" w:eastAsia="Calibri" w:hAnsi="Calibri"/>
          <w:sz w:val="2"/>
          <w:szCs w:val="2"/>
        </w:rPr>
        <w:t xml:space="preserve"/>
      </w:r>
    </w:p>
    <w:p>
      <w:pPr>
        <w:spacing w:after="50" w:before="130"/>
      </w:pPr>
      <w:r>
        <w:rPr>
          <w:rFonts w:ascii="Calibri" w:cs="Calibri" w:eastAsia="Calibri" w:hAnsi="Calibri"/>
          <w:b/>
          <w:bCs/>
          <w:color w:val="1F3864"/>
          <w:sz w:val="20"/>
          <w:szCs w:val="20"/>
        </w:rPr>
        <w:t xml:space="preserve">2.  Test types and commands</w:t>
      </w:r>
    </w:p>
    <w:tbl>
      <w:tblPr>
        <w:tblW w:type="dxa" w:w="10080"/>
        <w:tblBorders>
          <w:top w:val="single" w:color="B7C3D6" w:sz="2"/>
          <w:left w:val="single" w:color="B7C3D6" w:sz="2"/>
          <w:bottom w:val="single" w:color="B7C3D6" w:sz="2"/>
          <w:right w:val="single" w:color="B7C3D6" w:sz="2"/>
          <w:insideH w:val="single" w:color="D6DEEA" w:sz="2"/>
          <w:insideV w:val="single" w:color="D6DEEA" w:sz="2"/>
        </w:tblBorders>
      </w:tblPr>
      <w:tblGrid>
        <w:gridCol w:w="1500"/>
        <w:gridCol w:w="5600"/>
        <w:gridCol w:w="2980"/>
      </w:tblGrid>
      <w:tr>
        <w:trPr>
          <w:tblHeader/>
        </w:trPr>
        <w:tc>
          <w:tcPr>
            <w:tcW w:type="dxa" w:w="15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Type</w:t>
            </w:r>
          </w:p>
        </w:tc>
        <w:tc>
          <w:tcPr>
            <w:tcW w:type="dxa" w:w="56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Scope</w:t>
            </w:r>
          </w:p>
        </w:tc>
        <w:tc>
          <w:tcPr>
            <w:tcW w:type="dxa" w:w="298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File location</w:t>
            </w:r>
          </w:p>
        </w:tc>
      </w:tr>
      <w:tr>
        <w:trPr>
          <w:tblHeader w:val="false"/>
        </w:trPr>
        <w:tc>
          <w:tcPr>
            <w:tcW w:type="dxa" w:w="1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Unit</w:t>
            </w:r>
          </w:p>
        </w:tc>
        <w:tc>
          <w:tcPr>
            <w:tcW w:type="dxa" w:w="56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Functions that only compute: pricing, credit balance, stock remaining, date keys, forecasts, filters</w:t>
            </w:r>
          </w:p>
        </w:tc>
        <w:tc>
          <w:tcPr>
            <w:tcW w:type="dxa" w:w="29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**/core/, **/helpers/</w:t>
            </w:r>
          </w:p>
        </w:tc>
      </w:tr>
      <w:tr>
        <w:trPr>
          <w:tblHeader w:val="false"/>
        </w:trPr>
        <w:tc>
          <w:tcPr>
            <w:tcW w:type="dxa" w:w="1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Integration</w:t>
            </w:r>
          </w:p>
        </w:tc>
        <w:tc>
          <w:tcPr>
            <w:tcW w:type="dxa" w:w="56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Services and DAOs saving into a genuine SQLite database, outbox rows included</w:t>
            </w:r>
          </w:p>
        </w:tc>
        <w:tc>
          <w:tcPr>
            <w:tcW w:type="dxa" w:w="29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src/tests/**/services/, src/tests/lib/</w:t>
            </w:r>
          </w:p>
        </w:tc>
      </w:tr>
      <w:tr>
        <w:trPr>
          <w:tblHeader w:val="false"/>
        </w:trPr>
        <w:tc>
          <w:tcPr>
            <w:tcW w:type="dxa" w:w="1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Hook</w:t>
            </w:r>
          </w:p>
        </w:tc>
        <w:tc>
          <w:tcPr>
            <w:tcW w:type="dxa" w:w="56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Hooks executed through renderHook to confirm the correct service is called</w:t>
            </w:r>
          </w:p>
        </w:tc>
        <w:tc>
          <w:tcPr>
            <w:tcW w:type="dxa" w:w="29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**/hooks/__tests__/</w:t>
            </w:r>
          </w:p>
        </w:tc>
      </w:tr>
      <w:tr>
        <w:trPr>
          <w:tblHeader w:val="false"/>
        </w:trPr>
        <w:tc>
          <w:tcPr>
            <w:tcW w:type="dxa" w:w="1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Component</w:t>
            </w:r>
          </w:p>
        </w:tc>
        <w:tc>
          <w:tcPr>
            <w:tcW w:type="dxa" w:w="56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Interface pieces the agent uses directly — rows, cards, steppers, charts</w:t>
            </w:r>
          </w:p>
        </w:tc>
        <w:tc>
          <w:tcPr>
            <w:tcW w:type="dxa" w:w="29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**/components/__tests__/</w:t>
            </w:r>
          </w:p>
        </w:tc>
      </w:tr>
      <w:tr>
        <w:trPr>
          <w:tblHeader w:val="false"/>
        </w:trPr>
        <w:tc>
          <w:tcPr>
            <w:tcW w:type="dxa" w:w="1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End-to-end</w:t>
            </w:r>
          </w:p>
        </w:tc>
        <w:tc>
          <w:tcPr>
            <w:tcW w:type="dxa" w:w="56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Skipped by choice. Section 6 replaces it with a manual pass.</w:t>
            </w:r>
          </w:p>
        </w:tc>
        <w:tc>
          <w:tcPr>
            <w:tcW w:type="dxa" w:w="29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w:t>
            </w:r>
          </w:p>
        </w:tc>
      </w:tr>
    </w:tbl>
    <w:p>
      <w:pPr>
        <w:spacing w:after="0" w:before="80" w:line="240"/>
      </w:pPr>
      <w:r>
        <w:rPr>
          <w:rFonts w:ascii="Consolas" w:cs="Consolas" w:eastAsia="Consolas" w:hAnsi="Consolas"/>
          <w:sz w:val="16"/>
          <w:szCs w:val="16"/>
        </w:rPr>
        <w:t xml:space="preserve">cd apps/admin       →  pnpm install --frozen-lockfile &amp;&amp; pnpm test</w:t>
      </w:r>
    </w:p>
    <w:p>
      <w:pPr>
        <w:spacing w:after="60" w:before="0" w:line="240"/>
      </w:pPr>
      <w:r>
        <w:rPr>
          <w:rFonts w:ascii="Consolas" w:cs="Consolas" w:eastAsia="Consolas" w:hAnsi="Consolas"/>
          <w:sz w:val="16"/>
          <w:szCs w:val="16"/>
        </w:rPr>
        <w:t xml:space="preserve">cd apps/agent-app   →  npm ci &amp;&amp; npx tsc --noEmit &amp;&amp; npm test</w:t>
      </w:r>
    </w:p>
    <w:p>
      <w:pPr>
        <w:spacing w:after="60" w:before="0" w:line="240"/>
      </w:pPr>
      <w:r>
        <w:rPr>
          <w:rFonts w:ascii="Calibri" w:cs="Calibri" w:eastAsia="Calibri" w:hAnsi="Calibri"/>
          <w:b/>
          <w:bCs/>
          <w:sz w:val="16"/>
          <w:szCs w:val="16"/>
        </w:rPr>
        <w:t xml:space="preserve">Node 22 is a hard requirement for the mobile suite. </w:t>
      </w:r>
      <w:r>
        <w:rPr>
          <w:rFonts w:ascii="Calibri" w:cs="Calibri" w:eastAsia="Calibri" w:hAnsi="Calibri"/>
          <w:sz w:val="16"/>
          <w:szCs w:val="16"/>
        </w:rPr>
        <w:t xml:space="preserve">apps/agent-app/__mocks__/expo-sqlite.js substitutes the device database with node:sqlite, a module Node only ships from 22.5 upward, so the tests execute against an actual in-memory SQL engine rather than a stand-in. Parent records are inserted through the DAOs by db-test-helpers.ts, which keeps the outbox holding only what the tested behaviour put there.</w:t>
      </w:r>
    </w:p>
    <w:p>
      <w:pPr>
        <w:spacing w:after="40"/>
      </w:pPr>
      <w:r>
        <w:rPr>
          <w:rFonts w:ascii="Calibri" w:cs="Calibri" w:eastAsia="Calibri" w:hAnsi="Calibri"/>
          <w:sz w:val="2"/>
          <w:szCs w:val="2"/>
        </w:rPr>
        <w:t xml:space="preserve"/>
      </w:r>
    </w:p>
    <w:p>
      <w:pPr>
        <w:spacing w:after="50" w:before="130"/>
      </w:pPr>
      <w:r>
        <w:rPr>
          <w:rFonts w:ascii="Calibri" w:cs="Calibri" w:eastAsia="Calibri" w:hAnsi="Calibri"/>
          <w:b/>
          <w:bCs/>
          <w:color w:val="1F3864"/>
          <w:sz w:val="20"/>
          <w:szCs w:val="20"/>
        </w:rPr>
        <w:t xml:space="preserve">3.  Current results</w:t>
      </w:r>
    </w:p>
    <w:tbl>
      <w:tblPr>
        <w:tblW w:type="dxa" w:w="10080"/>
        <w:tblBorders>
          <w:top w:val="single" w:color="B7C3D6" w:sz="2"/>
          <w:left w:val="single" w:color="B7C3D6" w:sz="2"/>
          <w:bottom w:val="single" w:color="B7C3D6" w:sz="2"/>
          <w:right w:val="single" w:color="B7C3D6" w:sz="2"/>
          <w:insideH w:val="single" w:color="D6DEEA" w:sz="2"/>
          <w:insideV w:val="single" w:color="D6DEEA" w:sz="2"/>
        </w:tblBorders>
      </w:tblPr>
      <w:tblGrid>
        <w:gridCol w:w="2400"/>
        <w:gridCol w:w="2500"/>
        <w:gridCol w:w="1300"/>
        <w:gridCol w:w="1300"/>
        <w:gridCol w:w="1400"/>
        <w:gridCol w:w="1180"/>
      </w:tblGrid>
      <w:tr>
        <w:trPr>
          <w:tblHeader/>
        </w:trPr>
        <w:tc>
          <w:tcPr>
            <w:tcW w:type="dxa" w:w="24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Application</w:t>
            </w:r>
          </w:p>
        </w:tc>
        <w:tc>
          <w:tcPr>
            <w:tcW w:type="dxa" w:w="25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Runner</w:t>
            </w:r>
          </w:p>
        </w:tc>
        <w:tc>
          <w:tcPr>
            <w:tcW w:type="dxa" w:w="13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Files</w:t>
            </w:r>
          </w:p>
        </w:tc>
        <w:tc>
          <w:tcPr>
            <w:tcW w:type="dxa" w:w="13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Cases</w:t>
            </w:r>
          </w:p>
        </w:tc>
        <w:tc>
          <w:tcPr>
            <w:tcW w:type="dxa" w:w="14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Status</w:t>
            </w:r>
          </w:p>
        </w:tc>
        <w:tc>
          <w:tcPr>
            <w:tcW w:type="dxa" w:w="118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Duration</w:t>
            </w:r>
          </w:p>
        </w:tc>
      </w:tr>
      <w:tr>
        <w:trPr>
          <w:tblHeader w:val="false"/>
        </w:trPr>
        <w:tc>
          <w:tcPr>
            <w:tcW w:type="dxa" w:w="24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apps/admin</w:t>
            </w:r>
          </w:p>
        </w:tc>
        <w:tc>
          <w:tcPr>
            <w:tcW w:type="dxa" w:w="2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Vitest 4.1.10 (jsdom)</w:t>
            </w:r>
          </w:p>
        </w:tc>
        <w:tc>
          <w:tcPr>
            <w:tcW w:type="dxa" w:w="13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64</w:t>
            </w:r>
          </w:p>
        </w:tc>
        <w:tc>
          <w:tcPr>
            <w:tcW w:type="dxa" w:w="13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371</w:t>
            </w:r>
          </w:p>
        </w:tc>
        <w:tc>
          <w:tcPr>
            <w:tcW w:type="dxa" w:w="14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passing</w:t>
            </w:r>
          </w:p>
        </w:tc>
        <w:tc>
          <w:tcPr>
            <w:tcW w:type="dxa" w:w="11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roughly 63 s</w:t>
            </w:r>
          </w:p>
        </w:tc>
      </w:tr>
      <w:tr>
        <w:trPr>
          <w:tblHeader w:val="false"/>
        </w:trPr>
        <w:tc>
          <w:tcPr>
            <w:tcW w:type="dxa" w:w="24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apps/agent-app</w:t>
            </w:r>
          </w:p>
        </w:tc>
        <w:tc>
          <w:tcPr>
            <w:tcW w:type="dxa" w:w="2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Jest 29 / jest-expo 54</w:t>
            </w:r>
          </w:p>
        </w:tc>
        <w:tc>
          <w:tcPr>
            <w:tcW w:type="dxa" w:w="13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95</w:t>
            </w:r>
          </w:p>
        </w:tc>
        <w:tc>
          <w:tcPr>
            <w:tcW w:type="dxa" w:w="13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479</w:t>
            </w:r>
          </w:p>
        </w:tc>
        <w:tc>
          <w:tcPr>
            <w:tcW w:type="dxa" w:w="14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passing</w:t>
            </w:r>
          </w:p>
        </w:tc>
        <w:tc>
          <w:tcPr>
            <w:tcW w:type="dxa" w:w="11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roughly 43 s</w:t>
            </w:r>
          </w:p>
        </w:tc>
      </w:tr>
      <w:tr>
        <w:trPr>
          <w:tblHeader w:val="false"/>
        </w:trPr>
        <w:tc>
          <w:tcPr>
            <w:tcW w:type="dxa" w:w="24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Total</w:t>
            </w:r>
          </w:p>
        </w:tc>
        <w:tc>
          <w:tcPr>
            <w:tcW w:type="dxa" w:w="2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
            </w:r>
          </w:p>
        </w:tc>
        <w:tc>
          <w:tcPr>
            <w:tcW w:type="dxa" w:w="13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159</w:t>
            </w:r>
          </w:p>
        </w:tc>
        <w:tc>
          <w:tcPr>
            <w:tcW w:type="dxa" w:w="13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850</w:t>
            </w:r>
          </w:p>
        </w:tc>
        <w:tc>
          <w:tcPr>
            <w:tcW w:type="dxa" w:w="14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
            </w:r>
          </w:p>
        </w:tc>
        <w:tc>
          <w:tcPr>
            <w:tcW w:type="dxa" w:w="11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roughly 106 s</w:t>
            </w:r>
          </w:p>
        </w:tc>
      </w:tr>
    </w:tbl>
    <w:p>
      <w:pPr>
        <w:spacing w:after="60" w:before="80" w:line="240"/>
      </w:pPr>
      <w:r>
        <w:rPr>
          <w:rFonts w:ascii="Calibri" w:cs="Calibri" w:eastAsia="Calibri" w:hAnsi="Calibri"/>
          <w:b/>
          <w:bCs/>
          <w:sz w:val="16"/>
          <w:szCs w:val="16"/>
        </w:rPr>
        <w:t xml:space="preserve">Admin breakdown: </w:t>
      </w:r>
      <w:r>
        <w:rPr>
          <w:rFonts w:ascii="Calibri" w:cs="Calibri" w:eastAsia="Calibri" w:hAnsi="Calibri"/>
          <w:sz w:val="16"/>
          <w:szCs w:val="16"/>
        </w:rPr>
        <w:t xml:space="preserve">18 files for Intelligence helpers (Holt-Winters forecasting, forecast bounds, bad-order rates, rankings by province and product, production recommendations); 12 for the dashboard (date ranges, sales timeline, KPIs, leading agents and products, peso formatting, variance); 11 for Intelligence components; 7 records; 5 products; 3 sessions; 2 stores; 2 lib; 4 elsewhere.</w:t>
      </w:r>
    </w:p>
    <w:p>
      <w:pPr>
        <w:spacing w:after="60" w:before="0" w:line="240"/>
      </w:pPr>
      <w:r>
        <w:rPr>
          <w:rFonts w:ascii="Calibri" w:cs="Calibri" w:eastAsia="Calibri" w:hAnsi="Calibri"/>
          <w:b/>
          <w:bCs/>
          <w:sz w:val="16"/>
          <w:szCs w:val="16"/>
        </w:rPr>
        <w:t xml:space="preserve">Mobile breakdown: </w:t>
      </w:r>
      <w:r>
        <w:rPr>
          <w:rFonts w:ascii="Calibri" w:cs="Calibri" w:eastAsia="Calibri" w:hAnsi="Calibri"/>
          <w:sz w:val="16"/>
          <w:szCs w:val="16"/>
        </w:rPr>
        <w:t xml:space="preserve">22 files under store (credit balances, payment allocation, province price modifiers, stock availability, sale validation); 16 history; 12 sync (incremental downloads, cursors, collapsing open sessions, mapping cloud records to local ones); 12 routes; 11 inventory and ending inventory; 10 sessions; 7 auth, settings and shared; 5 lib.</w:t>
      </w:r>
    </w:p>
    <w:p>
      <w:pPr>
        <w:spacing w:after="40"/>
      </w:pPr>
      <w:r>
        <w:rPr>
          <w:rFonts w:ascii="Calibri" w:cs="Calibri" w:eastAsia="Calibri" w:hAnsi="Calibri"/>
          <w:sz w:val="2"/>
          <w:szCs w:val="2"/>
        </w:rPr>
        <w:t xml:space="preserve"/>
      </w:r>
    </w:p>
    <w:p>
      <w:pPr>
        <w:spacing w:after="50" w:before="130"/>
      </w:pPr>
      <w:r>
        <w:rPr>
          <w:rFonts w:ascii="Calibri" w:cs="Calibri" w:eastAsia="Calibri" w:hAnsi="Calibri"/>
          <w:b/>
          <w:bCs/>
          <w:color w:val="1F3864"/>
          <w:sz w:val="20"/>
          <w:szCs w:val="20"/>
        </w:rPr>
        <w:t xml:space="preserve">4.  Continuous integration</w:t>
      </w:r>
    </w:p>
    <w:p>
      <w:pPr>
        <w:spacing w:after="60" w:before="0" w:line="240"/>
      </w:pPr>
      <w:r>
        <w:rPr>
          <w:rFonts w:ascii="Calibri" w:cs="Calibri" w:eastAsia="Calibri" w:hAnsi="Calibri"/>
          <w:sz w:val="17"/>
          <w:szCs w:val="17"/>
        </w:rPr>
        <w:t xml:space="preserve">The pipeline in .github/workflows/ci.yml triggers on pushes and pull requests aimed at main, and on demand. Select "Quality gate" as the required check under branch protection, and a failure in either application will stop the merge.</w:t>
      </w:r>
    </w:p>
    <w:tbl>
      <w:tblPr>
        <w:tblW w:type="dxa" w:w="10080"/>
        <w:tblBorders>
          <w:top w:val="single" w:color="B7C3D6" w:sz="2"/>
          <w:left w:val="single" w:color="B7C3D6" w:sz="2"/>
          <w:bottom w:val="single" w:color="B7C3D6" w:sz="2"/>
          <w:right w:val="single" w:color="B7C3D6" w:sz="2"/>
          <w:insideH w:val="single" w:color="D6DEEA" w:sz="2"/>
          <w:insideV w:val="single" w:color="D6DEEA" w:sz="2"/>
        </w:tblBorders>
      </w:tblPr>
      <w:tblGrid>
        <w:gridCol w:w="2900"/>
        <w:gridCol w:w="5100"/>
        <w:gridCol w:w="2080"/>
      </w:tblGrid>
      <w:tr>
        <w:trPr>
          <w:tblHeader/>
        </w:trPr>
        <w:tc>
          <w:tcPr>
            <w:tcW w:type="dxa" w:w="29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Job</w:t>
            </w:r>
          </w:p>
        </w:tc>
        <w:tc>
          <w:tcPr>
            <w:tcW w:type="dxa" w:w="51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Sequence of steps</w:t>
            </w:r>
          </w:p>
        </w:tc>
        <w:tc>
          <w:tcPr>
            <w:tcW w:type="dxa" w:w="208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Merge-blocking</w:t>
            </w:r>
          </w:p>
        </w:tc>
      </w:tr>
      <w:tr>
        <w:trPr>
          <w:tblHeader w:val="false"/>
        </w:trPr>
        <w:tc>
          <w:tcPr>
            <w:tcW w:type="dxa" w:w="29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Admin dashboard (vitest)</w:t>
            </w:r>
          </w:p>
        </w:tc>
        <w:tc>
          <w:tcPr>
            <w:tcW w:type="dxa" w:w="51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pnpm install --frozen-lockfile → pnpm test → pnpm lint</w:t>
            </w:r>
          </w:p>
        </w:tc>
        <w:tc>
          <w:tcPr>
            <w:tcW w:type="dxa" w:w="20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Tests only; lint reports, does not block</w:t>
            </w:r>
          </w:p>
        </w:tc>
      </w:tr>
      <w:tr>
        <w:trPr>
          <w:tblHeader w:val="false"/>
        </w:trPr>
        <w:tc>
          <w:tcPr>
            <w:tcW w:type="dxa" w:w="29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Agent mobile app (jest)</w:t>
            </w:r>
          </w:p>
        </w:tc>
        <w:tc>
          <w:tcPr>
            <w:tcW w:type="dxa" w:w="51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npm ci → npx tsc --noEmit → npm test -- --ci</w:t>
            </w:r>
          </w:p>
        </w:tc>
        <w:tc>
          <w:tcPr>
            <w:tcW w:type="dxa" w:w="20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All three steps</w:t>
            </w:r>
          </w:p>
        </w:tc>
      </w:tr>
      <w:tr>
        <w:trPr>
          <w:tblHeader w:val="false"/>
        </w:trPr>
        <w:tc>
          <w:tcPr>
            <w:tcW w:type="dxa" w:w="29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Quality gate</w:t>
            </w:r>
          </w:p>
        </w:tc>
        <w:tc>
          <w:tcPr>
            <w:tcW w:type="dxa" w:w="51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Combines the two outcomes into a single summary</w:t>
            </w:r>
          </w:p>
        </w:tc>
        <w:tc>
          <w:tcPr>
            <w:tcW w:type="dxa" w:w="20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Yes</w:t>
            </w:r>
          </w:p>
        </w:tc>
      </w:tr>
    </w:tbl>
    <w:p>
      <w:pPr>
        <w:spacing w:after="60" w:before="80" w:line="240"/>
      </w:pPr>
      <w:r>
        <w:rPr>
          <w:rFonts w:ascii="Calibri" w:cs="Calibri" w:eastAsia="Calibri" w:hAnsi="Calibri"/>
          <w:b/>
          <w:bCs/>
          <w:sz w:val="16"/>
          <w:szCs w:val="16"/>
        </w:rPr>
        <w:t xml:space="preserve">Requirements for merging. </w:t>
      </w:r>
      <w:r>
        <w:rPr>
          <w:rFonts w:ascii="Calibri" w:cs="Calibri" w:eastAsia="Calibri" w:hAnsi="Calibri"/>
          <w:sz w:val="16"/>
          <w:szCs w:val="16"/>
        </w:rPr>
        <w:t xml:space="preserve">Both suites have to pass. Any function added to core/ or helpers/ arrives with tests for the ordinary path, an empty value and one boundary condition. Any service that writes to SQLite must verify the saved record together with the outbox entry it creates. Where money, stock or credit is involved, use figures that expose off-by-one and rounding mistakes instead of tidy round values. Keep tsc --noEmit passing in apps/agent-app. And when a change lifts one of the limitations written in the manuscript, note it in the pull request so the manuscript gets updated as well.</w:t>
      </w:r>
    </w:p>
    <w:p>
      <w:pPr>
        <w:spacing w:after="40"/>
      </w:pPr>
      <w:r>
        <w:rPr>
          <w:rFonts w:ascii="Calibri" w:cs="Calibri" w:eastAsia="Calibri" w:hAnsi="Calibri"/>
          <w:sz w:val="2"/>
          <w:szCs w:val="2"/>
        </w:rPr>
        <w:t xml:space="preserve"/>
      </w:r>
    </w:p>
    <w:p>
      <w:pPr>
        <w:spacing w:after="50" w:before="130"/>
      </w:pPr>
      <w:r>
        <w:rPr>
          <w:rFonts w:ascii="Calibri" w:cs="Calibri" w:eastAsia="Calibri" w:hAnsi="Calibri"/>
          <w:b/>
          <w:bCs/>
          <w:color w:val="1F3864"/>
          <w:sz w:val="20"/>
          <w:szCs w:val="20"/>
        </w:rPr>
        <w:t xml:space="preserve">5.  Gaps the passing build does not cover</w:t>
      </w:r>
    </w:p>
    <w:tbl>
      <w:tblPr>
        <w:tblW w:type="dxa" w:w="10080"/>
        <w:tblBorders>
          <w:top w:val="single" w:color="B7C3D6" w:sz="2"/>
          <w:left w:val="single" w:color="B7C3D6" w:sz="2"/>
          <w:bottom w:val="single" w:color="B7C3D6" w:sz="2"/>
          <w:right w:val="single" w:color="B7C3D6" w:sz="2"/>
          <w:insideH w:val="single" w:color="D6DEEA" w:sz="2"/>
          <w:insideV w:val="single" w:color="D6DEEA" w:sz="2"/>
        </w:tblBorders>
      </w:tblPr>
      <w:tblGrid>
        <w:gridCol w:w="3700"/>
        <w:gridCol w:w="3500"/>
        <w:gridCol w:w="2880"/>
      </w:tblGrid>
      <w:tr>
        <w:trPr>
          <w:tblHeader/>
        </w:trPr>
        <w:tc>
          <w:tcPr>
            <w:tcW w:type="dxa" w:w="37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Area with no coverage</w:t>
            </w:r>
          </w:p>
        </w:tc>
        <w:tc>
          <w:tcPr>
            <w:tcW w:type="dxa" w:w="350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Possible consequence</w:t>
            </w:r>
          </w:p>
        </w:tc>
        <w:tc>
          <w:tcPr>
            <w:tcW w:type="dxa" w:w="2880"/>
            <w:shd w:fill="E8EDF5" w:color="auto" w:val="clear"/>
            <w:tcMar>
              <w:top w:type="dxa" w:w="30"/>
              <w:left w:type="dxa" w:w="90"/>
              <w:bottom w:type="dxa" w:w="30"/>
              <w:right w:type="dxa" w:w="90"/>
            </w:tcMar>
          </w:tcPr>
          <w:p>
            <w:pPr>
              <w:spacing w:after="0" w:before="0" w:line="210"/>
            </w:pPr>
            <w:r>
              <w:rPr>
                <w:rFonts w:ascii="Calibri" w:cs="Calibri" w:eastAsia="Calibri" w:hAnsi="Calibri"/>
                <w:b/>
                <w:bCs/>
                <w:sz w:val="16"/>
                <w:szCs w:val="16"/>
              </w:rPr>
              <w:t xml:space="preserve">Planned response</w:t>
            </w:r>
          </w:p>
        </w:tc>
      </w:tr>
      <w:tr>
        <w:trPr>
          <w:tblHeader w:val="false"/>
        </w:trPr>
        <w:tc>
          <w:tcPr>
            <w:tcW w:type="dxa" w:w="37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No complete device walkthrough</w:t>
            </w:r>
          </w:p>
        </w:tc>
        <w:tc>
          <w:tcPr>
            <w:tcW w:type="dxa" w:w="3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The sequence of login, route start, store visits, stock count and sync is never tested as one piece</w:t>
            </w:r>
          </w:p>
        </w:tc>
        <w:tc>
          <w:tcPr>
            <w:tcW w:type="dxa" w:w="28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Handled by the manual list in section 6</w:t>
            </w:r>
          </w:p>
        </w:tc>
      </w:tr>
      <w:tr>
        <w:trPr>
          <w:tblHeader w:val="false"/>
        </w:trPr>
        <w:tc>
          <w:tcPr>
            <w:tcW w:type="dxa" w:w="37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Supabase policies and migrations lack tests</w:t>
            </w:r>
          </w:p>
        </w:tc>
        <w:tc>
          <w:tcPr>
            <w:tcW w:type="dxa" w:w="3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Changing a policy might reveal or hide rows while every test still reports success</w:t>
            </w:r>
          </w:p>
        </w:tc>
        <w:tc>
          <w:tcPr>
            <w:tcW w:type="dxa" w:w="28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Inspect supabase/migrations during review; confirm using a non-admin account</w:t>
            </w:r>
          </w:p>
        </w:tc>
      </w:tr>
      <w:tr>
        <w:trPr>
          <w:tblHeader w:val="false"/>
        </w:trPr>
        <w:tc>
          <w:tcPr>
            <w:tcW w:type="dxa" w:w="37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The outbox upload step is untested</w:t>
            </w:r>
          </w:p>
        </w:tc>
        <w:tc>
          <w:tcPr>
            <w:tcW w:type="dxa" w:w="3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Queuing is verified, but sending to the server is replaced by a stub</w:t>
            </w:r>
          </w:p>
        </w:tc>
        <w:tc>
          <w:tcPr>
            <w:tcW w:type="dxa" w:w="28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Covered by the sync item in section 6</w:t>
            </w:r>
          </w:p>
        </w:tc>
      </w:tr>
      <w:tr>
        <w:trPr>
          <w:tblHeader w:val="false"/>
        </w:trPr>
        <w:tc>
          <w:tcPr>
            <w:tcW w:type="dxa" w:w="37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sql-validators.ts in the chat feature is untested</w:t>
            </w:r>
          </w:p>
        </w:tc>
        <w:tc>
          <w:tcPr>
            <w:tcW w:type="dxa" w:w="3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It restricts AI-written SQL to read-only queries, so a fault here becomes a security problem rather than a minor defect</w:t>
            </w:r>
          </w:p>
        </w:tc>
        <w:tc>
          <w:tcPr>
            <w:tcW w:type="dxa" w:w="28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Highest priority for the next test</w:t>
            </w:r>
          </w:p>
        </w:tc>
      </w:tr>
      <w:tr>
        <w:trPr>
          <w:tblHeader w:val="false"/>
        </w:trPr>
        <w:tc>
          <w:tcPr>
            <w:tcW w:type="dxa" w:w="37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Untested as well: clamp-payment-amount, ending-inventory-save-service, authGate, products-service, and admin helpers rankStores, filterStores, searchRecords, filterPayments</w:t>
            </w:r>
          </w:p>
        </w:tc>
        <w:tc>
          <w:tcPr>
            <w:tcW w:type="dxa" w:w="3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Two of these deal with money and stock; the remainder are straightforward functions that take little effort to cover</w:t>
            </w:r>
          </w:p>
        </w:tc>
        <w:tc>
          <w:tcPr>
            <w:tcW w:type="dxa" w:w="28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Scheduled as upcoming unit and integration tests</w:t>
            </w:r>
          </w:p>
        </w:tc>
      </w:tr>
      <w:tr>
        <w:trPr>
          <w:tblHeader w:val="false"/>
        </w:trPr>
        <w:tc>
          <w:tcPr>
            <w:tcW w:type="dxa" w:w="37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Coverage has no minimum threshold</w:t>
            </w:r>
          </w:p>
        </w:tc>
        <w:tc>
          <w:tcPr>
            <w:tcW w:type="dxa" w:w="350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The percentage can fall gradually and go unnoticed</w:t>
            </w:r>
          </w:p>
        </w:tc>
        <w:tc>
          <w:tcPr>
            <w:tcW w:type="dxa" w:w="288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Enable --coverage with a lower limit after the items above are handled</w:t>
            </w:r>
          </w:p>
        </w:tc>
      </w:tr>
    </w:tbl>
    <w:p>
      <w:pPr>
        <w:spacing w:after="60" w:before="80" w:line="240"/>
      </w:pPr>
      <w:r>
        <w:rPr>
          <w:rFonts w:ascii="Calibri" w:cs="Calibri" w:eastAsia="Calibri" w:hAnsi="Calibri"/>
          <w:b/>
          <w:bCs/>
          <w:sz w:val="16"/>
          <w:szCs w:val="16"/>
        </w:rPr>
        <w:t xml:space="preserve">Outstanding lint and type issues. </w:t>
      </w:r>
      <w:r>
        <w:rPr>
          <w:rFonts w:ascii="Calibri" w:cs="Calibri" w:eastAsia="Calibri" w:hAnsi="Calibri"/>
          <w:sz w:val="16"/>
          <w:szCs w:val="16"/>
        </w:rPr>
        <w:t xml:space="preserve">apps/admin currently reports 222 lint messages — 80 errors alongside 142 warnings — which is why CI only prints them rather than failing. The bulk is structural: 68 over-long functions, 3 that exceed the complexity limit, and 1 unescaped character. Eight of them, though, point at genuine problems — six components call setState directly inside an effect (useSessionInventory, useSessionStores, useStoreSales, useCredit, useStoreTopProducts), and two access a ref during rendering (ChatFab.tsx), all of which trigger repeated renders. Clear those before switching lint to blocking. The admin type check also reports 10 errors confined to lib/__tests__/computeInventoryVariance.test.ts, where Vitest globals are undeclared; adding "types": ["vitest/globals"] to tsconfig.json resolves it and lets the admin job type-check as well.</w:t>
      </w:r>
    </w:p>
    <w:p>
      <w:pPr>
        <w:spacing w:after="40"/>
      </w:pPr>
      <w:r>
        <w:rPr>
          <w:rFonts w:ascii="Calibri" w:cs="Calibri" w:eastAsia="Calibri" w:hAnsi="Calibri"/>
          <w:sz w:val="2"/>
          <w:szCs w:val="2"/>
        </w:rPr>
        <w:t xml:space="preserve"/>
      </w:r>
    </w:p>
    <w:p>
      <w:pPr>
        <w:spacing w:after="50" w:before="130"/>
      </w:pPr>
      <w:r>
        <w:rPr>
          <w:rFonts w:ascii="Calibri" w:cs="Calibri" w:eastAsia="Calibri" w:hAnsi="Calibri"/>
          <w:b/>
          <w:bCs/>
          <w:color w:val="1F3864"/>
          <w:sz w:val="20"/>
          <w:szCs w:val="20"/>
        </w:rPr>
        <w:t xml:space="preserve">6.  Pre-release manual test pass</w:t>
      </w:r>
    </w:p>
    <w:p>
      <w:pPr>
        <w:spacing w:after="60" w:before="0" w:line="240"/>
      </w:pPr>
      <w:r>
        <w:rPr>
          <w:rFonts w:ascii="Calibri" w:cs="Calibri" w:eastAsia="Calibri" w:hAnsi="Calibri"/>
          <w:sz w:val="17"/>
          <w:szCs w:val="17"/>
        </w:rPr>
        <w:t xml:space="preserve">Perform these steps on an actual Android handset connected to staging. Nothing below is automated.</w:t>
      </w:r>
    </w:p>
    <w:tbl>
      <w:tblPr>
        <w:tblW w:type="dxa" w:w="10080"/>
        <w:tblBorders>
          <w:top w:val="single" w:color="B7C3D6" w:sz="2"/>
          <w:left w:val="single" w:color="B7C3D6" w:sz="2"/>
          <w:bottom w:val="single" w:color="B7C3D6" w:sz="2"/>
          <w:right w:val="single" w:color="B7C3D6" w:sz="2"/>
          <w:insideH w:val="single" w:color="D6DEEA" w:sz="2"/>
          <w:insideV w:val="single" w:color="D6DEEA" w:sz="2"/>
        </w:tblBorders>
      </w:tblPr>
      <w:tblGrid>
        <w:gridCol w:w="5040"/>
        <w:gridCol w:w="5040"/>
      </w:tblGrid>
      <w:tr>
        <w:trPr>
          <w:tblHeader w:val="false"/>
        </w:trPr>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1. Log in as an agent on a clean install and confirm routes, stores and products arrive.</w:t>
            </w:r>
          </w:p>
        </w:tc>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6. Have two agents cover one store on the same date, then confirm each visit is filed under the right session (ADR 0004).</w:t>
            </w:r>
          </w:p>
        </w:tc>
      </w:tr>
      <w:tr>
        <w:trPr>
          <w:tblHeader w:val="false"/>
        </w:trPr>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2. Enable airplane mode and log visits, sales, a backorder, a credit charge and a payment — all should be stored without errors.</w:t>
            </w:r>
          </w:p>
        </w:tc>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7. Review sales, records, payments and intelligence in the dashboard; figures should agree with the session recorded, and credit sales must stay out of sales totals.</w:t>
            </w:r>
          </w:p>
        </w:tc>
      </w:tr>
      <w:tr>
        <w:trPr>
          <w:tblHeader w:val="false"/>
        </w:trPr>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3. Force-close and relaunch the app while offline; every offline entry should remain.</w:t>
            </w:r>
          </w:p>
        </w:tc>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8. Apply a credit charge, settle part of it, then settle the remainder — the balance should reach zero with all three entries listed.</w:t>
            </w:r>
          </w:p>
        </w:tc>
      </w:tr>
      <w:tr>
        <w:trPr>
          <w:tblHeader w:val="false"/>
        </w:trPr>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4. Reconnect and watch the pending count fall to zero as the records surface in the dashboard.</w:t>
            </w:r>
          </w:p>
        </w:tc>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9. Attempt to sign out with unsynced records present; the pending-wipe warning must appear and prevent the loss.</w:t>
            </w:r>
          </w:p>
        </w:tc>
      </w:tr>
      <w:tr>
        <w:trPr>
          <w:tblHeader w:val="false"/>
        </w:trPr>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5. Submit the ending inventory and close the route; the variance shown should agree with the admin variance page.</w:t>
            </w:r>
          </w:p>
        </w:tc>
        <w:tc>
          <w:tcPr>
            <w:tcW w:type="dxa" w:w="5040"/>
            <w:tcMar>
              <w:top w:type="dxa" w:w="30"/>
              <w:left w:type="dxa" w:w="90"/>
              <w:bottom w:type="dxa" w:w="30"/>
              <w:right w:type="dxa" w:w="90"/>
            </w:tcMar>
          </w:tcPr>
          <w:p>
            <w:pPr>
              <w:spacing w:after="0" w:before="0" w:line="210"/>
            </w:pPr>
            <w:r>
              <w:rPr>
                <w:rFonts w:ascii="Calibri" w:cs="Calibri" w:eastAsia="Calibri" w:hAnsi="Calibri"/>
                <w:b w:val="false"/>
                <w:bCs w:val="false"/>
                <w:sz w:val="16"/>
                <w:szCs w:val="16"/>
              </w:rPr>
              <w:t xml:space="preserve">10. Allow the token to expire or reinstall the app, then sign in again (ADR 0005) without leaving local data orphaned.</w:t>
            </w:r>
          </w:p>
        </w:tc>
      </w:tr>
    </w:tbl>
    <w:p>
      <w:pPr>
        <w:spacing w:after="60" w:before="80" w:line="240"/>
      </w:pPr>
      <w:r>
        <w:rPr>
          <w:rFonts w:ascii="Calibri" w:cs="Calibri" w:eastAsia="Calibri" w:hAnsi="Calibri"/>
          <w:b/>
          <w:bCs/>
          <w:sz w:val="16"/>
          <w:szCs w:val="16"/>
        </w:rPr>
        <w:t xml:space="preserve">Handling a reported defect. </w:t>
      </w:r>
      <w:r>
        <w:rPr>
          <w:rFonts w:ascii="Calibri" w:cs="Calibri" w:eastAsia="Calibri" w:hAnsi="Calibri"/>
          <w:sz w:val="16"/>
          <w:szCs w:val="16"/>
        </w:rPr>
        <w:t xml:space="preserve">Start by reproducing it, then add a test that fails on account of it — placed in core/ as a unit test when possible, or as an integration test if the fault lies in storage or synchronisation. Correct the code afterwards and confirm both the new test and the whole suite pass. Mention the test file in the pull request so reviewers can see the guard preventing a silent return.</w:t>
      </w:r>
    </w:p>
    <w:sectPr>
      <w:footerReference w:type="default" r:id="rId7"/>
      <w:pgSz w:w="12240" w:h="15840" w:orient="portrait"/>
      <w:pgMar w:top="820" w:right="1080" w:bottom="7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4"/>
        <w:szCs w:val="14"/>
      </w:rPr>
      <w:t xml:space="preserve">JMD Bakery DMS — Quality Assurance Plan ·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2026-09-14T14:59:37.757Z</dcterms:created>
  <dcterms:modified xsi:type="dcterms:W3CDTF">2026-09-14T14:59:37.757Z</dcterms:modified>
</cp:coreProperties>
</file>

<file path=docProps/custom.xml><?xml version="1.0" encoding="utf-8"?>
<Properties xmlns="http://schemas.openxmlformats.org/officeDocument/2006/custom-properties" xmlns:vt="http://schemas.openxmlformats.org/officeDocument/2006/docPropsVTypes"/>
</file>