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week-5-system-integration-documentation"/>
    <w:p>
      <w:pPr>
        <w:pStyle w:val="Heading1"/>
      </w:pPr>
      <w:r>
        <w:t xml:space="preserve">Week 5 System Integration —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documents the module integration work completed for the Alpha Version milestone: how the Agent Mobile App, Admin Dashboard, and Supabase backend were tied together this week, and what still reads from placeholder data. It covers the Authentication &amp; Device Trust layer, the Store Credit Ledger (the main new cross-app integration), the Admin Dashboard’s Records/Payments/Stores views, and the Intelligence module’s test coverage.</w: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numPr>
          <w:ilvl w:val="0"/>
          <w:numId w:val="1001"/>
        </w:numPr>
        <w:pStyle w:val="Compact"/>
      </w:pPr>
      <w:r>
        <w:t xml:space="preserve">Record which modules are now integrated into a single working system (the Alpha Version), and which are still in progress.</w:t>
      </w:r>
    </w:p>
    <w:p>
      <w:pPr>
        <w:numPr>
          <w:ilvl w:val="0"/>
          <w:numId w:val="1001"/>
        </w:numPr>
        <w:pStyle w:val="Compact"/>
      </w:pPr>
      <w:r>
        <w:t xml:space="preserve">Give the team a single reference for how data actually flows between the Agent App, Supabase, and the Admin Dashboard, so Week 6’s prototype demo and adviser walkthrough can point to something concrete.</w:t>
      </w:r>
    </w:p>
    <w:p>
      <w:pPr>
        <w:numPr>
          <w:ilvl w:val="0"/>
          <w:numId w:val="1001"/>
        </w:numPr>
        <w:pStyle w:val="Compact"/>
      </w:pPr>
      <w:r>
        <w:t xml:space="preserve">Flag the known gap (mock credit data on the Stores board) so it isn’t mistaken for a live-data bug during testing.</w:t>
      </w:r>
    </w:p>
    <w:bookmarkEnd w:id="21"/>
    <w:bookmarkStart w:id="26" w:name="modules-integrated-this-week"/>
    <w:p>
      <w:pPr>
        <w:pStyle w:val="Heading2"/>
      </w:pPr>
      <w:r>
        <w:t xml:space="preserve">Modules Integrated This Week</w:t>
      </w:r>
    </w:p>
    <w:bookmarkStart w:id="22" w:name="authentication-device-trust"/>
    <w:p>
      <w:pPr>
        <w:pStyle w:val="Heading3"/>
      </w:pPr>
      <w:r>
        <w:t xml:space="preserve">1. Authentication &amp; Device Trust</w:t>
      </w:r>
    </w:p>
    <w:p>
      <w:pPr>
        <w:pStyle w:val="FirstParagraph"/>
      </w:pPr>
      <w:r>
        <w:t xml:space="preserve">Supabase Auth remains the session source for both apps (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on Admin,</w:t>
      </w:r>
      <w:r>
        <w:t xml:space="preserve"> </w:t>
      </w:r>
      <w:r>
        <w:rPr>
          <w:rStyle w:val="VerbatimChar"/>
        </w:rPr>
        <w:t xml:space="preserve">useAuthGuard</w:t>
      </w:r>
      <w:r>
        <w:t xml:space="preserve"> </w:t>
      </w:r>
      <w:r>
        <w:t xml:space="preserve">on the Agent App). New this week: a 7-day</w:t>
      </w:r>
      <w:r>
        <w:t xml:space="preserve"> </w:t>
      </w:r>
      <w:r>
        <w:rPr>
          <w:bCs/>
          <w:b/>
        </w:rPr>
        <w:t xml:space="preserve">device trust grace 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device-trust.ts</w:t>
      </w:r>
      <w:r>
        <w:t xml:space="preserve">) lets an agent whose token has expired keep working offline, since a route session can run for hours with no signal.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authGate.ts</w:t>
      </w:r>
      <w:r>
        <w:t xml:space="preserve"> </w:t>
      </w:r>
      <w:r>
        <w:t xml:space="preserve">reads the session, marks the device verified, and triggers the download sync.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resolveAuthRedirect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isTrustValid</w:t>
      </w:r>
      <w:r>
        <w:t xml:space="preserve"> </w:t>
      </w:r>
      <w:r>
        <w:t xml:space="preserve">are pure functions — a device verified within the last 7 days is trusted even without a live session.</w:t>
      </w:r>
    </w:p>
    <w:p>
      <w:pPr>
        <w:numPr>
          <w:ilvl w:val="0"/>
          <w:numId w:val="1002"/>
        </w:numPr>
        <w:pStyle w:val="Compact"/>
      </w:pPr>
      <w:r>
        <w:t xml:space="preserve">Device trust is cleared on sign-out and on an explicit</w:t>
      </w:r>
      <w:r>
        <w:t xml:space="preserve"> </w:t>
      </w:r>
      <w:r>
        <w:t xml:space="preserve">“</w:t>
      </w:r>
      <w:r>
        <w:t xml:space="preserve">not an agent</w:t>
      </w:r>
      <w:r>
        <w:t xml:space="preserve">”</w:t>
      </w:r>
      <w:r>
        <w:t xml:space="preserve"> </w:t>
      </w:r>
      <w:r>
        <w:t xml:space="preserve">rejection, so the grace window can’t be used to stay logged in past a real access revocation.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useSyncScheduler</w:t>
      </w:r>
      <w:r>
        <w:t xml:space="preserve"> </w:t>
      </w:r>
      <w:r>
        <w:t xml:space="preserve">now drives the outbox push/pull purely off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, replacing three separate effects that used to handle mount, foreground, and interval syncing independently.</w:t>
      </w:r>
    </w:p>
    <w:bookmarkEnd w:id="22"/>
    <w:bookmarkStart w:id="23" w:name="Xc16184a53da50ff0e705aa7b4b8002539b349fe"/>
    <w:p>
      <w:pPr>
        <w:pStyle w:val="Heading3"/>
      </w:pPr>
      <w:r>
        <w:t xml:space="preserve">2. Store Credit Ledger (Agent App → Supabase → Admin Dashboard)</w:t>
      </w:r>
    </w:p>
    <w:p>
      <w:pPr>
        <w:pStyle w:val="FirstParagraph"/>
      </w:pPr>
      <w:r>
        <w:t xml:space="preserve">This is the integration that ties all three layers together end to end: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marks an order as Cash or 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sales.payment_type</w:t>
            </w:r>
            <w:r>
              <w:t xml:space="preserve"> </w:t>
            </w:r>
            <w:r>
              <w:t xml:space="preserve">(per order, not per visit)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Visit’s running debt is recalculated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syncVisitCredit</w:t>
            </w:r>
            <w:r>
              <w:t xml:space="preserve"> </w:t>
            </w:r>
            <w:r>
              <w:t xml:space="preserve">— rewrites the ledger entry from whatever the sales table currently says, so add/edit/delete on an order always lands on the right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records a payment against a store’s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recordStorePayment</w:t>
            </w:r>
            <w:r>
              <w:t xml:space="preserve">, allocated oldest-debt-first via</w:t>
            </w:r>
            <w:r>
              <w:t xml:space="preserve"> </w:t>
            </w:r>
            <w:r>
              <w:rPr>
                <w:rStyle w:val="VerbatimChar"/>
              </w:rPr>
              <w:t xml:space="preserve">allocateCreditPayments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 entry syncs to Supabase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store_credit_entries</w:t>
            </w:r>
            <w:r>
              <w:t xml:space="preserve"> </w:t>
            </w:r>
            <w:r>
              <w:t xml:space="preserve">table, via the outbox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 reads it 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getCreditPayments</w:t>
            </w:r>
            <w:r>
              <w:t xml:space="preserve"> </w:t>
            </w:r>
            <w:r>
              <w:t xml:space="preserve">(Records → Payments tab) and the Stores board’s per-store balance</w:t>
            </w:r>
          </w:p>
        </w:tc>
      </w:tr>
    </w:tbl>
    <w:p>
      <w:pPr>
        <w:pStyle w:val="BodyText"/>
      </w:pPr>
      <w:r>
        <w:t xml:space="preserve">Edge cases handled: a colleague’s credit entry can be viewed (via</w:t>
      </w:r>
      <w:r>
        <w:t xml:space="preserve"> </w:t>
      </w:r>
      <w:r>
        <w:rPr>
          <w:rStyle w:val="VerbatimChar"/>
        </w:rPr>
        <w:t xml:space="preserve">credit_entry_sales</w:t>
      </w:r>
      <w:r>
        <w:t xml:space="preserve">, a separate read path so it can’t affect this device’s own stock math) but not edited (</w:t>
      </w:r>
      <w:r>
        <w:rPr>
          <w:rStyle w:val="VerbatimChar"/>
        </w:rPr>
        <w:t xml:space="preserve">canModifyCreditEntry</w:t>
      </w:r>
      <w:r>
        <w:t xml:space="preserve"> </w:t>
      </w:r>
      <w:r>
        <w:t xml:space="preserve">refuses writes on entries this agent doesn’t own, so a stale screen can’t jam the outbox retrying forever); a credit on the visit currently open is also locked, since that amount is derived and would be overwritten by the next recompute.</w:t>
      </w:r>
    </w:p>
    <w:bookmarkEnd w:id="23"/>
    <w:bookmarkStart w:id="24" w:name="admin-dashboard-records-payments-stores"/>
    <w:p>
      <w:pPr>
        <w:pStyle w:val="Heading3"/>
      </w:pPr>
      <w:r>
        <w:t xml:space="preserve">3. Admin Dashboard — Records, Payments, Stores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Records page</w:t>
      </w:r>
      <w:r>
        <w:t xml:space="preserve"> </w:t>
      </w:r>
      <w:r>
        <w:t xml:space="preserve">was split into a shared filter/summary shell with a Sales/Payments view swap (</w:t>
      </w:r>
      <w:r>
        <w:rPr>
          <w:rStyle w:val="VerbatimChar"/>
        </w:rPr>
        <w:t xml:space="preserve">RecordsViewBody</w:t>
      </w:r>
      <w:r>
        <w:t xml:space="preserve">), instead of one table hiding columns depending on view.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Payments tab</w:t>
      </w:r>
      <w:r>
        <w:t xml:space="preserve"> </w:t>
      </w:r>
      <w:r>
        <w:t xml:space="preserve">is wired to</w:t>
      </w:r>
      <w:r>
        <w:t xml:space="preserve"> </w:t>
      </w:r>
      <w:r>
        <w:rPr>
          <w:rStyle w:val="VerbatimChar"/>
        </w:rPr>
        <w:t xml:space="preserve">getCreditPayments</w:t>
      </w:r>
      <w:r>
        <w:t xml:space="preserve">, with search across store, province, collector, encoder, and note.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Stores board</w:t>
      </w:r>
      <w:r>
        <w:t xml:space="preserve"> </w:t>
      </w:r>
      <w:r>
        <w:t xml:space="preserve">gained search, revenue ranking, and a per-store credit balance badge, plus a two-tab detail modal (Store Info / Store Credits) so the ledger has room to read like a real ledger instead of a squeezed sidebar list.</w:t>
      </w:r>
    </w:p>
    <w:p>
      <w:pPr>
        <w:pStyle w:val="BlockText"/>
      </w:pPr>
      <w:r>
        <w:rPr>
          <w:bCs/>
          <w:b/>
        </w:rPr>
        <w:t xml:space="preserve">Known gap:</w:t>
      </w:r>
      <w:r>
        <w:t xml:space="preserve"> </w:t>
      </w:r>
      <w:r>
        <w:t xml:space="preserve">the Stores board’s credit figures currently come from</w:t>
      </w:r>
      <w:r>
        <w:t xml:space="preserve"> </w:t>
      </w:r>
      <w:r>
        <w:rPr>
          <w:rStyle w:val="VerbatimChar"/>
        </w:rPr>
        <w:t xml:space="preserve">mockCredit.ts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store_credit_entries</w:t>
      </w:r>
      <w:r>
        <w:t xml:space="preserve">. The components already take the real data shape — this is a wiring gap, not a redesign — so swapping the data source should be a small, contained change. Flagged so it isn’t mistaken for a live bug during Week 6 testing.</w:t>
      </w:r>
    </w:p>
    <w:bookmarkEnd w:id="24"/>
    <w:bookmarkStart w:id="25" w:name="intelligence-analytics-forecasting"/>
    <w:p>
      <w:pPr>
        <w:pStyle w:val="Heading3"/>
      </w:pPr>
      <w:r>
        <w:t xml:space="preserve">4. Intelligence (Analytics &amp; Forecasting)</w:t>
      </w:r>
    </w:p>
    <w:p>
      <w:pPr>
        <w:pStyle w:val="FirstParagraph"/>
      </w:pPr>
      <w:r>
        <w:t xml:space="preserve">No new UI this week; the module (KPIs, province/product/agent bad-order rankings, and the Holt-Winters daily/weekly/monthly/yearly forecast) went from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 </w:t>
      </w:r>
      <w:r>
        <w:t xml:space="preserve">to feature-complete with a full automated test suite: unit tests on every helper, a hook test for</w:t>
      </w:r>
      <w:r>
        <w:t xml:space="preserve"> </w:t>
      </w:r>
      <w:r>
        <w:rPr>
          <w:rStyle w:val="VerbatimChar"/>
        </w:rPr>
        <w:t xml:space="preserve">useForecastChart</w:t>
      </w:r>
      <w:r>
        <w:t xml:space="preserve"> </w:t>
      </w:r>
      <w:r>
        <w:t xml:space="preserve">against a mocked Supabase RPC, and component tests for the ranking tables, KPI section, and forecast chart/range toggle.</w:t>
      </w:r>
    </w:p>
    <w:bookmarkEnd w:id="25"/>
    <w:bookmarkEnd w:id="26"/>
    <w:bookmarkStart w:id="27" w:name="integration-summary"/>
    <w:p>
      <w:pPr>
        <w:pStyle w:val="Heading2"/>
      </w:pPr>
      <w:r>
        <w:t xml:space="preserve">Integration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(Admin + Agent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the new offline device-trust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Credit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App write path → Supabase → Admin read path, end to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 / Payments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data, live search and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Stores Board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UI, search, and ranking are live; credit balance is still mock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test coverage added this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push/email layer yet; in-app snackbar only</w:t>
            </w:r>
          </w:p>
        </w:tc>
      </w:tr>
    </w:tbl>
    <w:bookmarkEnd w:id="27"/>
    <w:bookmarkStart w:id="28" w:name="notes-points-to-verify-before-week-6"/>
    <w:p>
      <w:pPr>
        <w:pStyle w:val="Heading2"/>
      </w:pPr>
      <w:r>
        <w:t xml:space="preserve">Notes / Points to Verify Before Week 6</w:t>
      </w:r>
    </w:p>
    <w:p>
      <w:pPr>
        <w:numPr>
          <w:ilvl w:val="0"/>
          <w:numId w:val="1004"/>
        </w:numPr>
        <w:pStyle w:val="Compact"/>
      </w:pPr>
      <w:r>
        <w:t xml:space="preserve">Wire</w:t>
      </w:r>
      <w:r>
        <w:t xml:space="preserve"> </w:t>
      </w:r>
      <w:r>
        <w:rPr>
          <w:rStyle w:val="VerbatimChar"/>
        </w:rPr>
        <w:t xml:space="preserve">store_credit_entries</w:t>
      </w:r>
      <w:r>
        <w:t xml:space="preserve"> </w:t>
      </w:r>
      <w:r>
        <w:t xml:space="preserve">into the Stores board and its ranking, replacing</w:t>
      </w:r>
      <w:r>
        <w:t xml:space="preserve"> </w:t>
      </w:r>
      <w:r>
        <w:rPr>
          <w:rStyle w:val="VerbatimChar"/>
        </w:rPr>
        <w:t xml:space="preserve">mockCredit.ts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Role-based access is currently app-level only (Admin vs Agent) — no granular in-app permissions yet.</w:t>
      </w:r>
    </w:p>
    <w:p>
      <w:pPr>
        <w:numPr>
          <w:ilvl w:val="0"/>
          <w:numId w:val="1004"/>
        </w:numPr>
        <w:pStyle w:val="Compact"/>
      </w:pPr>
      <w:r>
        <w:t xml:space="preserve">Manual end-to-end testing across all three apps (login → route session → sale/credit → sync → admin read) hasn’t been formally recorded — worth running once before the prototype demo so Form 3’s results aren’t left as</w:t>
      </w:r>
      <w:r>
        <w:t xml:space="preserve"> </w:t>
      </w:r>
      <w:r>
        <w:t xml:space="preserve">“</w:t>
      </w:r>
      <w:r>
        <w:t xml:space="preserve">confirm after testing</w:t>
      </w:r>
      <w:r>
        <w:t xml:space="preserve">”</w:t>
      </w:r>
      <w:r>
        <w:t xml:space="preserve"> </w:t>
      </w:r>
      <w:r>
        <w:t xml:space="preserve">on the day.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2026-08-21T06:41:31Z</dcterms:created>
  <dcterms:modified xsi:type="dcterms:W3CDTF">2026-08-21T06:41:31Z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