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2.9</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8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Antenna interface photographs added (Figures 4-125 outside, 4-126 inside: brass SMA bulkhead through the enclosure wall with U.FL pigtail); EX-09 and EX-06 updated; photo coverage 10/12.</w:t>
            </w:r>
          </w:p>
        </w:tc>
      </w:tr>
      <w:tr>
        <w:tc>
          <w:tcPr>
            <w:tcW w:type="dxa" w:w="1296"/>
          </w:tcPr>
          <w:p>
            <w:pPr>
              <w:spacing w:after="40"/>
            </w:pPr>
            <w:r>
              <w:rPr>
                <w:sz w:val="19"/>
              </w:rPr>
              <w:t>2.2</w:t>
            </w:r>
          </w:p>
        </w:tc>
        <w:tc>
          <w:tcPr>
            <w:tcW w:type="dxa" w:w="1872"/>
          </w:tcPr>
          <w:p>
            <w:pPr>
              <w:spacing w:after="40"/>
            </w:pPr>
            <w:r>
              <w:rPr>
                <w:sz w:val="19"/>
              </w:rPr>
              <w:t>7 October 2026</w:t>
            </w:r>
          </w:p>
        </w:tc>
        <w:tc>
          <w:tcPr>
            <w:tcW w:type="dxa" w:w="6192"/>
          </w:tcPr>
          <w:p>
            <w:pPr>
              <w:spacing w:after="40"/>
            </w:pPr>
            <w:r>
              <w:rPr>
                <w:sz w:val="19"/>
              </w:rPr>
              <w:t>Thread dimensions estimated from photographs and added (Figure 4-127; new Section 2.6.e.3 item e.3.12): cover ≈M100 × 2 with ≈10 threads (≈20 mm) engaged, side entries M20 × 1.5, antenna SMA 1/4″-36 UNS, compared with the IEC 60079-1 threaded-joint rules; EX-02, EX-07, EX-08 and EX-09 updated. All values marked as estimates pending the enclosure manufacturer's drawing.</w:t>
            </w:r>
          </w:p>
        </w:tc>
      </w:tr>
      <w:tr>
        <w:tc>
          <w:tcPr>
            <w:tcW w:type="dxa" w:w="1296"/>
          </w:tcPr>
          <w:p>
            <w:pPr>
              <w:spacing w:after="40"/>
            </w:pPr>
            <w:r>
              <w:rPr>
                <w:sz w:val="19"/>
              </w:rPr>
              <w:t>2.3</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neck wall 10.50 mm at the root and 5.80 mm at the top, threaded-neck height ≈14.8 mm, bore ≈Ø84.7 mm, O-ring cord Ø2.70 mm. Cover thread re-estimated as ≈M96 × 1.5 (derived) replacing ≈M100 × 2; e.3.12, EX-01, EX-02, EX-06 and MAT-01 updated. The measured bore differs from the Ø94.7 mm of the BP18-1Z drawing.</w:t>
            </w:r>
          </w:p>
        </w:tc>
      </w:tr>
      <w:tr>
        <w:tc>
          <w:tcPr>
            <w:tcW w:type="dxa" w:w="1296"/>
          </w:tcPr>
          <w:p>
            <w:pPr>
              <w:spacing w:after="40"/>
            </w:pPr>
            <w:r>
              <w:rPr>
                <w:sz w:val="19"/>
              </w:rPr>
              <w:t>2.4</w:t>
            </w:r>
          </w:p>
        </w:tc>
        <w:tc>
          <w:tcPr>
            <w:tcW w:type="dxa" w:w="1872"/>
          </w:tcPr>
          <w:p>
            <w:pPr>
              <w:spacing w:after="40"/>
            </w:pPr>
            <w:r>
              <w:rPr>
                <w:sz w:val="19"/>
              </w:rPr>
              <w:t>7 October 2026</w:t>
            </w:r>
          </w:p>
        </w:tc>
        <w:tc>
          <w:tcPr>
            <w:tcW w:type="dxa" w:w="6192"/>
          </w:tcPr>
          <w:p>
            <w:pPr>
              <w:spacing w:after="40"/>
            </w:pPr>
            <w:r>
              <w:rPr>
                <w:sz w:val="19"/>
              </w:rPr>
              <w:t>Further measurements added (Figures 4-133–4-137): base internal depth ≈45 mm to the PCB-boss ledge, cover internal thread length ≈18.9 mm, cover depth ≈47.5 mm, neck height ≈20.2 mm from the body shoulder, O-ring OD ≈91.0 mm (ID ≈85.6 mm derived). Engaged cover-thread length now bounded by the neck (≤14.8 mm); indicative gross free volume ≈0.4 L. e.3.12, EX-02, EX-06 and MAT-01 updated.</w:t>
            </w:r>
          </w:p>
        </w:tc>
      </w:tr>
      <w:tr>
        <w:tc>
          <w:tcPr>
            <w:tcW w:type="dxa" w:w="1296"/>
          </w:tcPr>
          <w:p>
            <w:pPr>
              <w:spacing w:after="40"/>
            </w:pPr>
            <w:r>
              <w:rPr>
                <w:sz w:val="19"/>
              </w:rPr>
              <w:t>2.5</w:t>
            </w:r>
          </w:p>
        </w:tc>
        <w:tc>
          <w:tcPr>
            <w:tcW w:type="dxa" w:w="1872"/>
          </w:tcPr>
          <w:p>
            <w:pPr>
              <w:spacing w:after="40"/>
            </w:pPr>
            <w:r>
              <w:rPr>
                <w:sz w:val="19"/>
              </w:rPr>
              <w:t>7 October 2026</w:t>
            </w:r>
          </w:p>
        </w:tc>
        <w:tc>
          <w:tcPr>
            <w:tcW w:type="dxa" w:w="6192"/>
          </w:tcPr>
          <w:p>
            <w:pPr>
              <w:spacing w:after="40"/>
            </w:pPr>
            <w:r>
              <w:rPr>
                <w:sz w:val="19"/>
              </w:rPr>
              <w:t>Measured sketches MS-01 to MS-04 added (Section 2.6.e.3, item e.3.13): dimensioned half-sections of the base neck, cover, assembled threaded joint and O-ring, redrawn from the caliper and steel-rule measurements of Figures 4-127–4-137. Illustrative only; to be superseded by the enclosure manufacturer's toleranced drawing.</w:t>
            </w:r>
          </w:p>
        </w:tc>
      </w:tr>
      <w:tr>
        <w:tc>
          <w:tcPr>
            <w:tcW w:type="dxa" w:w="1296"/>
          </w:tcPr>
          <w:p>
            <w:pPr>
              <w:spacing w:after="40"/>
            </w:pPr>
            <w:r>
              <w:rPr>
                <w:sz w:val="19"/>
              </w:rPr>
              <w:t>2.6</w:t>
            </w:r>
          </w:p>
        </w:tc>
        <w:tc>
          <w:tcPr>
            <w:tcW w:type="dxa" w:w="1872"/>
          </w:tcPr>
          <w:p>
            <w:pPr>
              <w:spacing w:after="40"/>
            </w:pPr>
            <w:r>
              <w:rPr>
                <w:sz w:val="19"/>
              </w:rPr>
              <w:t>7 October 2026</w:t>
            </w:r>
          </w:p>
        </w:tc>
        <w:tc>
          <w:tcPr>
            <w:tcW w:type="dxa" w:w="6192"/>
          </w:tcPr>
          <w:p>
            <w:pPr>
              <w:spacing w:after="40"/>
            </w:pPr>
            <w:r>
              <w:rPr>
                <w:sz w:val="19"/>
              </w:rPr>
              <w:t>Proposed nameplate artwork MS-05 (Section 2.6.h.1: 80 × 55 mm stainless plate proposal, gas-only marking II 2G Ex db IIC T4 Gb, −20 °C ≤ Ta ≤ +60 °C, IP66, 24 VDC 8 W) and terminal block / field wiring diagram MS-06 (Section 2.6.g.1: RS485, FAN, ALARM, BAT, 24V and PE, BAT flagged as decision required) added. Both are drafts, not controlled drawings.</w:t>
            </w:r>
          </w:p>
        </w:tc>
      </w:tr>
      <w:tr>
        <w:tc>
          <w:tcPr>
            <w:tcW w:type="dxa" w:w="1296"/>
          </w:tcPr>
          <w:p>
            <w:pPr>
              <w:spacing w:after="40"/>
            </w:pPr>
            <w:r>
              <w:rPr>
                <w:sz w:val="19"/>
              </w:rPr>
              <w:t>2.7</w:t>
            </w:r>
          </w:p>
        </w:tc>
        <w:tc>
          <w:tcPr>
            <w:tcW w:type="dxa" w:w="1872"/>
          </w:tcPr>
          <w:p>
            <w:pPr>
              <w:spacing w:after="40"/>
            </w:pPr>
            <w:r>
              <w:rPr>
                <w:sz w:val="19"/>
              </w:rPr>
              <w:t>7 October 2026</w:t>
            </w:r>
          </w:p>
        </w:tc>
        <w:tc>
          <w:tcPr>
            <w:tcW w:type="dxa" w:w="6192"/>
          </w:tcPr>
          <w:p>
            <w:pPr>
              <w:spacing w:after="40"/>
            </w:pPr>
            <w:r>
              <w:rPr>
                <w:sz w:val="19"/>
              </w:rPr>
              <w:t>Navigation: all numbered subsections (d.1–d.13, e.3.1–e.3.13, f.1–f.12, g.2–g.20, EX/EL BOM, drawing groups A–F, schematic/layout subsections, photo groups) promoted to headings; Table of Contents extended to five levels; new List of Drawings, Schematic Sheets, Sketches and Photographs with page numbers; PDF bookmarks down to individual drawings and photographs. Photo-coverage table 2.4.1 now precedes photo set 2.4.2. No technical content changed.</w:t>
            </w:r>
          </w:p>
        </w:tc>
      </w:tr>
      <w:tr>
        <w:tc>
          <w:tcPr>
            <w:tcW w:type="dxa" w:w="1296"/>
          </w:tcPr>
          <w:p>
            <w:pPr>
              <w:spacing w:after="40"/>
            </w:pPr>
            <w:r>
              <w:rPr>
                <w:sz w:val="19"/>
              </w:rPr>
              <w:t>2.8</w:t>
            </w:r>
          </w:p>
        </w:tc>
        <w:tc>
          <w:tcPr>
            <w:tcW w:type="dxa" w:w="1872"/>
          </w:tcPr>
          <w:p>
            <w:pPr>
              <w:spacing w:after="40"/>
            </w:pPr>
            <w:r>
              <w:rPr>
                <w:sz w:val="19"/>
              </w:rPr>
              <w:t>7 October 2026</w:t>
            </w:r>
          </w:p>
        </w:tc>
        <w:tc>
          <w:tcPr>
            <w:tcW w:type="dxa" w:w="6192"/>
          </w:tcPr>
          <w:p>
            <w:pPr>
              <w:spacing w:after="40"/>
            </w:pPr>
            <w:r>
              <w:rPr>
                <w:sz w:val="19"/>
              </w:rPr>
              <w:t>Audit against the reviewer's revision guide (text corrections, no new test data): application form recorded as received and completed; ISO 9001 in progress (audit Oct 2026); certification contact named; product description completed with the gas path and alarm chain; specification list 2.2 extended to the full guide list; operating-modes table added to 2.3; MQ sensor described behind its own protective mesh; RF power 0–22 dBm with IS-08 RF-threshold check; AC/DC adapter marked outside the equipment boundary; IP66 marked as target pending test; supplier-listing and internal remarks removed; 2.5 completed with Group II/2G/EPL Gb, humidity, gas-only scope and installation conditions; status boxes of 2.6.c–2.6.i aligned with their content; two safety warnings added to 2.6.g.a; grounding requirements of g.7 rewritten in English; draft-review remarks removed from g.6–g.14; f.11 references aligned with f.3; nameplate gains the ATEX specific marking and full manufacturer address; battery item in 3.2 made conditional; compliance-matrix statuses corrected.</w:t>
            </w:r>
          </w:p>
        </w:tc>
      </w:tr>
      <w:tr>
        <w:tc>
          <w:tcPr>
            <w:tcW w:type="dxa" w:w="1296"/>
          </w:tcPr>
          <w:p>
            <w:pPr>
              <w:spacing w:after="40"/>
            </w:pPr>
            <w:r>
              <w:rPr>
                <w:sz w:val="19"/>
              </w:rPr>
              <w:t>2.9</w:t>
            </w:r>
          </w:p>
        </w:tc>
        <w:tc>
          <w:tcPr>
            <w:tcW w:type="dxa" w:w="1872"/>
          </w:tcPr>
          <w:p>
            <w:pPr>
              <w:spacing w:after="40"/>
            </w:pPr>
            <w:r>
              <w:rPr>
                <w:sz w:val="19"/>
              </w:rPr>
              <w:t>8 October 2026</w:t>
            </w:r>
          </w:p>
        </w:tc>
        <w:tc>
          <w:tcPr>
            <w:tcW w:type="dxa" w:w="6192"/>
          </w:tcPr>
          <w:p>
            <w:pPr>
              <w:spacing w:after="40"/>
            </w:pPr>
            <w:r>
              <w:rPr>
                <w:sz w:val="19"/>
              </w:rPr>
              <w:t>Antenna row of 2.3.b: confirmed that the certified configuration (sample GLD2-0x1001) has no internal 2.4 GHz antenna; superseded remark removed.</w:t>
            </w:r>
          </w:p>
        </w:tc>
      </w:tr>
    </w:tbl>
    <w:p>
      <w:r>
        <w:br w:type="page"/>
      </w:r>
    </w:p>
    <w:p>
      <w:pPr>
        <w:spacing w:after="80"/>
      </w:pPr>
      <w:r>
        <w:rPr>
          <w:b/>
          <w:i w:val="0"/>
          <w:color w:val="1A2B3D"/>
          <w:sz w:val="24"/>
        </w:rPr>
        <w:t>Table of Contents</w:t>
      </w:r>
    </w:p>
    <w:p>
      <w:r>
        <w:fldChar w:fldCharType="begin"/>
        <w:instrText xml:space="preserve">TOC \o "1-5" \h \z \u</w:instrText>
      </w:r>
      <w:r>
        <w:fldChar w:fldCharType="separate"/>
      </w:r>
      <w:r>
        <w:t>Right-click and choose Update Field to generate the table of contents.</w:t>
      </w:r>
      <w:r>
        <w:fldChar w:fldCharType="end"/>
      </w:r>
    </w:p>
    <w:p>
      <w:r>
        <w:br w:type="page"/>
      </w:r>
    </w:p>
    <w:p>
      <w:pPr>
        <w:spacing w:after="40"/>
      </w:pPr>
      <w:r>
        <w:rPr>
          <w:b/>
          <w:i w:val="0"/>
          <w:color w:val="1A2B3D"/>
          <w:sz w:val="24"/>
        </w:rPr>
        <w:t>List of Drawings, Schematic Sheets, Sketches and Photographs</w:t>
      </w:r>
    </w:p>
    <w:p>
      <w:pPr>
        <w:spacing w:after="80"/>
      </w:pPr>
      <w:r>
        <w:rPr>
          <w:b w:val="0"/>
          <w:i w:val="0"/>
          <w:color w:val="4A4A4A"/>
          <w:sz w:val="17"/>
        </w:rPr>
        <w:t>Every drawing (M-xx), schematic sheet and layout view (Figure 8-n), measured sketch (MS-xx) and assembly photograph (Figure 4-1xx) with its page. All entries are also PDF bookmarks.</w:t>
      </w:r>
    </w:p>
    <w:p>
      <w:r>
        <w:fldChar w:fldCharType="begin"/>
        <w:instrText xml:space="preserve">TOC \h \z \t "GLD Figure Title,1"</w:instrText>
      </w:r>
      <w:r>
        <w:fldChar w:fldCharType="separate"/>
      </w:r>
      <w:r>
        <w:t>Right-click and choose Update Field to generate the list of drawings.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 readiness assessment against the ExCB checklist, prepared in support of the certification application — it is not itself a certificate and does not constitute self-certification. Items that depend on the controlled enclosure drawings and supplier data of the manufacturer (PT Galaksi Megatama Indonesia, Section 1.2) — toleranced flame-path data, material datasheets, process parameters — are marked as partially available or open. The sample submitted is identified in Section 3.1 (S/N GLD2-0x1001).</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on the basis of its legal documents (deed of establishment, NIB, NPWP, MOLHR ratification decree, tax registration certificate).</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149174"/>
                <w:sz w:val="19"/>
              </w:rPr>
              <w:t>Template received; form completed</w:t>
            </w:r>
          </w:p>
        </w:tc>
        <w:tc>
          <w:tcPr>
            <w:tcW w:type="dxa" w:w="2880"/>
          </w:tcPr>
          <w:p>
            <w:pPr>
              <w:spacing w:after="40"/>
            </w:pPr>
            <w:r>
              <w:rPr>
                <w:sz w:val="19"/>
              </w:rPr>
              <w:t>Issued by the ExCB (application form A0); completed by the applicant and submitted with the dossier</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56A1E"/>
                <w:sz w:val="19"/>
              </w:rPr>
              <w:t>In progress</w:t>
            </w:r>
          </w:p>
        </w:tc>
        <w:tc>
          <w:tcPr>
            <w:tcW w:type="dxa" w:w="2880"/>
          </w:tcPr>
          <w:p>
            <w:pPr>
              <w:spacing w:after="40"/>
            </w:pPr>
            <w:r>
              <w:rPr>
                <w:sz w:val="19"/>
              </w:rPr>
              <w:t>Manufacturer — ISO 9001 certification in progress, audit planned October 2026</w:t>
            </w:r>
          </w:p>
        </w:tc>
      </w:tr>
    </w:tbl>
    <w:p>
      <w:pPr>
        <w:spacing w:after="40"/>
      </w:pPr>
    </w:p>
    <w:p>
      <w:pPr>
        <w:pStyle w:val="Heading2"/>
      </w:pPr>
      <w:r>
        <w:t>1.1 · Application Form</w:t>
      </w:r>
    </w:p>
    <w:p>
      <w:pPr>
        <w:spacing w:after="160"/>
      </w:pPr>
      <w:r>
        <w:rPr>
          <w:b w:val="0"/>
          <w:i w:val="0"/>
          <w:sz w:val="21"/>
        </w:rPr>
        <w:t>The application form is issued by the certification body as a template (application form A0). The template has been received and completed by the applicant, and the completed form is submitted together with this dossier. The values entered on the form are restated below, in the order the form requests them, with a reference to the section of this document that supports each value.</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56A1E"/>
                <w:sz w:val="19"/>
              </w:rPr>
              <w:t>Partially available</w:t>
            </w:r>
          </w:p>
        </w:tc>
        <w:tc>
          <w:tcPr>
            <w:tcW w:type="dxa" w:w="4464"/>
          </w:tcPr>
          <w:p>
            <w:pPr>
              <w:spacing w:after="40"/>
            </w:pPr>
            <w:r>
              <w:rPr>
                <w:sz w:val="19"/>
              </w:rPr>
              <w:t>Antonius Prasetyo, Director (as entered on the application form); e-mail and telephone to be provided.</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56A1E"/>
                <w:sz w:val="19"/>
              </w:rPr>
              <w:t>In progress</w:t>
            </w:r>
          </w:p>
        </w:tc>
        <w:tc>
          <w:tcPr>
            <w:tcW w:type="dxa" w:w="4464"/>
          </w:tcPr>
          <w:p>
            <w:pPr>
              <w:spacing w:after="40"/>
            </w:pPr>
            <w:r>
              <w:rPr>
                <w:sz w:val="19"/>
              </w:rPr>
              <w:t>ISO 9001 certification of the manufacturer is in progress, with the certification audit planned for October 2026. Certificate number, scope, issuing body and validity period will be provided once issued.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Ambient gas enters the sensing section through the stainless-steel mesh at the front of the enclosure; an internal DC fan assists the flow towards the eight MQ sensors, each of which carries its own integrated stainless-steel protective mesh. When the multi-sensor response pattern and the configured alarm criteria indicate a leak, the unit triggers a local alarm (an integrated visual/audible alarm module) and simultaneously transmits an alarm notification over the LoRa network, via the cluster head and gateway,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production power configuration is continuous 24 VDC. Where an AC/DC adapter is used to derive the 24 VDC supply from the site electrical system, the adapter is external to the equipment and outside the boundary of the unit submitted for certification. The battery terminals present on the terminal board are not part of the certified configuration unless retained by design decision (Section 2.6.b, EX-17).</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Multi-sensor gas detection, local processing, alarm generation and LoRa communication</w:t>
            </w:r>
          </w:p>
        </w:tc>
      </w:tr>
      <w:tr>
        <w:tc>
          <w:tcPr>
            <w:tcW w:type="dxa" w:w="3168"/>
            <w:shd w:val="clear" w:color="auto" w:fill="EFEFEF"/>
          </w:tcPr>
          <w:p>
            <w:pPr>
              <w:spacing w:after="40"/>
            </w:pPr>
            <w:r>
              <w:rPr>
                <w:b/>
                <w:color w:val="4A4A4A"/>
                <w:sz w:val="19"/>
              </w:rPr>
              <w:t>Gas sensor configuration</w:t>
            </w:r>
          </w:p>
        </w:tc>
        <w:tc>
          <w:tcPr>
            <w:tcW w:type="dxa" w:w="6192"/>
          </w:tcPr>
          <w:p>
            <w:pPr>
              <w:spacing w:after="40"/>
            </w:pPr>
            <w:r>
              <w:rPr>
                <w:sz w:val="20"/>
              </w:rPr>
              <w:t>8 channels: MQ-2, MQ-3B, MQ-4, MQ-5, MQ-6, MQ-7B, MQ-8, MQ-135 (MOS)</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 (edge processing / AI inference)</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 star topology</w:t>
            </w:r>
          </w:p>
        </w:tc>
      </w:tr>
      <w:tr>
        <w:tc>
          <w:tcPr>
            <w:tcW w:type="dxa" w:w="3168"/>
            <w:shd w:val="clear" w:color="auto" w:fill="EFEFEF"/>
          </w:tcPr>
          <w:p>
            <w:pPr>
              <w:spacing w:after="40"/>
            </w:pPr>
            <w:r>
              <w:rPr>
                <w:b/>
                <w:color w:val="4A4A4A"/>
                <w:sz w:val="19"/>
              </w:rPr>
              <w:t>Operating frequency</w:t>
            </w:r>
          </w:p>
        </w:tc>
        <w:tc>
          <w:tcPr>
            <w:tcW w:type="dxa" w:w="6192"/>
          </w:tcPr>
          <w:p>
            <w:pPr>
              <w:spacing w:after="40"/>
            </w:pPr>
            <w:r>
              <w:rPr>
                <w:sz w:val="20"/>
              </w:rPr>
              <w:t>920–923 MHz</w:t>
            </w:r>
          </w:p>
        </w:tc>
      </w:tr>
      <w:tr>
        <w:tc>
          <w:tcPr>
            <w:tcW w:type="dxa" w:w="3168"/>
            <w:shd w:val="clear" w:color="auto" w:fill="EFEFEF"/>
          </w:tcPr>
          <w:p>
            <w:pPr>
              <w:spacing w:after="40"/>
            </w:pPr>
            <w:r>
              <w:rPr>
                <w:b/>
                <w:color w:val="4A4A4A"/>
                <w:sz w:val="19"/>
              </w:rPr>
              <w:t>RF transmit power</w:t>
            </w:r>
          </w:p>
        </w:tc>
        <w:tc>
          <w:tcPr>
            <w:tcW w:type="dxa" w:w="6192"/>
          </w:tcPr>
          <w:p>
            <w:pPr>
              <w:spacing w:after="40"/>
            </w:pPr>
            <w:r>
              <w:rPr>
                <w:sz w:val="20"/>
              </w:rPr>
              <w:t>0–22 dBm, firmware-configurable (17 dBm operational setting)</w:t>
            </w:r>
          </w:p>
        </w:tc>
      </w:tr>
      <w:tr>
        <w:tc>
          <w:tcPr>
            <w:tcW w:type="dxa" w:w="3168"/>
            <w:shd w:val="clear" w:color="auto" w:fill="EFEFEF"/>
          </w:tcPr>
          <w:p>
            <w:pPr>
              <w:spacing w:after="40"/>
            </w:pPr>
            <w:r>
              <w:rPr>
                <w:b/>
                <w:color w:val="4A4A4A"/>
                <w:sz w:val="19"/>
              </w:rPr>
              <w:t>Main power input</w:t>
            </w:r>
          </w:p>
        </w:tc>
        <w:tc>
          <w:tcPr>
            <w:tcW w:type="dxa" w:w="6192"/>
          </w:tcPr>
          <w:p>
            <w:pPr>
              <w:spacing w:after="40"/>
            </w:pPr>
            <w:r>
              <w:rPr>
                <w:sz w:val="20"/>
              </w:rPr>
              <w:t>24 VDC, continuous (production configuration)</w:t>
            </w:r>
          </w:p>
        </w:tc>
      </w:tr>
      <w:tr>
        <w:tc>
          <w:tcPr>
            <w:tcW w:type="dxa" w:w="3168"/>
            <w:shd w:val="clear" w:color="auto" w:fill="EFEFEF"/>
          </w:tcPr>
          <w:p>
            <w:pPr>
              <w:spacing w:after="40"/>
            </w:pPr>
            <w:r>
              <w:rPr>
                <w:b/>
                <w:color w:val="4A4A4A"/>
                <w:sz w:val="19"/>
              </w:rPr>
              <w:t>Internal supply rails</w:t>
            </w:r>
          </w:p>
        </w:tc>
        <w:tc>
          <w:tcPr>
            <w:tcW w:type="dxa" w:w="6192"/>
          </w:tcPr>
          <w:p>
            <w:pPr>
              <w:spacing w:after="40"/>
            </w:pPr>
            <w:r>
              <w:rPr>
                <w:sz w:val="20"/>
              </w:rPr>
              <w:t>5 VDC (sensor/heater circuitry) and 3.3 VDC (logic)</w:t>
            </w:r>
          </w:p>
        </w:tc>
      </w:tr>
      <w:tr>
        <w:tc>
          <w:tcPr>
            <w:tcW w:type="dxa" w:w="3168"/>
            <w:shd w:val="clear" w:color="auto" w:fill="EFEFEF"/>
          </w:tcPr>
          <w:p>
            <w:pPr>
              <w:spacing w:after="40"/>
            </w:pPr>
            <w:r>
              <w:rPr>
                <w:b/>
                <w:color w:val="4A4A4A"/>
                <w:sz w:val="19"/>
              </w:rPr>
              <w:t>Maximum power consumption</w:t>
            </w:r>
          </w:p>
        </w:tc>
        <w:tc>
          <w:tcPr>
            <w:tcW w:type="dxa" w:w="6192"/>
          </w:tcPr>
          <w:p>
            <w:pPr>
              <w:spacing w:after="40"/>
            </w:pPr>
            <w:r>
              <w:rPr>
                <w:sz w:val="20"/>
              </w:rPr>
              <w:t>8 W @ 24 VDC (7.995 W measured)</w:t>
            </w:r>
          </w:p>
        </w:tc>
      </w:tr>
      <w:tr>
        <w:tc>
          <w:tcPr>
            <w:tcW w:type="dxa" w:w="3168"/>
            <w:shd w:val="clear" w:color="auto" w:fill="EFEFEF"/>
          </w:tcPr>
          <w:p>
            <w:pPr>
              <w:spacing w:after="40"/>
            </w:pPr>
            <w:r>
              <w:rPr>
                <w:b/>
                <w:color w:val="4A4A4A"/>
                <w:sz w:val="19"/>
              </w:rPr>
              <w:t>Local alarm</w:t>
            </w:r>
          </w:p>
        </w:tc>
        <w:tc>
          <w:tcPr>
            <w:tcW w:type="dxa" w:w="6192"/>
          </w:tcPr>
          <w:p>
            <w:pPr>
              <w:spacing w:after="40"/>
            </w:pPr>
            <w:r>
              <w:rPr>
                <w:sz w:val="20"/>
              </w:rPr>
              <w:t>Integrated visual and audible alarm module</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Weight</w:t>
            </w:r>
          </w:p>
        </w:tc>
        <w:tc>
          <w:tcPr>
            <w:tcW w:type="dxa" w:w="6192"/>
          </w:tcPr>
          <w:p>
            <w:pPr>
              <w:spacing w:after="40"/>
            </w:pPr>
            <w:r>
              <w:rPr>
                <w:sz w:val="20"/>
              </w:rPr>
              <w:t>2.378 kg</w:t>
            </w:r>
          </w:p>
        </w:tc>
      </w:tr>
      <w:tr>
        <w:tc>
          <w:tcPr>
            <w:tcW w:type="dxa" w:w="3168"/>
            <w:shd w:val="clear" w:color="auto" w:fill="EFEFEF"/>
          </w:tcPr>
          <w:p>
            <w:pPr>
              <w:spacing w:after="40"/>
            </w:pPr>
            <w:r>
              <w:rPr>
                <w:b/>
                <w:color w:val="4A4A4A"/>
                <w:sz w:val="19"/>
              </w:rPr>
              <w:t>Mounting method</w:t>
            </w:r>
          </w:p>
        </w:tc>
        <w:tc>
          <w:tcPr>
            <w:tcW w:type="dxa" w:w="6192"/>
          </w:tcPr>
          <w:p>
            <w:pPr>
              <w:spacing w:after="40"/>
            </w:pPr>
            <w:r>
              <w:rPr>
                <w:sz w:val="20"/>
              </w:rPr>
              <w:t>U-bolt mounting plate, fixed installation</w:t>
            </w:r>
          </w:p>
        </w:tc>
      </w:tr>
      <w:tr>
        <w:tc>
          <w:tcPr>
            <w:tcW w:type="dxa" w:w="3168"/>
            <w:shd w:val="clear" w:color="auto" w:fill="EFEFEF"/>
          </w:tcPr>
          <w:p>
            <w:pPr>
              <w:spacing w:after="40"/>
            </w:pPr>
            <w:r>
              <w:rPr>
                <w:b/>
                <w:color w:val="4A4A4A"/>
                <w:sz w:val="19"/>
              </w:rPr>
              <w:t>Cable entry</w:t>
            </w:r>
          </w:p>
        </w:tc>
        <w:tc>
          <w:tcPr>
            <w:tcW w:type="dxa" w:w="6192"/>
          </w:tcPr>
          <w:p>
            <w:pPr>
              <w:spacing w:after="40"/>
            </w:pPr>
            <w:r>
              <w:rPr>
                <w:sz w:val="20"/>
              </w:rPr>
              <w:t>M20 × 1.5 (Ex d cable gland to be certified)</w:t>
            </w:r>
          </w:p>
        </w:tc>
      </w:tr>
      <w:tr>
        <w:tc>
          <w:tcPr>
            <w:tcW w:type="dxa" w:w="3168"/>
            <w:shd w:val="clear" w:color="auto" w:fill="EFEFEF"/>
          </w:tcPr>
          <w:p>
            <w:pPr>
              <w:spacing w:after="40"/>
            </w:pPr>
            <w:r>
              <w:rPr>
                <w:b/>
                <w:color w:val="4A4A4A"/>
                <w:sz w:val="19"/>
              </w:rPr>
              <w:t>Antenna</w:t>
            </w:r>
          </w:p>
        </w:tc>
        <w:tc>
          <w:tcPr>
            <w:tcW w:type="dxa" w:w="6192"/>
          </w:tcPr>
          <w:p>
            <w:pPr>
              <w:spacing w:after="40"/>
            </w:pPr>
            <w:r>
              <w:rPr>
                <w:sz w:val="20"/>
              </w:rPr>
              <w:t>External 3 dBi omnidirectional antenna, SMA interface</w:t>
            </w:r>
          </w:p>
        </w:tc>
      </w:tr>
      <w:tr>
        <w:tc>
          <w:tcPr>
            <w:tcW w:type="dxa" w:w="3168"/>
            <w:shd w:val="clear" w:color="auto" w:fill="EFEFEF"/>
          </w:tcPr>
          <w:p>
            <w:pPr>
              <w:spacing w:after="40"/>
            </w:pPr>
            <w:r>
              <w:rPr>
                <w:b/>
                <w:color w:val="4A4A4A"/>
                <w:sz w:val="19"/>
              </w:rPr>
              <w:t>Ambient temperature</w:t>
            </w:r>
          </w:p>
        </w:tc>
        <w:tc>
          <w:tcPr>
            <w:tcW w:type="dxa" w:w="6192"/>
          </w:tcPr>
          <w:p>
            <w:pPr>
              <w:spacing w:after="40"/>
            </w:pPr>
            <w:r>
              <w:rPr>
                <w:sz w:val="20"/>
              </w:rPr>
              <w:t>−20 °C to +60 °C</w:t>
            </w:r>
          </w:p>
        </w:tc>
      </w:tr>
      <w:tr>
        <w:tc>
          <w:tcPr>
            <w:tcW w:type="dxa" w:w="3168"/>
            <w:shd w:val="clear" w:color="auto" w:fill="EFEFEF"/>
          </w:tcPr>
          <w:p>
            <w:pPr>
              <w:spacing w:after="40"/>
            </w:pPr>
            <w:r>
              <w:rPr>
                <w:b/>
                <w:color w:val="4A4A4A"/>
                <w:sz w:val="19"/>
              </w:rPr>
              <w:t>Operating humidity</w:t>
            </w:r>
          </w:p>
        </w:tc>
        <w:tc>
          <w:tcPr>
            <w:tcW w:type="dxa" w:w="6192"/>
          </w:tcPr>
          <w:p>
            <w:pPr>
              <w:spacing w:after="40"/>
            </w:pPr>
            <w:r>
              <w:rPr>
                <w:sz w:val="20"/>
              </w:rPr>
              <w:t>5–95 % RH, non-condensing</w:t>
            </w:r>
          </w:p>
        </w:tc>
      </w:tr>
      <w:tr>
        <w:tc>
          <w:tcPr>
            <w:tcW w:type="dxa" w:w="3168"/>
            <w:shd w:val="clear" w:color="auto" w:fill="EFEFEF"/>
          </w:tcPr>
          <w:p>
            <w:pPr>
              <w:spacing w:after="40"/>
            </w:pPr>
            <w:r>
              <w:rPr>
                <w:b/>
                <w:color w:val="4A4A4A"/>
                <w:sz w:val="19"/>
              </w:rPr>
              <w:t>Ingress protection</w:t>
            </w:r>
          </w:p>
        </w:tc>
        <w:tc>
          <w:tcPr>
            <w:tcW w:type="dxa" w:w="6192"/>
          </w:tcPr>
          <w:p>
            <w:pPr>
              <w:spacing w:after="40"/>
            </w:pPr>
            <w:r>
              <w:rPr>
                <w:sz w:val="20"/>
              </w:rPr>
              <w:t>IP66 (target rating; IEC 60529 test evidence pending)</w:t>
            </w:r>
          </w:p>
        </w:tc>
      </w:tr>
      <w:tr>
        <w:tc>
          <w:tcPr>
            <w:tcW w:type="dxa" w:w="3168"/>
            <w:shd w:val="clear" w:color="auto" w:fill="EFEFEF"/>
          </w:tcPr>
          <w:p>
            <w:pPr>
              <w:spacing w:after="40"/>
            </w:pPr>
            <w:r>
              <w:rPr>
                <w:b/>
                <w:color w:val="4A4A4A"/>
                <w:sz w:val="19"/>
              </w:rPr>
              <w:t>Intended hazardous area</w:t>
            </w:r>
          </w:p>
        </w:tc>
        <w:tc>
          <w:tcPr>
            <w:tcW w:type="dxa" w:w="6192"/>
          </w:tcPr>
          <w:p>
            <w:pPr>
              <w:spacing w:after="40"/>
            </w:pPr>
            <w:r>
              <w:rPr>
                <w:sz w:val="20"/>
              </w:rPr>
              <w:t>Zone 1, Group II, Category 2G, EPL Gb — proposed, pending ExCB</w:t>
            </w:r>
          </w:p>
        </w:tc>
      </w:tr>
      <w:tr>
        <w:tc>
          <w:tcPr>
            <w:tcW w:type="dxa" w:w="3168"/>
            <w:shd w:val="clear" w:color="auto" w:fill="EFEFEF"/>
          </w:tcPr>
          <w:p>
            <w:pPr>
              <w:spacing w:after="40"/>
            </w:pPr>
            <w:r>
              <w:rPr>
                <w:b/>
                <w:color w:val="4A4A4A"/>
                <w:sz w:val="19"/>
              </w:rPr>
              <w:t>Gas group / temperature class</w:t>
            </w:r>
          </w:p>
        </w:tc>
        <w:tc>
          <w:tcPr>
            <w:tcW w:type="dxa" w:w="6192"/>
          </w:tcPr>
          <w:p>
            <w:pPr>
              <w:spacing w:after="40"/>
            </w:pPr>
            <w:r>
              <w:rPr>
                <w:sz w:val="20"/>
              </w:rPr>
              <w:t>IIC / T4 — proposed, pending ExCB and temperature evaluation</w:t>
            </w:r>
          </w:p>
        </w:tc>
      </w:tr>
      <w:tr>
        <w:tc>
          <w:tcPr>
            <w:tcW w:type="dxa" w:w="3168"/>
            <w:shd w:val="clear" w:color="auto" w:fill="EFEFEF"/>
          </w:tcPr>
          <w:p>
            <w:pPr>
              <w:spacing w:after="40"/>
            </w:pPr>
            <w:r>
              <w:rPr>
                <w:b/>
                <w:color w:val="4A4A4A"/>
                <w:sz w:val="19"/>
              </w:rPr>
              <w:t>Type of protection</w:t>
            </w:r>
          </w:p>
        </w:tc>
        <w:tc>
          <w:tcPr>
            <w:tcW w:type="dxa" w:w="6192"/>
          </w:tcPr>
          <w:p>
            <w:pPr>
              <w:spacing w:after="40"/>
            </w:pPr>
            <w:r>
              <w:rPr>
                <w:sz w:val="20"/>
              </w:rPr>
              <w:t>Ex d, flameproof enclosure (II 2G Ex db IIC T4 Gb) — proposed, pending ExCB</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The local alarm does not depend on the radio link; the LoRa notification is supplementary. Signal chain: ambient gas → front stainless-steel mesh → DC sampling fan → MQ sensor (own protective mesh) → 24-bit ADC (ADS1256) → ESP32-S3 (pre-processing and on-device classification) → local alarm and LoRa transmission.</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 (external)</w:t>
            </w:r>
          </w:p>
        </w:tc>
        <w:tc>
          <w:tcPr>
            <w:tcW w:type="dxa" w:w="2160"/>
          </w:tcPr>
          <w:p>
            <w:pPr>
              <w:spacing w:after="40"/>
            </w:pPr>
            <w:r>
              <w:rPr>
                <w:sz w:val="19"/>
              </w:rPr>
              <w:t>220 VAC, 50 Hz</w:t>
            </w:r>
          </w:p>
        </w:tc>
        <w:tc>
          <w:tcPr>
            <w:tcW w:type="dxa" w:w="1584"/>
          </w:tcPr>
          <w:p>
            <w:pPr>
              <w:spacing w:after="40"/>
            </w:pPr>
            <w:r>
              <w:rPr>
                <w:b/>
                <w:color w:val="149174"/>
                <w:sz w:val="19"/>
              </w:rPr>
              <w:t>Outside equipment boundary</w:t>
            </w:r>
          </w:p>
        </w:tc>
        <w:tc>
          <w:tcPr>
            <w:tcW w:type="dxa" w:w="3312"/>
          </w:tcPr>
          <w:p>
            <w:pPr>
              <w:spacing w:after="40"/>
            </w:pPr>
            <w:r>
              <w:rPr>
                <w:sz w:val="19"/>
              </w:rPr>
              <w:t>Site-supplied adapter, external to the unit submitted for certification; listed for information only.</w:t>
            </w:r>
          </w:p>
        </w:tc>
      </w:tr>
      <w:tr>
        <w:trPr>
          <w:cantSplit/>
        </w:trPr>
        <w:tc>
          <w:tcPr>
            <w:tcW w:type="dxa" w:w="2304"/>
          </w:tcPr>
          <w:p>
            <w:pPr>
              <w:spacing w:after="40"/>
            </w:pPr>
            <w:r>
              <w:rPr>
                <w:b/>
                <w:sz w:val="19"/>
              </w:rPr>
              <w:t>AC/DC adapter output (external)</w:t>
            </w:r>
          </w:p>
        </w:tc>
        <w:tc>
          <w:tcPr>
            <w:tcW w:type="dxa" w:w="2160"/>
          </w:tcPr>
          <w:p>
            <w:pPr>
              <w:spacing w:after="40"/>
            </w:pPr>
            <w:r>
              <w:rPr>
                <w:sz w:val="19"/>
              </w:rPr>
              <w:t>24 VDC</w:t>
            </w:r>
          </w:p>
        </w:tc>
        <w:tc>
          <w:tcPr>
            <w:tcW w:type="dxa" w:w="1584"/>
          </w:tcPr>
          <w:p>
            <w:pPr>
              <w:spacing w:after="40"/>
            </w:pPr>
            <w:r>
              <w:rPr>
                <w:b/>
                <w:color w:val="149174"/>
                <w:sz w:val="19"/>
              </w:rPr>
              <w:t>Outside equipment boundary</w:t>
            </w:r>
          </w:p>
        </w:tc>
        <w:tc>
          <w:tcPr>
            <w:tcW w:type="dxa" w:w="3312"/>
          </w:tcPr>
          <w:p>
            <w:pPr>
              <w:spacing w:after="40"/>
            </w:pPr>
            <w:r>
              <w:rPr>
                <w:sz w:val="19"/>
              </w:rPr>
              <w:t>Supplies the 24 VDC field input of the unit.</w:t>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 24 VDC configuration submitted for certification.</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the sensing element sits behind the sensor's integrated stainless-steel protective mesh (not claimed as flame-arresting).</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920–923 MHz (920 MHz default channel)</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0–22 dBm configurable; 17 dBm operational setting</w:t>
            </w:r>
          </w:p>
        </w:tc>
        <w:tc>
          <w:tcPr>
            <w:tcW w:type="dxa" w:w="1584"/>
          </w:tcPr>
          <w:p>
            <w:pPr>
              <w:spacing w:after="40"/>
            </w:pPr>
            <w:r>
              <w:rPr>
                <w:b/>
                <w:color w:val="149174"/>
                <w:sz w:val="19"/>
              </w:rPr>
              <w:t>Final</w:t>
            </w:r>
          </w:p>
        </w:tc>
        <w:tc>
          <w:tcPr>
            <w:tcW w:type="dxa" w:w="3168"/>
          </w:tcPr>
          <w:p>
            <w:pPr>
              <w:spacing w:after="40"/>
            </w:pPr>
            <w:r>
              <w:rPr>
                <w:sz w:val="19"/>
              </w:rPr>
              <w:t>22 dBm (≈158 mW) is the module maximum; with the 3 dBi antenna the radiated power stays well below the RF ignition threshold of IEC 60079-0 for Group IIC (see IS-08).</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Single external LoRa antenna; no internal 2.4 GHz antenna in the certified configuration (sample GLD2-0x1001).</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spacing w:after="40"/>
      </w:pPr>
      <w:r>
        <w:rPr>
          <w:b/>
          <w:i w:val="0"/>
          <w:color w:val="1A2B3D"/>
          <w:sz w:val="20"/>
        </w:rPr>
        <w:t>Operating modes:</w:t>
      </w:r>
    </w:p>
    <w:tbl>
      <w:tblPr>
        <w:tblStyle w:val="TableGrid"/>
        <w:tblW w:type="auto" w:w="0"/>
        <w:jc w:val="center"/>
        <w:tblLayout w:type="fixed"/>
        <w:tblLook w:firstColumn="1" w:firstRow="1" w:lastColumn="0" w:lastRow="0" w:noHBand="0" w:noVBand="1" w:val="04A0"/>
        <w:tblLayout w:type="fixed"/>
      </w:tblPr>
      <w:tblGrid>
        <w:gridCol w:w="2592"/>
        <w:gridCol w:w="6768"/>
      </w:tblGrid>
      <w:tr>
        <w:trPr>
          <w:tblHeader w:val="true"/>
        </w:trPr>
        <w:tc>
          <w:tcPr>
            <w:tcW w:type="dxa" w:w="2592"/>
            <w:shd w:val="clear" w:color="auto" w:fill="EFEFEF"/>
          </w:tcPr>
          <w:p>
            <w:pPr>
              <w:spacing w:after="40"/>
            </w:pPr>
            <w:r>
              <w:rPr>
                <w:b/>
                <w:color w:val="4A4A4A"/>
                <w:sz w:val="18"/>
              </w:rPr>
              <w:t>MODE</w:t>
            </w:r>
          </w:p>
        </w:tc>
        <w:tc>
          <w:tcPr>
            <w:tcW w:type="dxa" w:w="6768"/>
            <w:shd w:val="clear" w:color="auto" w:fill="EFEFEF"/>
          </w:tcPr>
          <w:p>
            <w:pPr>
              <w:spacing w:after="40"/>
            </w:pPr>
            <w:r>
              <w:rPr>
                <w:b/>
                <w:color w:val="4A4A4A"/>
                <w:sz w:val="18"/>
              </w:rPr>
              <w:t>FUNCTION</w:t>
            </w:r>
          </w:p>
        </w:tc>
      </w:tr>
      <w:tr>
        <w:trPr>
          <w:cantSplit/>
        </w:trPr>
        <w:tc>
          <w:tcPr>
            <w:tcW w:type="dxa" w:w="2592"/>
          </w:tcPr>
          <w:p>
            <w:pPr>
              <w:spacing w:after="40"/>
            </w:pPr>
            <w:r>
              <w:rPr>
                <w:b/>
                <w:sz w:val="19"/>
              </w:rPr>
              <w:t>Normal / Inference</w:t>
            </w:r>
          </w:p>
        </w:tc>
        <w:tc>
          <w:tcPr>
            <w:tcW w:type="dxa" w:w="6768"/>
          </w:tcPr>
          <w:p>
            <w:pPr>
              <w:spacing w:after="40"/>
            </w:pPr>
            <w:r>
              <w:rPr>
                <w:sz w:val="19"/>
              </w:rPr>
              <w:t>Normal gas monitoring, on-device AI processing and alarm function (production mode)</w:t>
            </w:r>
          </w:p>
        </w:tc>
      </w:tr>
      <w:tr>
        <w:trPr>
          <w:cantSplit/>
        </w:trPr>
        <w:tc>
          <w:tcPr>
            <w:tcW w:type="dxa" w:w="2592"/>
          </w:tcPr>
          <w:p>
            <w:pPr>
              <w:spacing w:after="40"/>
            </w:pPr>
            <w:r>
              <w:rPr>
                <w:b/>
                <w:sz w:val="19"/>
              </w:rPr>
              <w:t>Sampling</w:t>
            </w:r>
          </w:p>
        </w:tc>
        <w:tc>
          <w:tcPr>
            <w:tcW w:type="dxa" w:w="6768"/>
          </w:tcPr>
          <w:p>
            <w:pPr>
              <w:spacing w:after="40"/>
            </w:pPr>
            <w:r>
              <w:rPr>
                <w:sz w:val="19"/>
              </w:rPr>
              <w:t>Fan activated and sensor data acquired (sub-state of normal operation)</w:t>
            </w:r>
          </w:p>
        </w:tc>
      </w:tr>
      <w:tr>
        <w:trPr>
          <w:cantSplit/>
        </w:trPr>
        <w:tc>
          <w:tcPr>
            <w:tcW w:type="dxa" w:w="2592"/>
          </w:tcPr>
          <w:p>
            <w:pPr>
              <w:spacing w:after="40"/>
            </w:pPr>
            <w:r>
              <w:rPr>
                <w:b/>
                <w:sz w:val="19"/>
              </w:rPr>
              <w:t>Alarm</w:t>
            </w:r>
          </w:p>
        </w:tc>
        <w:tc>
          <w:tcPr>
            <w:tcW w:type="dxa" w:w="6768"/>
          </w:tcPr>
          <w:p>
            <w:pPr>
              <w:spacing w:after="40"/>
            </w:pPr>
            <w:r>
              <w:rPr>
                <w:sz w:val="19"/>
              </w:rPr>
              <w:t>Local visual/audible alarm and LoRa alarm transmission (sub-state of normal operation)</w:t>
            </w:r>
          </w:p>
        </w:tc>
      </w:tr>
      <w:tr>
        <w:trPr>
          <w:cantSplit/>
        </w:trPr>
        <w:tc>
          <w:tcPr>
            <w:tcW w:type="dxa" w:w="2592"/>
          </w:tcPr>
          <w:p>
            <w:pPr>
              <w:spacing w:after="40"/>
            </w:pPr>
            <w:r>
              <w:rPr>
                <w:b/>
                <w:sz w:val="19"/>
              </w:rPr>
              <w:t>Nulling / Baseline</w:t>
            </w:r>
          </w:p>
        </w:tc>
        <w:tc>
          <w:tcPr>
            <w:tcW w:type="dxa" w:w="6768"/>
          </w:tcPr>
          <w:p>
            <w:pPr>
              <w:spacing w:after="40"/>
            </w:pPr>
            <w:r>
              <w:rPr>
                <w:sz w:val="19"/>
              </w:rPr>
              <w:t>Sensor baseline operation in confirmed clean air; complete 8/8 result required</w:t>
            </w:r>
          </w:p>
        </w:tc>
      </w:tr>
      <w:tr>
        <w:trPr>
          <w:cantSplit/>
        </w:trPr>
        <w:tc>
          <w:tcPr>
            <w:tcW w:type="dxa" w:w="2592"/>
          </w:tcPr>
          <w:p>
            <w:pPr>
              <w:spacing w:after="40"/>
            </w:pPr>
            <w:r>
              <w:rPr>
                <w:b/>
                <w:sz w:val="19"/>
              </w:rPr>
              <w:t>Dataset / Engineering</w:t>
            </w:r>
          </w:p>
        </w:tc>
        <w:tc>
          <w:tcPr>
            <w:tcW w:type="dxa" w:w="6768"/>
          </w:tcPr>
          <w:p>
            <w:pPr>
              <w:spacing w:after="40"/>
            </w:pPr>
            <w:r>
              <w:rPr>
                <w:sz w:val="19"/>
              </w:rPr>
              <w:t>Engineering/data-collection mode; not a normal production detection mode</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The enclosure is a die-cast metal housing manufactured and supplied by the applicant, with a threaded cover, threaded side entries and a front stainless-steel mesh, as shown in the product photography (Section 2.4). A related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B56A1E"/>
                <w:sz w:val="19"/>
              </w:rPr>
              <w:t>Target — not yet tested</w:t>
            </w:r>
          </w:p>
        </w:tc>
        <w:tc>
          <w:tcPr>
            <w:tcW w:type="dxa" w:w="2880"/>
          </w:tcPr>
          <w:p>
            <w:pPr>
              <w:spacing w:after="40"/>
            </w:pPr>
            <w:r>
              <w:rPr>
                <w:sz w:val="19"/>
              </w:rPr>
              <w:t>Target rating of the design; test evidence against IEC 60529 is pending.</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Rated ambient range of the equipment and the reference ambient for the temperature-class evaluation (Sections 2.5, 2.6.f).</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Rated operating humidity range.</w:t>
            </w:r>
          </w:p>
        </w:tc>
      </w:tr>
      <w:tr>
        <w:trPr>
          <w:cantSplit/>
        </w:trPr>
        <w:tc>
          <w:tcPr>
            <w:tcW w:type="dxa" w:w="2160"/>
          </w:tcPr>
          <w:p>
            <w:pPr>
              <w:spacing w:after="40"/>
            </w:pPr>
            <w:r>
              <w:rPr>
                <w:b/>
                <w:sz w:val="19"/>
              </w:rPr>
              <w:t>Front gas inlet</w:t>
            </w:r>
          </w:p>
        </w:tc>
        <w:tc>
          <w:tcPr>
            <w:tcW w:type="dxa" w:w="2736"/>
          </w:tcPr>
          <w:p>
            <w:pPr>
              <w:spacing w:after="40"/>
            </w:pPr>
            <w:r>
              <w:rPr>
                <w:sz w:val="19"/>
              </w:rPr>
              <w:t>Stainless-steel wire-mesh plate with locking bracket</w:t>
            </w:r>
          </w:p>
        </w:tc>
        <w:tc>
          <w:tcPr>
            <w:tcW w:type="dxa" w:w="1584"/>
          </w:tcPr>
          <w:p>
            <w:pPr>
              <w:spacing w:after="40"/>
            </w:pPr>
            <w:r>
              <w:rPr>
                <w:b/>
                <w:color w:val="B56A1E"/>
                <w:sz w:val="19"/>
              </w:rPr>
              <w:t>Partial</w:t>
            </w:r>
          </w:p>
        </w:tc>
        <w:tc>
          <w:tcPr>
            <w:tcW w:type="dxa" w:w="2880"/>
          </w:tcPr>
          <w:p>
            <w:pPr>
              <w:spacing w:after="40"/>
            </w:pPr>
            <w:r>
              <w:rPr>
                <w:sz w:val="19"/>
              </w:rPr>
              <w:t>Grade, mesh size, thickness and number of layers to be confirmed by the enclosure drawing (EX-03).</w:t>
            </w:r>
          </w:p>
        </w:tc>
      </w:tr>
      <w:tr>
        <w:trPr>
          <w:cantSplit/>
        </w:trPr>
        <w:tc>
          <w:tcPr>
            <w:tcW w:type="dxa" w:w="2160"/>
          </w:tcPr>
          <w:p>
            <w:pPr>
              <w:spacing w:after="40"/>
            </w:pPr>
            <w:r>
              <w:rPr>
                <w:b/>
                <w:sz w:val="19"/>
              </w:rPr>
              <w:t>Sampling fan</w:t>
            </w:r>
          </w:p>
        </w:tc>
        <w:tc>
          <w:tcPr>
            <w:tcW w:type="dxa" w:w="2736"/>
          </w:tcPr>
          <w:p>
            <w:pPr>
              <w:spacing w:after="40"/>
            </w:pPr>
            <w:r>
              <w:rPr>
                <w:sz w:val="19"/>
              </w:rPr>
              <w:t>CIXIKEJI CX5010B5H, DC 5 V 0.23 A, 50 × 50 × 10 mm</w:t>
            </w:r>
          </w:p>
        </w:tc>
        <w:tc>
          <w:tcPr>
            <w:tcW w:type="dxa" w:w="1584"/>
          </w:tcPr>
          <w:p>
            <w:pPr>
              <w:spacing w:after="40"/>
            </w:pPr>
            <w:r>
              <w:rPr>
                <w:b/>
                <w:color w:val="149174"/>
                <w:sz w:val="19"/>
              </w:rPr>
              <w:t>Final</w:t>
            </w:r>
          </w:p>
        </w:tc>
        <w:tc>
          <w:tcPr>
            <w:tcW w:type="dxa" w:w="2880"/>
          </w:tcPr>
          <w:p>
            <w:pPr>
              <w:spacing w:after="40"/>
            </w:pPr>
            <w:r>
              <w:rPr>
                <w:sz w:val="19"/>
              </w:rPr>
              <w:t>Mounted in the cover directly behind the front mesh; driven by Q5 via J3 (EX-05).</w:t>
            </w:r>
          </w:p>
        </w:tc>
      </w:tr>
      <w:tr>
        <w:trPr>
          <w:cantSplit/>
        </w:trPr>
        <w:tc>
          <w:tcPr>
            <w:tcW w:type="dxa" w:w="2160"/>
          </w:tcPr>
          <w:p>
            <w:pPr>
              <w:spacing w:after="40"/>
            </w:pPr>
            <w:r>
              <w:rPr>
                <w:b/>
                <w:sz w:val="19"/>
              </w:rPr>
              <w:t>Sensor protective mesh</w:t>
            </w:r>
          </w:p>
        </w:tc>
        <w:tc>
          <w:tcPr>
            <w:tcW w:type="dxa" w:w="2736"/>
          </w:tcPr>
          <w:p>
            <w:pPr>
              <w:spacing w:after="40"/>
            </w:pPr>
            <w:r>
              <w:rPr>
                <w:sz w:val="19"/>
              </w:rPr>
              <w:t>Integrated stainless-steel mesh on each MQ sensor</w:t>
            </w:r>
          </w:p>
        </w:tc>
        <w:tc>
          <w:tcPr>
            <w:tcW w:type="dxa" w:w="1584"/>
          </w:tcPr>
          <w:p>
            <w:pPr>
              <w:spacing w:after="40"/>
            </w:pPr>
            <w:r>
              <w:rPr>
                <w:b/>
                <w:color w:val="149174"/>
                <w:sz w:val="19"/>
              </w:rPr>
              <w:t>Final</w:t>
            </w:r>
          </w:p>
        </w:tc>
        <w:tc>
          <w:tcPr>
            <w:tcW w:type="dxa" w:w="2880"/>
          </w:tcPr>
          <w:p>
            <w:pPr>
              <w:spacing w:after="40"/>
            </w:pPr>
            <w:r>
              <w:rPr>
                <w:sz w:val="19"/>
              </w:rPr>
              <w:t>Protective element of the sensor construction; no flame-arresting function is claimed (EX-04).</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p>
      <w:pPr>
        <w:pStyle w:val="Heading2"/>
      </w:pPr>
      <w:r>
        <w:t>2.4 · Product Photographs — Overall and Key Components</w:t>
      </w:r>
    </w:p>
    <w:p>
      <w:pPr>
        <w:spacing w:after="160"/>
      </w:pPr>
      <w:r>
        <w:rPr>
          <w:b w:val="0"/>
          <w:i w:val="0"/>
          <w:sz w:val="21"/>
        </w:rPr>
        <w:t>The seven photographs below show an earlier GLD V2 prototype unit and are retained for reference only. The current production configuration (latest enclosure and main board) is documented in Section 2.4.2, and the coverage of the requested views is mapped in Section 2.4.1.</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p>
      <w:pPr>
        <w:pStyle w:val="Heading5"/>
        <w:keepNext/>
        <w:spacing w:before="160" w:after="80"/>
      </w:pPr>
      <w:r>
        <w:rPr>
          <w:rFonts w:ascii="Calibri" w:hAnsi="Calibri"/>
          <w:b/>
          <w:i w:val="0"/>
          <w:color w:val="1B335F"/>
          <w:sz w:val="20"/>
        </w:rPr>
        <w:t>Assembly sequence — base, main board, sensors, fan, alarm, cable entry, cover (Figures 4-101 to 4-117)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4-101. GLD V2 – Base enclosure before assembly.</w:t>
            </w:r>
          </w:p>
          <w:p>
            <w:pPr>
              <w:spacing w:after="160"/>
              <w:jc w:val="center"/>
            </w:pP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4-102. GLD V2 – Main board placed in the base enclosure.</w:t>
            </w:r>
          </w:p>
          <w:p>
            <w:pPr>
              <w:spacing w:after="160"/>
              <w:jc w:val="center"/>
            </w:pP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4-103. GLD V2 – Antenna lead connected to the main board.</w:t>
            </w:r>
          </w:p>
          <w:p>
            <w:pPr>
              <w:spacing w:after="160"/>
              <w:jc w:val="center"/>
            </w:pP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4-104. GLD V2 – PCB cover / terminal board fitted.</w:t>
            </w:r>
          </w:p>
          <w:p>
            <w:pPr>
              <w:spacing w:after="160"/>
              <w:jc w:val="center"/>
            </w:pP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4-105. GLD V2 – Sensor module.</w:t>
            </w:r>
          </w:p>
          <w:p>
            <w:pPr>
              <w:spacing w:after="160"/>
              <w:jc w:val="center"/>
            </w:pP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4-106. GLD V2 – Sensor module being inserted.</w:t>
            </w:r>
          </w:p>
          <w:p>
            <w:pPr>
              <w:spacing w:after="160"/>
              <w:jc w:val="center"/>
            </w:pP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4-107. GLD V2 – Sensor modules fitted.</w:t>
            </w:r>
          </w:p>
          <w:p>
            <w:pPr>
              <w:spacing w:after="160"/>
              <w:jc w:val="center"/>
            </w:pP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4-108. GLD V2 – DC sampling fan.</w:t>
            </w:r>
          </w:p>
          <w:p>
            <w:pPr>
              <w:spacing w:after="160"/>
              <w:jc w:val="center"/>
            </w:pP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pStyle w:val="GLDFigureTitle"/>
              <w:spacing w:after="0"/>
              <w:jc w:val="center"/>
            </w:pPr>
            <w:r>
              <w:rPr>
                <w:b/>
                <w:color w:val="1B335F"/>
                <w:sz w:val="17"/>
              </w:rPr>
              <w:t>Figure 4-109. GLD V2 – Fan leads terminated.</w:t>
            </w:r>
          </w:p>
          <w:p>
            <w:pPr>
              <w:spacing w:after="160"/>
              <w:jc w:val="center"/>
            </w:pP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pStyle w:val="GLDFigureTitle"/>
              <w:spacing w:after="0"/>
              <w:jc w:val="center"/>
            </w:pPr>
            <w:r>
              <w:rPr>
                <w:b/>
                <w:color w:val="1B335F"/>
                <w:sz w:val="17"/>
              </w:rPr>
              <w:t>Figure 4-110. GLD V2 – Alarm beacon fitted.</w:t>
            </w:r>
          </w:p>
          <w:p>
            <w:pPr>
              <w:spacing w:after="160"/>
              <w:jc w:val="center"/>
            </w:pP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pStyle w:val="GLDFigureTitle"/>
              <w:spacing w:after="0"/>
              <w:jc w:val="center"/>
            </w:pPr>
            <w:r>
              <w:rPr>
                <w:b/>
                <w:color w:val="1B335F"/>
                <w:sz w:val="17"/>
              </w:rPr>
              <w:t>Figure 4-111. GLD V2 – Alarm leads terminated.</w:t>
            </w:r>
          </w:p>
          <w:p>
            <w:pPr>
              <w:spacing w:after="160"/>
              <w:jc w:val="center"/>
            </w:pP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pStyle w:val="GLDFigureTitle"/>
              <w:spacing w:after="0"/>
              <w:jc w:val="center"/>
            </w:pPr>
            <w:r>
              <w:rPr>
                <w:b/>
                <w:color w:val="1B335F"/>
                <w:sz w:val="17"/>
              </w:rPr>
              <w:t>Figure 4-112. GLD V2 – Cable gland fitted to the left-hand entry.</w:t>
            </w:r>
          </w:p>
          <w:p>
            <w:pPr>
              <w:spacing w:after="160"/>
              <w:jc w:val="center"/>
            </w:pP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pStyle w:val="GLDFigureTitle"/>
              <w:spacing w:after="0"/>
              <w:jc w:val="center"/>
            </w:pPr>
            <w:r>
              <w:rPr>
                <w:b/>
                <w:color w:val="1B335F"/>
                <w:sz w:val="17"/>
              </w:rPr>
              <w:t>Figure 4-113. GLD V2 – 24 VDC cable inserted.</w:t>
            </w:r>
          </w:p>
          <w:p>
            <w:pPr>
              <w:spacing w:after="160"/>
              <w:jc w:val="center"/>
            </w:pP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pStyle w:val="GLDFigureTitle"/>
              <w:spacing w:after="0"/>
              <w:jc w:val="center"/>
            </w:pPr>
            <w:r>
              <w:rPr>
                <w:b/>
                <w:color w:val="1B335F"/>
                <w:sz w:val="17"/>
              </w:rPr>
              <w:t>Figure 4-114. GLD V2 – 24 VDC conductors terminated.</w:t>
            </w:r>
          </w:p>
          <w:p>
            <w:pPr>
              <w:spacing w:after="160"/>
              <w:jc w:val="center"/>
            </w:pP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pStyle w:val="GLDFigureTitle"/>
              <w:spacing w:after="0"/>
              <w:jc w:val="center"/>
            </w:pPr>
            <w:r>
              <w:rPr>
                <w:b/>
                <w:color w:val="1B335F"/>
                <w:sz w:val="17"/>
              </w:rPr>
              <w:t>Figure 4-115. GLD V2 – Cover with sampling fan.</w:t>
            </w:r>
          </w:p>
          <w:p>
            <w:pPr>
              <w:spacing w:after="160"/>
              <w:jc w:val="center"/>
            </w:pP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pStyle w:val="GLDFigureTitle"/>
              <w:spacing w:after="0"/>
              <w:jc w:val="center"/>
            </w:pPr>
            <w:r>
              <w:rPr>
                <w:b/>
                <w:color w:val="1B335F"/>
                <w:sz w:val="17"/>
              </w:rPr>
              <w:t>Figure 4-116. GLD V2 – Assembled unit — grounding.</w:t>
            </w:r>
          </w:p>
          <w:p>
            <w:pPr>
              <w:spacing w:after="160"/>
              <w:jc w:val="center"/>
            </w:pP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pStyle w:val="GLDFigureTitle"/>
              <w:spacing w:after="0"/>
              <w:jc w:val="center"/>
            </w:pPr>
            <w:r>
              <w:rPr>
                <w:b/>
                <w:color w:val="1B335F"/>
                <w:sz w:val="17"/>
              </w:rPr>
              <w:t>Figure 4-117. GLD V2 – Threaded cover being closed.</w:t>
            </w:r>
          </w:p>
          <w:p>
            <w:pPr>
              <w:spacing w:after="160"/>
              <w:jc w:val="center"/>
            </w:pPr>
            <w:r>
              <w:rPr>
                <w:color w:val="555B66"/>
                <w:sz w:val="16"/>
              </w:rPr>
              <w:t>The threaded cover is screwed onto the base by hand.</w:t>
            </w:r>
          </w:p>
        </w:tc>
        <w:tc>
          <w:tcPr>
            <w:tcW w:type="dxa" w:w="4873"/>
          </w:tcPr>
          <w:p/>
        </w:tc>
      </w:tr>
    </w:tbl>
    <w:p>
      <w:pPr>
        <w:pStyle w:val="Heading5"/>
        <w:keepNext/>
        <w:spacing w:before="160" w:after="80"/>
      </w:pPr>
      <w:r>
        <w:rPr>
          <w:rFonts w:ascii="Calibri" w:hAnsi="Calibri"/>
          <w:b/>
          <w:i w:val="0"/>
          <w:color w:val="1B335F"/>
          <w:sz w:val="20"/>
        </w:rPr>
        <w:t>Assembled unit — external views (Figures 4-118 to 4-123)</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pStyle w:val="GLDFigureTitle"/>
              <w:spacing w:after="0"/>
              <w:jc w:val="center"/>
            </w:pPr>
            <w:r>
              <w:rPr>
                <w:b/>
                <w:color w:val="1B335F"/>
                <w:sz w:val="17"/>
              </w:rPr>
              <w:t>Figure 4-118. GLD V2 – Assembled unit — front view.</w:t>
            </w:r>
          </w:p>
          <w:p>
            <w:pPr>
              <w:spacing w:after="160"/>
              <w:jc w:val="center"/>
            </w:pPr>
            <w:r>
              <w:rPr>
                <w:color w:val="555B66"/>
                <w:sz w:val="16"/>
              </w:rPr>
              <w:t>Stainless-steel mesh sensing face; cable gland (left), alarm beacon (right), antenna (top).</w:t>
            </w:r>
          </w:p>
        </w:tc>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pStyle w:val="GLDFigureTitle"/>
              <w:spacing w:after="0"/>
              <w:jc w:val="center"/>
            </w:pPr>
            <w:r>
              <w:rPr>
                <w:b/>
                <w:color w:val="1B335F"/>
                <w:sz w:val="17"/>
              </w:rPr>
              <w:t>Figure 4-119. GLD V2 – Assembled unit — side view with blanking plug.</w:t>
            </w:r>
          </w:p>
          <w:p>
            <w:pPr>
              <w:spacing w:after="160"/>
              <w:jc w:val="center"/>
            </w:pPr>
            <w:r>
              <w:rPr>
                <w:color w:val="555B66"/>
                <w:sz w:val="16"/>
              </w:rPr>
              <w:t>Hexagon blanking plug closing the lower entry; alarm beacon on the right.</w:t>
            </w:r>
          </w:p>
        </w:tc>
      </w:tr>
      <w:tr>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pStyle w:val="GLDFigureTitle"/>
              <w:spacing w:after="0"/>
              <w:jc w:val="center"/>
            </w:pPr>
            <w:r>
              <w:rPr>
                <w:b/>
                <w:color w:val="1B335F"/>
                <w:sz w:val="17"/>
              </w:rPr>
              <w:t>Figure 4-120. GLD V2 – Assembled unit — side view with cable entry.</w:t>
            </w:r>
          </w:p>
          <w:p>
            <w:pPr>
              <w:spacing w:after="160"/>
              <w:jc w:val="center"/>
            </w:pPr>
            <w:r>
              <w:rPr>
                <w:color w:val="555B66"/>
                <w:sz w:val="16"/>
              </w:rPr>
              <w:t>Cable gland, external grounding screw and antenna.</w:t>
            </w:r>
          </w:p>
        </w:tc>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pStyle w:val="GLDFigureTitle"/>
              <w:spacing w:after="0"/>
              <w:jc w:val="center"/>
            </w:pPr>
            <w:r>
              <w:rPr>
                <w:b/>
                <w:color w:val="1B335F"/>
                <w:sz w:val="17"/>
              </w:rPr>
              <w:t>Figure 4-121. GLD V2 – Assembled unit — side view with beacon.</w:t>
            </w:r>
          </w:p>
          <w:p>
            <w:pPr>
              <w:spacing w:after="160"/>
              <w:jc w:val="center"/>
            </w:pPr>
            <w:r>
              <w:rPr>
                <w:color w:val="555B66"/>
                <w:sz w:val="16"/>
              </w:rPr>
              <w:t>Alarm beacon and mounting lugs.</w:t>
            </w:r>
          </w:p>
        </w:tc>
      </w:tr>
      <w:tr>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pStyle w:val="GLDFigureTitle"/>
              <w:spacing w:after="0"/>
              <w:jc w:val="center"/>
            </w:pPr>
            <w:r>
              <w:rPr>
                <w:b/>
                <w:color w:val="1B335F"/>
                <w:sz w:val="17"/>
              </w:rPr>
              <w:t>Figure 4-122. GLD V2 – Assembled unit — side view of the base.</w:t>
            </w:r>
          </w:p>
          <w:p>
            <w:pPr>
              <w:spacing w:after="160"/>
              <w:jc w:val="center"/>
            </w:pPr>
            <w:r>
              <w:rPr>
                <w:color w:val="555B66"/>
                <w:sz w:val="16"/>
              </w:rPr>
              <w:t>Beacon entry (left), cable gland (right) and antenna.</w:t>
            </w:r>
          </w:p>
        </w:tc>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pStyle w:val="GLDFigureTitle"/>
              <w:spacing w:after="0"/>
              <w:jc w:val="center"/>
            </w:pPr>
            <w:r>
              <w:rPr>
                <w:b/>
                <w:color w:val="1B335F"/>
                <w:sz w:val="17"/>
              </w:rPr>
              <w:t>Figure 4-123. GLD V2 – Assembled unit — rear view.</w:t>
            </w:r>
          </w:p>
          <w:p>
            <w:pPr>
              <w:spacing w:after="160"/>
              <w:jc w:val="center"/>
            </w:pPr>
            <w:r>
              <w:rPr>
                <w:color w:val="555B66"/>
                <w:sz w:val="16"/>
              </w:rPr>
              <w:t>Rear face of the base with mounting lugs; antenna (top), beacon (left), cable gland (right).</w:t>
            </w:r>
          </w:p>
        </w:tc>
      </w:tr>
    </w:tbl>
    <w:p>
      <w:pPr>
        <w:pStyle w:val="Heading5"/>
        <w:keepNext/>
        <w:spacing w:before="160" w:after="80"/>
      </w:pPr>
      <w:r>
        <w:rPr>
          <w:rFonts w:ascii="Calibri" w:hAnsi="Calibri"/>
          <w:b/>
          <w:i w:val="0"/>
          <w:color w:val="1B335F"/>
          <w:sz w:val="20"/>
        </w:rPr>
        <w:t>Nameplate position, antenna interface and threads (Figures 4-124 to 4-127)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Nameplate_position_beside_antenna.jpg"/>
                          <pic:cNvPicPr/>
                        </pic:nvPicPr>
                        <pic:blipFill>
                          <a:blip r:embed="rId4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4-124. GLD V2 – Nameplate position.</w:t>
            </w:r>
          </w:p>
          <w:p>
            <w:pPr>
              <w:spacing w:after="160"/>
              <w:jc w:val="center"/>
            </w:pPr>
            <w:r>
              <w:rPr>
                <w:color w:val="555B66"/>
                <w:sz w:val="16"/>
              </w:rPr>
              <w:t>Flat top face of the base enclosure beside the antenna, between the antenna and the mounting lug — the intended location of the nameplate (marking still draft; not yet fitted).</w:t>
            </w:r>
          </w:p>
        </w:tc>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Antenna_interface_outside.jpg"/>
                          <pic:cNvPicPr/>
                        </pic:nvPicPr>
                        <pic:blipFill>
                          <a:blip r:embed="rId4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4-125. GLD V2 – Antenna interface — outside.</w:t>
            </w:r>
          </w:p>
          <w:p>
            <w:pPr>
              <w:spacing w:after="160"/>
              <w:jc w:val="center"/>
            </w:pPr>
            <w:r>
              <w:rPr>
                <w:color w:val="555B66"/>
                <w:sz w:val="16"/>
              </w:rPr>
              <w:t>External antenna screwed onto its connector on the top face of the base enclosure; the threaded cover joint with its black O-ring and the hexagon blanking plug with O-ring are also visible.</w:t>
            </w:r>
          </w:p>
        </w:tc>
      </w:tr>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Antenna_interface_inside.jpg"/>
                          <pic:cNvPicPr/>
                        </pic:nvPicPr>
                        <pic:blipFill>
                          <a:blip r:embed="rId4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4-126. GLD V2 – Antenna interface — inside the enclosure.</w:t>
            </w:r>
          </w:p>
          <w:p>
            <w:pPr>
              <w:spacing w:after="160"/>
              <w:jc w:val="center"/>
            </w:pPr>
            <w:r>
              <w:rPr>
                <w:color w:val="555B66"/>
                <w:sz w:val="16"/>
              </w:rPr>
              <w:t>Brass SMA bulkhead seated in a spot-faced hole through the enclosure wall, with the U.FL pigtail running to the main board; PCB mounting boss below.</w:t>
            </w:r>
          </w:p>
        </w:tc>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Cover_thread_and_entry_thread.jpg"/>
                          <pic:cNvPicPr/>
                        </pic:nvPicPr>
                        <pic:blipFill>
                          <a:blip r:embed="rId4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4-127. GLD V2 – Cover thread and side-entry thread.</w:t>
            </w:r>
          </w:p>
          <w:p>
            <w:pPr>
              <w:spacing w:after="160"/>
              <w:jc w:val="center"/>
            </w:pP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r>
    </w:tbl>
    <w:p>
      <w:pPr>
        <w:pStyle w:val="Heading5"/>
        <w:keepNext/>
        <w:spacing w:before="160" w:after="80"/>
      </w:pPr>
      <w:r>
        <w:rPr>
          <w:rFonts w:ascii="Calibri" w:hAnsi="Calibri"/>
          <w:b/>
          <w:i w:val="0"/>
          <w:color w:val="1B335F"/>
          <w:sz w:val="20"/>
        </w:rPr>
        <w:t>Dimensional check — caliper measurements of the base neck, bore and O-ring cord (Figures 4-128 to 4-132)</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caliper_wall_at_Oring.jpg"/>
                          <pic:cNvPicPr/>
                        </pic:nvPicPr>
                        <pic:blipFill>
                          <a:blip r:embed="rId4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4-128. GLD V2 – Base neck wall at the O-ring — caliper 10.50 mm.</w:t>
            </w:r>
          </w:p>
          <w:p>
            <w:pPr>
              <w:spacing w:after="160"/>
              <w:jc w:val="center"/>
            </w:pPr>
            <w:r>
              <w:rPr>
                <w:color w:val="555B66"/>
                <w:sz w:val="16"/>
              </w:rPr>
              <w:t>Vernier caliper (0.05 mm) across the neck wall at its root, just above the O-ring: reading 10.50 mm.</w:t>
            </w:r>
          </w:p>
        </w:tc>
        <w:tc>
          <w:tcPr>
            <w:tcW w:type="dxa" w:w="4873"/>
          </w:tcPr>
          <w:p>
            <w:pPr>
              <w:jc w:val="center"/>
            </w:pPr>
            <w:r>
              <w:drawing>
                <wp:inline xmlns:a="http://schemas.openxmlformats.org/drawingml/2006/main" xmlns:pic="http://schemas.openxmlformats.org/drawingml/2006/picture">
                  <wp:extent cx="2125980" cy="2834640"/>
                  <wp:docPr id="36" name="Picture 36"/>
                  <wp:cNvGraphicFramePr>
                    <a:graphicFrameLocks noChangeAspect="1"/>
                  </wp:cNvGraphicFramePr>
                  <a:graphic>
                    <a:graphicData uri="http://schemas.openxmlformats.org/drawingml/2006/picture">
                      <pic:pic>
                        <pic:nvPicPr>
                          <pic:cNvPr id="0" name="Base_caliper_wall_at_top.jpg"/>
                          <pic:cNvPicPr/>
                        </pic:nvPicPr>
                        <pic:blipFill>
                          <a:blip r:embed="rId4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4-129. GLD V2 – Base neck wall at the top — caliper 5.80 mm.</w:t>
            </w:r>
          </w:p>
          <w:p>
            <w:pPr>
              <w:spacing w:after="160"/>
              <w:jc w:val="center"/>
            </w:pPr>
            <w:r>
              <w:rPr>
                <w:color w:val="555B66"/>
                <w:sz w:val="16"/>
              </w:rPr>
              <w:t>Caliper across the threaded neck wall at its top edge (inner bore to thread crest): reading 5.80 mm.</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Base_caliper_thread_band_height.jpg"/>
                          <pic:cNvPicPr/>
                        </pic:nvPicPr>
                        <pic:blipFill>
                          <a:blip r:embed="rId4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4-130. GLD V2 – Threaded neck height — caliper ≈14.8 mm.</w:t>
            </w:r>
          </w:p>
          <w:p>
            <w:pPr>
              <w:spacing w:after="160"/>
              <w:jc w:val="center"/>
            </w:pPr>
            <w:r>
              <w:rPr>
                <w:color w:val="555B66"/>
                <w:sz w:val="16"/>
              </w:rPr>
              <w:t>Caliper held vertically from the base shoulder (O-ring level) to the top of the threaded neck: reading ≈14.8 mm; about 10 thread crests are visible over this height.</w:t>
            </w:r>
          </w:p>
        </w:tc>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inner_bore.jpg"/>
                          <pic:cNvPicPr/>
                        </pic:nvPicPr>
                        <pic:blipFill>
                          <a:blip r:embed="rId4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4-131. GLD V2 – Base inner bore — caliper ≈84.7 mm.</w:t>
            </w:r>
          </w:p>
          <w:p>
            <w:pPr>
              <w:spacing w:after="160"/>
              <w:jc w:val="center"/>
            </w:pPr>
            <w:r>
              <w:rPr>
                <w:color w:val="555B66"/>
                <w:sz w:val="16"/>
              </w:rPr>
              <w:t>Inside jaws across the bore of the base at the top of the neck: reading ≈84.7 mm.</w:t>
            </w:r>
          </w:p>
        </w:tc>
      </w:tr>
      <w:tr>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Gasket_caliper_cord_section.jpg"/>
                          <pic:cNvPicPr/>
                        </pic:nvPicPr>
                        <pic:blipFill>
                          <a:blip r:embed="rId4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4-132. GLD V2 – Cover O-ring — cord cross-section 2.70 mm.</w:t>
            </w:r>
          </w:p>
          <w:p>
            <w:pPr>
              <w:spacing w:after="160"/>
              <w:jc w:val="center"/>
            </w:pPr>
            <w:r>
              <w:rPr>
                <w:color w:val="555B66"/>
                <w:sz w:val="16"/>
              </w:rPr>
              <w:t>Black rubber O-ring of the cover-to-base joint measured across its cord: reading 2.70 mm.</w:t>
            </w:r>
          </w:p>
        </w:tc>
        <w:tc>
          <w:tcPr>
            <w:tcW w:type="dxa" w:w="4873"/>
          </w:tcPr>
          <w:p/>
        </w:tc>
      </w:tr>
    </w:tbl>
    <w:p>
      <w:pPr>
        <w:pStyle w:val="Heading5"/>
        <w:keepNext/>
        <w:spacing w:before="160" w:after="80"/>
      </w:pPr>
      <w:r>
        <w:rPr>
          <w:rFonts w:ascii="Calibri" w:hAnsi="Calibri"/>
          <w:b/>
          <w:i w:val="0"/>
          <w:color w:val="1B335F"/>
          <w:sz w:val="20"/>
        </w:rPr>
        <w:t>Dimensional check — depths, cover thread length and O-ring diameter (Figures 4-133 to 4-137)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40" name="Picture 40"/>
                  <wp:cNvGraphicFramePr>
                    <a:graphicFrameLocks noChangeAspect="1"/>
                  </wp:cNvGraphicFramePr>
                  <a:graphic>
                    <a:graphicData uri="http://schemas.openxmlformats.org/drawingml/2006/picture">
                      <pic:pic>
                        <pic:nvPicPr>
                          <pic:cNvPr id="0" name="Base_ruler_internal_depth.jpg"/>
                          <pic:cNvPicPr/>
                        </pic:nvPicPr>
                        <pic:blipFill>
                          <a:blip r:embed="rId5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4-133. GLD V2 – Base internal depth — steel rule ≈45 mm.</w:t>
            </w:r>
          </w:p>
          <w:p>
            <w:pPr>
              <w:spacing w:after="160"/>
              <w:jc w:val="center"/>
            </w:pP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41" name="Picture 41"/>
                  <wp:cNvGraphicFramePr>
                    <a:graphicFrameLocks noChangeAspect="1"/>
                  </wp:cNvGraphicFramePr>
                  <a:graphic>
                    <a:graphicData uri="http://schemas.openxmlformats.org/drawingml/2006/picture">
                      <pic:pic>
                        <pic:nvPicPr>
                          <pic:cNvPr id="0" name="Oring_caliper_outer_diameter.jpg"/>
                          <pic:cNvPicPr/>
                        </pic:nvPicPr>
                        <pic:blipFill>
                          <a:blip r:embed="rId51"/>
                          <a:stretch>
                            <a:fillRect/>
                          </a:stretch>
                        </pic:blipFill>
                        <pic:spPr>
                          <a:xfrm>
                            <a:off x="0" y="0"/>
                            <a:ext cx="2743200" cy="2057400"/>
                          </a:xfrm>
                          <a:prstGeom prst="rect"/>
                        </pic:spPr>
                      </pic:pic>
                    </a:graphicData>
                  </a:graphic>
                </wp:inline>
              </w:drawing>
            </w:r>
          </w:p>
          <w:p>
            <w:pPr>
              <w:pStyle w:val="GLDFigureTitle"/>
              <w:spacing w:after="0"/>
              <w:jc w:val="center"/>
            </w:pPr>
            <w:r>
              <w:rPr>
                <w:b/>
                <w:color w:val="1B335F"/>
                <w:sz w:val="17"/>
              </w:rPr>
              <w:t>Figure 4-134. GLD V2 – Cover O-ring — outer diameter ≈91.0 mm.</w:t>
            </w:r>
          </w:p>
          <w:p>
            <w:pPr>
              <w:spacing w:after="160"/>
              <w:jc w:val="center"/>
            </w:pP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42" name="Picture 42"/>
                  <wp:cNvGraphicFramePr>
                    <a:graphicFrameLocks noChangeAspect="1"/>
                  </wp:cNvGraphicFramePr>
                  <a:graphic>
                    <a:graphicData uri="http://schemas.openxmlformats.org/drawingml/2006/picture">
                      <pic:pic>
                        <pic:nvPicPr>
                          <pic:cNvPr id="0" name="Cover_caliper_internal_thread_length.jpg"/>
                          <pic:cNvPicPr/>
                        </pic:nvPicPr>
                        <pic:blipFill>
                          <a:blip r:embed="rId5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4-135. GLD V2 – Cover internal thread length — caliper ≈18.9 mm.</w:t>
            </w:r>
          </w:p>
          <w:p>
            <w:pPr>
              <w:spacing w:after="160"/>
              <w:jc w:val="center"/>
            </w:pP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43" name="Picture 43"/>
                  <wp:cNvGraphicFramePr>
                    <a:graphicFrameLocks noChangeAspect="1"/>
                  </wp:cNvGraphicFramePr>
                  <a:graphic>
                    <a:graphicData uri="http://schemas.openxmlformats.org/drawingml/2006/picture">
                      <pic:pic>
                        <pic:nvPicPr>
                          <pic:cNvPr id="0" name="Base_caliper_neck_height_from_body.jpg"/>
                          <pic:cNvPicPr/>
                        </pic:nvPicPr>
                        <pic:blipFill>
                          <a:blip r:embed="rId5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4-136. GLD V2 – Base neck height from the body shoulder — caliper ≈20.2 mm.</w:t>
            </w:r>
          </w:p>
          <w:p>
            <w:pPr>
              <w:spacing w:after="160"/>
              <w:jc w:val="center"/>
            </w:pP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44" name="Picture 44"/>
                  <wp:cNvGraphicFramePr>
                    <a:graphicFrameLocks noChangeAspect="1"/>
                  </wp:cNvGraphicFramePr>
                  <a:graphic>
                    <a:graphicData uri="http://schemas.openxmlformats.org/drawingml/2006/picture">
                      <pic:pic>
                        <pic:nvPicPr>
                          <pic:cNvPr id="0" name="Cover_ruler_internal_depth.jpg"/>
                          <pic:cNvPicPr/>
                        </pic:nvPicPr>
                        <pic:blipFill>
                          <a:blip r:embed="rId5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4-137. GLD V2 – Cover internal depth — steel rule ≈47.5 mm.</w:t>
            </w:r>
          </w:p>
          <w:p>
            <w:pPr>
              <w:spacing w:after="160"/>
              <w:jc w:val="center"/>
            </w:pP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selected process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whose front stainless-steel wire mesh is the intended flame-path element of the gas inlet (subject to type test or a certified flame arrestor, Section 2.6.e),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r>
        <w:trPr>
          <w:cantSplit/>
        </w:trPr>
        <w:tc>
          <w:tcPr>
            <w:tcW w:type="dxa" w:w="1872"/>
          </w:tcPr>
          <w:p>
            <w:pPr>
              <w:spacing w:after="40"/>
            </w:pPr>
            <w:r>
              <w:rPr>
                <w:b/>
                <w:sz w:val="19"/>
              </w:rPr>
              <w:t>Equipment group / category / EPL</w:t>
            </w:r>
          </w:p>
        </w:tc>
        <w:tc>
          <w:tcPr>
            <w:tcW w:type="dxa" w:w="1584"/>
          </w:tcPr>
          <w:p>
            <w:pPr>
              <w:spacing w:after="40"/>
            </w:pPr>
            <w:r>
              <w:rPr>
                <w:sz w:val="19"/>
              </w:rPr>
              <w:t>Group II, Category 2G, EPL Gb</w:t>
            </w:r>
          </w:p>
        </w:tc>
        <w:tc>
          <w:tcPr>
            <w:tcW w:type="dxa" w:w="2736"/>
          </w:tcPr>
          <w:p>
            <w:pPr>
              <w:spacing w:after="40"/>
            </w:pPr>
            <w:r>
              <w:rPr>
                <w:b/>
                <w:color w:val="B56A1E"/>
                <w:sz w:val="19"/>
              </w:rPr>
              <w:t>Proposed — pending ExCB confirmation</w:t>
            </w:r>
          </w:p>
        </w:tc>
        <w:tc>
          <w:tcPr>
            <w:tcW w:type="dxa" w:w="3456"/>
          </w:tcPr>
          <w:p>
            <w:pPr>
              <w:spacing w:after="40"/>
            </w:pPr>
            <w:r>
              <w:rPr>
                <w:sz w:val="19"/>
              </w:rPr>
              <w:t>Consistent with Zone 1 installation; proposed marking II 2G Ex db IIC T4 Gb.</w:t>
            </w:r>
          </w:p>
        </w:tc>
      </w:tr>
      <w:tr>
        <w:trPr>
          <w:cantSplit/>
        </w:trPr>
        <w:tc>
          <w:tcPr>
            <w:tcW w:type="dxa" w:w="1872"/>
          </w:tcPr>
          <w:p>
            <w:pPr>
              <w:spacing w:after="40"/>
            </w:pPr>
            <w:r>
              <w:rPr>
                <w:b/>
                <w:sz w:val="19"/>
              </w:rPr>
              <w:t>Explosive atmosphere</w:t>
            </w:r>
          </w:p>
        </w:tc>
        <w:tc>
          <w:tcPr>
            <w:tcW w:type="dxa" w:w="1584"/>
          </w:tcPr>
          <w:p>
            <w:pPr>
              <w:spacing w:after="40"/>
            </w:pPr>
            <w:r>
              <w:rPr>
                <w:sz w:val="19"/>
              </w:rPr>
              <w:t>Gas atmospheres only</w:t>
            </w:r>
          </w:p>
        </w:tc>
        <w:tc>
          <w:tcPr>
            <w:tcW w:type="dxa" w:w="2736"/>
          </w:tcPr>
          <w:p>
            <w:pPr>
              <w:spacing w:after="40"/>
            </w:pPr>
            <w:r>
              <w:rPr>
                <w:b/>
                <w:color w:val="149174"/>
                <w:sz w:val="19"/>
              </w:rPr>
              <w:t>Final</w:t>
            </w:r>
          </w:p>
        </w:tc>
        <w:tc>
          <w:tcPr>
            <w:tcW w:type="dxa" w:w="3456"/>
          </w:tcPr>
          <w:p>
            <w:pPr>
              <w:spacing w:after="40"/>
            </w:pPr>
            <w:r>
              <w:rPr>
                <w:sz w:val="19"/>
              </w:rPr>
              <w:t>Combustible-dust atmospheres are not included in the scope of this application; no dust marking (Group III / Ex t / Category D) is requested.</w:t>
            </w:r>
          </w:p>
        </w:tc>
      </w:tr>
      <w:tr>
        <w:trPr>
          <w:cantSplit/>
        </w:trPr>
        <w:tc>
          <w:tcPr>
            <w:tcW w:type="dxa" w:w="1872"/>
          </w:tcPr>
          <w:p>
            <w:pPr>
              <w:spacing w:after="40"/>
            </w:pPr>
            <w:r>
              <w:rPr>
                <w:b/>
                <w:sz w:val="19"/>
              </w:rPr>
              <w:t>Operating humidity</w:t>
            </w:r>
          </w:p>
        </w:tc>
        <w:tc>
          <w:tcPr>
            <w:tcW w:type="dxa" w:w="1584"/>
          </w:tcPr>
          <w:p>
            <w:pPr>
              <w:spacing w:after="40"/>
            </w:pPr>
            <w:r>
              <w:rPr>
                <w:sz w:val="19"/>
              </w:rPr>
              <w:t>5–95 % RH, non-condensing</w:t>
            </w:r>
          </w:p>
        </w:tc>
        <w:tc>
          <w:tcPr>
            <w:tcW w:type="dxa" w:w="2736"/>
          </w:tcPr>
          <w:p>
            <w:pPr>
              <w:spacing w:after="40"/>
            </w:pPr>
            <w:r>
              <w:rPr>
                <w:b/>
                <w:color w:val="149174"/>
                <w:sz w:val="19"/>
              </w:rPr>
              <w:t>Final</w:t>
            </w:r>
          </w:p>
        </w:tc>
        <w:tc>
          <w:tcPr>
            <w:tcW w:type="dxa" w:w="3456"/>
          </w:tcPr>
          <w:p>
            <w:pPr>
              <w:spacing w:after="40"/>
            </w:pPr>
            <w:r>
              <w:rPr>
                <w:sz w:val="19"/>
              </w:rPr>
              <w:t>Section 2.3.c.</w:t>
            </w:r>
          </w:p>
        </w:tc>
      </w:tr>
    </w:tbl>
    <w:p>
      <w:pPr>
        <w:spacing w:after="40"/>
      </w:pPr>
    </w:p>
    <w:p>
      <w:pPr>
        <w:spacing w:after="160"/>
      </w:pPr>
      <w:r>
        <w:rPr>
          <w:b w:val="0"/>
          <w:i w:val="0"/>
          <w:sz w:val="19"/>
        </w:rPr>
        <w:t>Installation conditions: fixed installation on an existing structure or a dedicated post by means of the U-bolt mounting plate, with the front mesh unobstructed; 24 VDC supply cable through a certified Ex d cable gland (M20 × 1.5); unused entries closed with certified Ex d blanking plugs; external protective-earth connection at the grounding screw; the cover must not be opened while an explosive atmosphere may be present (Section 2.6.g).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of the applicant, not a certification decision.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The status of each sub-item is reported below.</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45" name="Picture 45"/>
            <wp:cNvGraphicFramePr>
              <a:graphicFrameLocks noChangeAspect="1"/>
            </wp:cNvGraphicFramePr>
            <a:graphic>
              <a:graphicData uri="http://schemas.openxmlformats.org/drawingml/2006/picture">
                <pic:pic>
                  <pic:nvPicPr>
                    <pic:cNvPr id="0" name="01-diagram.png"/>
                    <pic:cNvPicPr/>
                  </pic:nvPicPr>
                  <pic:blipFill>
                    <a:blip r:embed="rId55"/>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46" name="Picture 46"/>
            <wp:cNvGraphicFramePr>
              <a:graphicFrameLocks noChangeAspect="1"/>
            </wp:cNvGraphicFramePr>
            <a:graphic>
              <a:graphicData uri="http://schemas.openxmlformats.org/drawingml/2006/picture">
                <pic:pic>
                  <pic:nvPicPr>
                    <pic:cNvPr id="0" name="02-diagram.png"/>
                    <pic:cNvPicPr/>
                  </pic:nvPicPr>
                  <pic:blipFill>
                    <a:blip r:embed="rId56"/>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47" name="Picture 47"/>
            <wp:cNvGraphicFramePr>
              <a:graphicFrameLocks noChangeAspect="1"/>
            </wp:cNvGraphicFramePr>
            <a:graphic>
              <a:graphicData uri="http://schemas.openxmlformats.org/drawingml/2006/picture">
                <pic:pic>
                  <pic:nvPicPr>
                    <pic:cNvPr id="0" name="03-diagram.png"/>
                    <pic:cNvPicPr/>
                  </pic:nvPicPr>
                  <pic:blipFill>
                    <a:blip r:embed="rId57"/>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48" name="Picture 48"/>
            <wp:cNvGraphicFramePr>
              <a:graphicFrameLocks noChangeAspect="1"/>
            </wp:cNvGraphicFramePr>
            <a:graphic>
              <a:graphicData uri="http://schemas.openxmlformats.org/drawingml/2006/picture">
                <pic:pic>
                  <pic:nvPicPr>
                    <pic:cNvPr id="0" name="04-diagram.png"/>
                    <pic:cNvPicPr/>
                  </pic:nvPicPr>
                  <pic:blipFill>
                    <a:blip r:embed="rId58"/>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49" name="Picture 49"/>
            <wp:cNvGraphicFramePr>
              <a:graphicFrameLocks noChangeAspect="1"/>
            </wp:cNvGraphicFramePr>
            <a:graphic>
              <a:graphicData uri="http://schemas.openxmlformats.org/drawingml/2006/picture">
                <pic:pic>
                  <pic:nvPicPr>
                    <pic:cNvPr id="0" name="05-diagram.png"/>
                    <pic:cNvPicPr/>
                  </pic:nvPicPr>
                  <pic:blipFill>
                    <a:blip r:embed="rId59"/>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50" name="Picture 50"/>
            <wp:cNvGraphicFramePr>
              <a:graphicFrameLocks noChangeAspect="1"/>
            </wp:cNvGraphicFramePr>
            <a:graphic>
              <a:graphicData uri="http://schemas.openxmlformats.org/drawingml/2006/picture">
                <pic:pic>
                  <pic:nvPicPr>
                    <pic:cNvPr id="0" name="06-diagram.png"/>
                    <pic:cNvPicPr/>
                  </pic:nvPicPr>
                  <pic:blipFill>
                    <a:blip r:embed="rId60"/>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51" name="Picture 51"/>
            <wp:cNvGraphicFramePr>
              <a:graphicFrameLocks noChangeAspect="1"/>
            </wp:cNvGraphicFramePr>
            <a:graphic>
              <a:graphicData uri="http://schemas.openxmlformats.org/drawingml/2006/picture">
                <pic:pic>
                  <pic:nvPicPr>
                    <pic:cNvPr id="0" name="07-diagram.png"/>
                    <pic:cNvPicPr/>
                  </pic:nvPicPr>
                  <pic:blipFill>
                    <a:blip r:embed="rId61"/>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52" name="Picture 52"/>
            <wp:cNvGraphicFramePr>
              <a:graphicFrameLocks noChangeAspect="1"/>
            </wp:cNvGraphicFramePr>
            <a:graphic>
              <a:graphicData uri="http://schemas.openxmlformats.org/drawingml/2006/picture">
                <pic:pic>
                  <pic:nvPicPr>
                    <pic:cNvPr id="0" name="08-diagram.png"/>
                    <pic:cNvPicPr/>
                  </pic:nvPicPr>
                  <pic:blipFill>
                    <a:blip r:embed="rId62"/>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53" name="Picture 53"/>
            <wp:cNvGraphicFramePr>
              <a:graphicFrameLocks noChangeAspect="1"/>
            </wp:cNvGraphicFramePr>
            <a:graphic>
              <a:graphicData uri="http://schemas.openxmlformats.org/drawingml/2006/picture">
                <pic:pic>
                  <pic:nvPicPr>
                    <pic:cNvPr id="0" name="09-diagram.png"/>
                    <pic:cNvPicPr/>
                  </pic:nvPicPr>
                  <pic:blipFill>
                    <a:blip r:embed="rId63"/>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54" name="Picture 54"/>
            <wp:cNvGraphicFramePr>
              <a:graphicFrameLocks noChangeAspect="1"/>
            </wp:cNvGraphicFramePr>
            <a:graphic>
              <a:graphicData uri="http://schemas.openxmlformats.org/drawingml/2006/picture">
                <pic:pic>
                  <pic:nvPicPr>
                    <pic:cNvPr id="0" name="10-pcb-layout.png"/>
                    <pic:cNvPicPr/>
                  </pic:nvPicPr>
                  <pic:blipFill>
                    <a:blip r:embed="rId64"/>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55" name="Picture 55"/>
            <wp:cNvGraphicFramePr>
              <a:graphicFrameLocks noChangeAspect="1"/>
            </wp:cNvGraphicFramePr>
            <a:graphic>
              <a:graphicData uri="http://schemas.openxmlformats.org/drawingml/2006/picture">
                <pic:pic>
                  <pic:nvPicPr>
                    <pic:cNvPr id="0" name="11-pcb-3d-render.png"/>
                    <pic:cNvPicPr/>
                  </pic:nvPicPr>
                  <pic:blipFill>
                    <a:blip r:embed="rId65"/>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four Ø3.2 mm fixing holes on a Ø64 mm pitch circle and four Ø3.0 mm edge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56" name="Picture 56"/>
            <wp:cNvGraphicFramePr>
              <a:graphicFrameLocks noChangeAspect="1"/>
            </wp:cNvGraphicFramePr>
            <a:graphic>
              <a:graphicData uri="http://schemas.openxmlformats.org/drawingml/2006/picture">
                <pic:pic>
                  <pic:nvPicPr>
                    <pic:cNvPr id="0" name="bracket-mounting-drawing.png"/>
                    <pic:cNvPicPr/>
                  </pic:nvPicPr>
                  <pic:blipFill>
                    <a:blip r:embed="rId66"/>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57" name="Picture 57"/>
            <wp:cNvGraphicFramePr>
              <a:graphicFrameLocks noChangeAspect="1"/>
            </wp:cNvGraphicFramePr>
            <a:graphic>
              <a:graphicData uri="http://schemas.openxmlformats.org/drawingml/2006/picture">
                <pic:pic>
                  <pic:nvPicPr>
                    <pic:cNvPr id="0" name="gld_atex_case_v3_dimensioned.png"/>
                    <pic:cNvPicPr/>
                  </pic:nvPicPr>
                  <pic:blipFill>
                    <a:blip r:embed="rId67"/>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58" name="Picture 58"/>
            <wp:cNvGraphicFramePr>
              <a:graphicFrameLocks noChangeAspect="1"/>
            </wp:cNvGraphicFramePr>
            <a:graphic>
              <a:graphicData uri="http://schemas.openxmlformats.org/drawingml/2006/picture">
                <pic:pic>
                  <pic:nvPicPr>
                    <pic:cNvPr id="0" name="bp18-1z_common_base_reference.png"/>
                    <pic:cNvPicPr/>
                  </pic:nvPicPr>
                  <pic:blipFill>
                    <a:blip r:embed="rId68"/>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pStyle w:val="Heading5"/>
        <w:keepNext/>
        <w:spacing w:after="80" w:before="160"/>
      </w:pPr>
      <w:r>
        <w:rPr>
          <w:rFonts w:ascii="Calibri" w:hAnsi="Calibri"/>
          <w:b/>
          <w:i w:val="0"/>
          <w:color w:val="1B335F"/>
          <w:sz w:val="22"/>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pStyle w:val="Heading5"/>
        <w:keepNext/>
        <w:spacing w:after="80" w:before="160"/>
      </w:pPr>
      <w:r>
        <w:rPr>
          <w:rFonts w:ascii="Calibri" w:hAnsi="Calibri"/>
          <w:b/>
          <w:i w:val="0"/>
          <w:color w:val="1B335F"/>
          <w:sz w:val="22"/>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59" name="Picture 59"/>
            <wp:cNvGraphicFramePr>
              <a:graphicFrameLocks noChangeAspect="1"/>
            </wp:cNvGraphicFramePr>
            <a:graphic>
              <a:graphicData uri="http://schemas.openxmlformats.org/drawingml/2006/picture">
                <pic:pic>
                  <pic:nvPicPr>
                    <pic:cNvPr id="0" name="casing_v2_sheet.jpg"/>
                    <pic:cNvPicPr/>
                  </pic:nvPicPr>
                  <pic:blipFill>
                    <a:blip r:embed="rId69"/>
                    <a:stretch>
                      <a:fillRect/>
                    </a:stretch>
                  </pic:blipFill>
                  <pic:spPr>
                    <a:xfrm>
                      <a:off x="0" y="0"/>
                      <a:ext cx="5669280" cy="3847707"/>
                    </a:xfrm>
                    <a:prstGeom prst="rect"/>
                  </pic:spPr>
                </pic:pic>
              </a:graphicData>
            </a:graphic>
          </wp:inline>
        </w:drawing>
      </w:r>
    </w:p>
    <w:p>
      <w:pPr>
        <w:pStyle w:val="GLDFigureTitle"/>
        <w:keepNext/>
        <w:spacing w:after="20" w:before="40"/>
        <w:jc w:val="center"/>
      </w:pPr>
      <w:r>
        <w:rPr>
          <w:rFonts w:ascii="Calibri" w:hAnsi="Calibri"/>
          <w:b/>
          <w:i w:val="0"/>
          <w:color w:val="1B335F"/>
          <w:sz w:val="19"/>
        </w:rPr>
        <w:t>M-A1. ATEX CASING v2 — enclosure envelope &amp; U-bolt mounting plate, dimensioned sheet</w:t>
      </w:r>
    </w:p>
    <w:p>
      <w:pPr>
        <w:spacing w:after="240"/>
        <w:jc w:val="center"/>
      </w:pP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60" name="Picture 60"/>
                  <wp:cNvGraphicFramePr>
                    <a:graphicFrameLocks noChangeAspect="1"/>
                  </wp:cNvGraphicFramePr>
                  <a:graphic>
                    <a:graphicData uri="http://schemas.openxmlformats.org/drawingml/2006/picture">
                      <pic:pic>
                        <pic:nvPicPr>
                          <pic:cNvPr id="0" name="casing_v2_front.jpg"/>
                          <pic:cNvPicPr/>
                        </pic:nvPicPr>
                        <pic:blipFill>
                          <a:blip r:embed="rId70"/>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61" name="Picture 61"/>
                  <wp:cNvGraphicFramePr>
                    <a:graphicFrameLocks noChangeAspect="1"/>
                  </wp:cNvGraphicFramePr>
                  <a:graphic>
                    <a:graphicData uri="http://schemas.openxmlformats.org/drawingml/2006/picture">
                      <pic:pic>
                        <pic:nvPicPr>
                          <pic:cNvPr id="0" name="casing_v2_rear.jpg"/>
                          <pic:cNvPicPr/>
                        </pic:nvPicPr>
                        <pic:blipFill>
                          <a:blip r:embed="rId71"/>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62" name="Picture 62"/>
                  <wp:cNvGraphicFramePr>
                    <a:graphicFrameLocks noChangeAspect="1"/>
                  </wp:cNvGraphicFramePr>
                  <a:graphic>
                    <a:graphicData uri="http://schemas.openxmlformats.org/drawingml/2006/picture">
                      <pic:pic>
                        <pic:nvPicPr>
                          <pic:cNvPr id="0" name="casing_v2_left.jpg"/>
                          <pic:cNvPicPr/>
                        </pic:nvPicPr>
                        <pic:blipFill>
                          <a:blip r:embed="rId72"/>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63" name="Picture 63"/>
                  <wp:cNvGraphicFramePr>
                    <a:graphicFrameLocks noChangeAspect="1"/>
                  </wp:cNvGraphicFramePr>
                  <a:graphic>
                    <a:graphicData uri="http://schemas.openxmlformats.org/drawingml/2006/picture">
                      <pic:pic>
                        <pic:nvPicPr>
                          <pic:cNvPr id="0" name="casing_v2_right.jpg"/>
                          <pic:cNvPicPr/>
                        </pic:nvPicPr>
                        <pic:blipFill>
                          <a:blip r:embed="rId73"/>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64" name="Picture 64"/>
                  <wp:cNvGraphicFramePr>
                    <a:graphicFrameLocks noChangeAspect="1"/>
                  </wp:cNvGraphicFramePr>
                  <a:graphic>
                    <a:graphicData uri="http://schemas.openxmlformats.org/drawingml/2006/picture">
                      <pic:pic>
                        <pic:nvPicPr>
                          <pic:cNvPr id="0" name="casing_v2_top.jpg"/>
                          <pic:cNvPicPr/>
                        </pic:nvPicPr>
                        <pic:blipFill>
                          <a:blip r:embed="rId74"/>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65" name="Picture 65"/>
                  <wp:cNvGraphicFramePr>
                    <a:graphicFrameLocks noChangeAspect="1"/>
                  </wp:cNvGraphicFramePr>
                  <a:graphic>
                    <a:graphicData uri="http://schemas.openxmlformats.org/drawingml/2006/picture">
                      <pic:pic>
                        <pic:nvPicPr>
                          <pic:cNvPr id="0" name="casing_v2_bottom.jpg"/>
                          <pic:cNvPicPr/>
                        </pic:nvPicPr>
                        <pic:blipFill>
                          <a:blip r:embed="rId75"/>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pStyle w:val="Heading5"/>
        <w:keepNext/>
        <w:spacing w:after="80" w:before="160"/>
      </w:pPr>
      <w:r>
        <w:rPr>
          <w:rFonts w:ascii="Calibri" w:hAnsi="Calibri"/>
          <w:b/>
          <w:i w:val="0"/>
          <w:color w:val="1B335F"/>
          <w:sz w:val="22"/>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66" name="Picture 66"/>
            <wp:cNvGraphicFramePr>
              <a:graphicFrameLocks noChangeAspect="1"/>
            </wp:cNvGraphicFramePr>
            <a:graphic>
              <a:graphicData uri="http://schemas.openxmlformats.org/drawingml/2006/picture">
                <pic:pic>
                  <pic:nvPicPr>
                    <pic:cNvPr id="0" name="case_v3-1.jpg"/>
                    <pic:cNvPicPr/>
                  </pic:nvPicPr>
                  <pic:blipFill>
                    <a:blip r:embed="rId76"/>
                    <a:stretch>
                      <a:fillRect/>
                    </a:stretch>
                  </pic:blipFill>
                  <pic:spPr>
                    <a:xfrm>
                      <a:off x="0" y="0"/>
                      <a:ext cx="5669280" cy="3370574"/>
                    </a:xfrm>
                    <a:prstGeom prst="rect"/>
                  </pic:spPr>
                </pic:pic>
              </a:graphicData>
            </a:graphic>
          </wp:inline>
        </w:drawing>
      </w:r>
    </w:p>
    <w:p>
      <w:pPr>
        <w:pStyle w:val="GLDFigureTitle"/>
        <w:keepNext/>
        <w:spacing w:after="20" w:before="40"/>
        <w:jc w:val="center"/>
      </w:pPr>
      <w:r>
        <w:rPr>
          <w:rFonts w:ascii="Calibri" w:hAnsi="Calibri"/>
          <w:b/>
          <w:i w:val="0"/>
          <w:color w:val="1B335F"/>
          <w:sz w:val="19"/>
        </w:rPr>
        <w:t>M-B1. GLD ATEX CASE v3 — sheet 1: isometric views of the assembled detector</w:t>
      </w:r>
    </w:p>
    <w:p>
      <w:pPr>
        <w:spacing w:after="240"/>
        <w:jc w:val="center"/>
      </w:pP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67" name="Picture 67"/>
            <wp:cNvGraphicFramePr>
              <a:graphicFrameLocks noChangeAspect="1"/>
            </wp:cNvGraphicFramePr>
            <a:graphic>
              <a:graphicData uri="http://schemas.openxmlformats.org/drawingml/2006/picture">
                <pic:pic>
                  <pic:nvPicPr>
                    <pic:cNvPr id="0" name="case_v3-2.jpg"/>
                    <pic:cNvPicPr/>
                  </pic:nvPicPr>
                  <pic:blipFill>
                    <a:blip r:embed="rId77"/>
                    <a:stretch>
                      <a:fillRect/>
                    </a:stretch>
                  </pic:blipFill>
                  <pic:spPr>
                    <a:xfrm>
                      <a:off x="0" y="0"/>
                      <a:ext cx="5669280" cy="1993015"/>
                    </a:xfrm>
                    <a:prstGeom prst="rect"/>
                  </pic:spPr>
                </pic:pic>
              </a:graphicData>
            </a:graphic>
          </wp:inline>
        </w:drawing>
      </w:r>
    </w:p>
    <w:p>
      <w:pPr>
        <w:pStyle w:val="GLDFigureTitle"/>
        <w:keepNext/>
        <w:spacing w:after="20" w:before="40"/>
        <w:jc w:val="center"/>
      </w:pPr>
      <w:r>
        <w:rPr>
          <w:rFonts w:ascii="Calibri" w:hAnsi="Calibri"/>
          <w:b/>
          <w:i w:val="0"/>
          <w:color w:val="1B335F"/>
          <w:sz w:val="19"/>
        </w:rPr>
        <w:t>M-B2. GLD ATEX CASE v3 — sheet 2: top and bottom views</w:t>
      </w:r>
    </w:p>
    <w:p>
      <w:pPr>
        <w:spacing w:after="240"/>
        <w:jc w:val="center"/>
      </w:pP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68" name="Picture 68"/>
            <wp:cNvGraphicFramePr>
              <a:graphicFrameLocks noChangeAspect="1"/>
            </wp:cNvGraphicFramePr>
            <a:graphic>
              <a:graphicData uri="http://schemas.openxmlformats.org/drawingml/2006/picture">
                <pic:pic>
                  <pic:nvPicPr>
                    <pic:cNvPr id="0" name="case_v3-3.jpg"/>
                    <pic:cNvPicPr/>
                  </pic:nvPicPr>
                  <pic:blipFill>
                    <a:blip r:embed="rId78"/>
                    <a:stretch>
                      <a:fillRect/>
                    </a:stretch>
                  </pic:blipFill>
                  <pic:spPr>
                    <a:xfrm>
                      <a:off x="0" y="0"/>
                      <a:ext cx="5669280" cy="3145195"/>
                    </a:xfrm>
                    <a:prstGeom prst="rect"/>
                  </pic:spPr>
                </pic:pic>
              </a:graphicData>
            </a:graphic>
          </wp:inline>
        </w:drawing>
      </w:r>
    </w:p>
    <w:p>
      <w:pPr>
        <w:pStyle w:val="GLDFigureTitle"/>
        <w:keepNext/>
        <w:spacing w:after="20" w:before="40"/>
        <w:jc w:val="center"/>
      </w:pPr>
      <w:r>
        <w:rPr>
          <w:rFonts w:ascii="Calibri" w:hAnsi="Calibri"/>
          <w:b/>
          <w:i w:val="0"/>
          <w:color w:val="1B335F"/>
          <w:sz w:val="19"/>
        </w:rPr>
        <w:t>M-B3. GLD ATEX CASE v3 — sheet 3: side and rear views</w:t>
      </w:r>
    </w:p>
    <w:p>
      <w:pPr>
        <w:spacing w:after="240"/>
        <w:jc w:val="center"/>
      </w:pP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69" name="Picture 69"/>
            <wp:cNvGraphicFramePr>
              <a:graphicFrameLocks noChangeAspect="1"/>
            </wp:cNvGraphicFramePr>
            <a:graphic>
              <a:graphicData uri="http://schemas.openxmlformats.org/drawingml/2006/picture">
                <pic:pic>
                  <pic:nvPicPr>
                    <pic:cNvPr id="0" name="case_v3-4.jpg"/>
                    <pic:cNvPicPr/>
                  </pic:nvPicPr>
                  <pic:blipFill>
                    <a:blip r:embed="rId79"/>
                    <a:stretch>
                      <a:fillRect/>
                    </a:stretch>
                  </pic:blipFill>
                  <pic:spPr>
                    <a:xfrm>
                      <a:off x="0" y="0"/>
                      <a:ext cx="5669280" cy="2465164"/>
                    </a:xfrm>
                    <a:prstGeom prst="rect"/>
                  </pic:spPr>
                </pic:pic>
              </a:graphicData>
            </a:graphic>
          </wp:inline>
        </w:drawing>
      </w:r>
    </w:p>
    <w:p>
      <w:pPr>
        <w:pStyle w:val="GLDFigureTitle"/>
        <w:keepNext/>
        <w:spacing w:after="20" w:before="40"/>
        <w:jc w:val="center"/>
      </w:pPr>
      <w:r>
        <w:rPr>
          <w:rFonts w:ascii="Calibri" w:hAnsi="Calibri"/>
          <w:b/>
          <w:i w:val="0"/>
          <w:color w:val="1B335F"/>
          <w:sz w:val="19"/>
        </w:rPr>
        <w:t>M-B4. GLD ATEX CASE v3 — sheet 4: front/back and mounting-lug views</w:t>
      </w:r>
    </w:p>
    <w:p>
      <w:pPr>
        <w:spacing w:after="240"/>
        <w:jc w:val="center"/>
      </w:pP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70" name="Picture 70"/>
            <wp:cNvGraphicFramePr>
              <a:graphicFrameLocks noChangeAspect="1"/>
            </wp:cNvGraphicFramePr>
            <a:graphic>
              <a:graphicData uri="http://schemas.openxmlformats.org/drawingml/2006/picture">
                <pic:pic>
                  <pic:nvPicPr>
                    <pic:cNvPr id="0" name="case_v3-5.jpg"/>
                    <pic:cNvPicPr/>
                  </pic:nvPicPr>
                  <pic:blipFill>
                    <a:blip r:embed="rId80"/>
                    <a:stretch>
                      <a:fillRect/>
                    </a:stretch>
                  </pic:blipFill>
                  <pic:spPr>
                    <a:xfrm>
                      <a:off x="0" y="0"/>
                      <a:ext cx="5669280" cy="1926401"/>
                    </a:xfrm>
                    <a:prstGeom prst="rect"/>
                  </pic:spPr>
                </pic:pic>
              </a:graphicData>
            </a:graphic>
          </wp:inline>
        </w:drawing>
      </w:r>
    </w:p>
    <w:p>
      <w:pPr>
        <w:pStyle w:val="GLDFigureTitle"/>
        <w:keepNext/>
        <w:spacing w:after="20" w:before="40"/>
        <w:jc w:val="center"/>
      </w:pPr>
      <w:r>
        <w:rPr>
          <w:rFonts w:ascii="Calibri" w:hAnsi="Calibri"/>
          <w:b/>
          <w:i w:val="0"/>
          <w:color w:val="1B335F"/>
          <w:sz w:val="19"/>
        </w:rPr>
        <w:t>M-B5. GLD ATEX CASE v3 — sheet 5: exploded views (four viewpoints)</w:t>
      </w:r>
    </w:p>
    <w:p>
      <w:pPr>
        <w:spacing w:after="240"/>
        <w:jc w:val="center"/>
      </w:pP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71" name="Picture 71"/>
            <wp:cNvGraphicFramePr>
              <a:graphicFrameLocks noChangeAspect="1"/>
            </wp:cNvGraphicFramePr>
            <a:graphic>
              <a:graphicData uri="http://schemas.openxmlformats.org/drawingml/2006/picture">
                <pic:pic>
                  <pic:nvPicPr>
                    <pic:cNvPr id="0" name="case_v3-6.jpg"/>
                    <pic:cNvPicPr/>
                  </pic:nvPicPr>
                  <pic:blipFill>
                    <a:blip r:embed="rId81"/>
                    <a:stretch>
                      <a:fillRect/>
                    </a:stretch>
                  </pic:blipFill>
                  <pic:spPr>
                    <a:xfrm>
                      <a:off x="0" y="0"/>
                      <a:ext cx="5669280" cy="2324790"/>
                    </a:xfrm>
                    <a:prstGeom prst="rect"/>
                  </pic:spPr>
                </pic:pic>
              </a:graphicData>
            </a:graphic>
          </wp:inline>
        </w:drawing>
      </w:r>
    </w:p>
    <w:p>
      <w:pPr>
        <w:pStyle w:val="GLDFigureTitle"/>
        <w:keepNext/>
        <w:spacing w:after="20" w:before="40"/>
        <w:jc w:val="center"/>
      </w:pPr>
      <w:r>
        <w:rPr>
          <w:rFonts w:ascii="Calibri" w:hAnsi="Calibri"/>
          <w:b/>
          <w:i w:val="0"/>
          <w:color w:val="1B335F"/>
          <w:sz w:val="19"/>
        </w:rPr>
        <w:t>M-B6. GLD ATEX CASE v3 — sheet 6: exploded views of the sensor-head stack</w:t>
      </w:r>
    </w:p>
    <w:p>
      <w:pPr>
        <w:spacing w:after="240"/>
        <w:jc w:val="center"/>
      </w:pP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72" name="Picture 72"/>
            <wp:cNvGraphicFramePr>
              <a:graphicFrameLocks noChangeAspect="1"/>
            </wp:cNvGraphicFramePr>
            <a:graphic>
              <a:graphicData uri="http://schemas.openxmlformats.org/drawingml/2006/picture">
                <pic:pic>
                  <pic:nvPicPr>
                    <pic:cNvPr id="0" name="case_v3-7.jpg"/>
                    <pic:cNvPicPr/>
                  </pic:nvPicPr>
                  <pic:blipFill>
                    <a:blip r:embed="rId82"/>
                    <a:stretch>
                      <a:fillRect/>
                    </a:stretch>
                  </pic:blipFill>
                  <pic:spPr>
                    <a:xfrm>
                      <a:off x="0" y="0"/>
                      <a:ext cx="5669280" cy="4015199"/>
                    </a:xfrm>
                    <a:prstGeom prst="rect"/>
                  </pic:spPr>
                </pic:pic>
              </a:graphicData>
            </a:graphic>
          </wp:inline>
        </w:drawing>
      </w:r>
    </w:p>
    <w:p>
      <w:pPr>
        <w:pStyle w:val="GLDFigureTitle"/>
        <w:keepNext/>
        <w:spacing w:after="20" w:before="40"/>
        <w:jc w:val="center"/>
      </w:pPr>
      <w:r>
        <w:rPr>
          <w:rFonts w:ascii="Calibri" w:hAnsi="Calibri"/>
          <w:b/>
          <w:i w:val="0"/>
          <w:color w:val="1B335F"/>
          <w:sz w:val="19"/>
        </w:rPr>
        <w:t>M-B7. GLD ATEX CASE v3 — sheet 7: dimensioned drawing with title block</w:t>
      </w:r>
    </w:p>
    <w:p>
      <w:pPr>
        <w:spacing w:after="240"/>
        <w:jc w:val="center"/>
      </w:pP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pStyle w:val="Heading5"/>
        <w:keepNext/>
        <w:spacing w:after="80" w:before="160"/>
      </w:pPr>
      <w:r>
        <w:rPr>
          <w:rFonts w:ascii="Calibri" w:hAnsi="Calibri"/>
          <w:b/>
          <w:i w:val="0"/>
          <w:color w:val="1B335F"/>
          <w:sz w:val="22"/>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73" name="Picture 73"/>
            <wp:cNvGraphicFramePr>
              <a:graphicFrameLocks noChangeAspect="1"/>
            </wp:cNvGraphicFramePr>
            <a:graphic>
              <a:graphicData uri="http://schemas.openxmlformats.org/drawingml/2006/picture">
                <pic:pic>
                  <pic:nvPicPr>
                    <pic:cNvPr id="0" name="bp18-1.jpg"/>
                    <pic:cNvPicPr/>
                  </pic:nvPicPr>
                  <pic:blipFill>
                    <a:blip r:embed="rId83"/>
                    <a:stretch>
                      <a:fillRect/>
                    </a:stretch>
                  </pic:blipFill>
                  <pic:spPr>
                    <a:xfrm>
                      <a:off x="0" y="0"/>
                      <a:ext cx="5669280" cy="4030343"/>
                    </a:xfrm>
                    <a:prstGeom prst="rect"/>
                  </pic:spPr>
                </pic:pic>
              </a:graphicData>
            </a:graphic>
          </wp:inline>
        </w:drawing>
      </w:r>
    </w:p>
    <w:p>
      <w:pPr>
        <w:pStyle w:val="GLDFigureTitle"/>
        <w:keepNext/>
        <w:spacing w:after="20" w:before="40"/>
        <w:jc w:val="center"/>
      </w:pPr>
      <w:r>
        <w:rPr>
          <w:rFonts w:ascii="Calibri" w:hAnsi="Calibri"/>
          <w:b/>
          <w:i w:val="0"/>
          <w:color w:val="1B335F"/>
          <w:sz w:val="19"/>
        </w:rPr>
        <w:t>M-C1. Universal Base BP18-1Z — supplier reference drawing</w:t>
      </w:r>
    </w:p>
    <w:p>
      <w:pPr>
        <w:spacing w:after="240"/>
        <w:jc w:val="center"/>
      </w:pP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pStyle w:val="Heading5"/>
        <w:keepNext/>
        <w:spacing w:after="80" w:before="160"/>
      </w:pPr>
      <w:r>
        <w:rPr>
          <w:rFonts w:ascii="Calibri" w:hAnsi="Calibri"/>
          <w:b/>
          <w:i w:val="0"/>
          <w:color w:val="1B335F"/>
          <w:sz w:val="22"/>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74" name="Picture 74"/>
            <wp:cNvGraphicFramePr>
              <a:graphicFrameLocks noChangeAspect="1"/>
            </wp:cNvGraphicFramePr>
            <a:graphic>
              <a:graphicData uri="http://schemas.openxmlformats.org/drawingml/2006/picture">
                <pic:pic>
                  <pic:nvPicPr>
                    <pic:cNvPr id="0" name="pkg_17.jpg"/>
                    <pic:cNvPicPr/>
                  </pic:nvPicPr>
                  <pic:blipFill>
                    <a:blip r:embed="rId84"/>
                    <a:stretch>
                      <a:fillRect/>
                    </a:stretch>
                  </pic:blipFill>
                  <pic:spPr>
                    <a:xfrm>
                      <a:off x="0" y="0"/>
                      <a:ext cx="243627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 LoRa antenna, MQ sensor and enclosure body &amp; cover</w:t>
      </w:r>
    </w:p>
    <w:p>
      <w:pPr>
        <w:spacing w:after="240"/>
        <w:jc w:val="center"/>
      </w:pP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75" name="Picture 75"/>
            <wp:cNvGraphicFramePr>
              <a:graphicFrameLocks noChangeAspect="1"/>
            </wp:cNvGraphicFramePr>
            <a:graphic>
              <a:graphicData uri="http://schemas.openxmlformats.org/drawingml/2006/picture">
                <pic:pic>
                  <pic:nvPicPr>
                    <pic:cNvPr id="0" name="pkg_18.jpg"/>
                    <pic:cNvPicPr/>
                  </pic:nvPicPr>
                  <pic:blipFill>
                    <a:blip r:embed="rId85"/>
                    <a:stretch>
                      <a:fillRect/>
                    </a:stretch>
                  </pic:blipFill>
                  <pic:spPr>
                    <a:xfrm>
                      <a:off x="0" y="0"/>
                      <a:ext cx="3034832"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M-D2. Rubber gasket — locations</w:t>
      </w:r>
    </w:p>
    <w:p>
      <w:pPr>
        <w:spacing w:after="240"/>
        <w:jc w:val="center"/>
      </w:pP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76" name="Picture 76"/>
            <wp:cNvGraphicFramePr>
              <a:graphicFrameLocks noChangeAspect="1"/>
            </wp:cNvGraphicFramePr>
            <a:graphic>
              <a:graphicData uri="http://schemas.openxmlformats.org/drawingml/2006/picture">
                <pic:pic>
                  <pic:nvPicPr>
                    <pic:cNvPr id="0" name="pkg_19.jpg"/>
                    <pic:cNvPicPr/>
                  </pic:nvPicPr>
                  <pic:blipFill>
                    <a:blip r:embed="rId86"/>
                    <a:stretch>
                      <a:fillRect/>
                    </a:stretch>
                  </pic:blipFill>
                  <pic:spPr>
                    <a:xfrm>
                      <a:off x="0" y="0"/>
                      <a:ext cx="3468970"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M-D3. Rubber gasket — part</w:t>
      </w:r>
    </w:p>
    <w:p>
      <w:pPr>
        <w:spacing w:after="240"/>
        <w:jc w:val="center"/>
      </w:pP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77" name="Picture 77"/>
            <wp:cNvGraphicFramePr>
              <a:graphicFrameLocks noChangeAspect="1"/>
            </wp:cNvGraphicFramePr>
            <a:graphic>
              <a:graphicData uri="http://schemas.openxmlformats.org/drawingml/2006/picture">
                <pic:pic>
                  <pic:nvPicPr>
                    <pic:cNvPr id="0" name="pkg_20.jpg"/>
                    <pic:cNvPicPr/>
                  </pic:nvPicPr>
                  <pic:blipFill>
                    <a:blip r:embed="rId87"/>
                    <a:stretch>
                      <a:fillRect/>
                    </a:stretch>
                  </pic:blipFill>
                  <pic:spPr>
                    <a:xfrm>
                      <a:off x="0" y="0"/>
                      <a:ext cx="284832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M-D4. Stainless wire-mesh plate</w:t>
      </w:r>
    </w:p>
    <w:p>
      <w:pPr>
        <w:spacing w:after="240"/>
        <w:jc w:val="center"/>
      </w:pP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78" name="Picture 78"/>
            <wp:cNvGraphicFramePr>
              <a:graphicFrameLocks noChangeAspect="1"/>
            </wp:cNvGraphicFramePr>
            <a:graphic>
              <a:graphicData uri="http://schemas.openxmlformats.org/drawingml/2006/picture">
                <pic:pic>
                  <pic:nvPicPr>
                    <pic:cNvPr id="0" name="pkg_21.jpg"/>
                    <pic:cNvPicPr/>
                  </pic:nvPicPr>
                  <pic:blipFill>
                    <a:blip r:embed="rId88"/>
                    <a:stretch>
                      <a:fillRect/>
                    </a:stretch>
                  </pic:blipFill>
                  <pic:spPr>
                    <a:xfrm>
                      <a:off x="0" y="0"/>
                      <a:ext cx="2579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M-D5. Visual/audible alarm beacon; motherboard inside base casing</w:t>
      </w:r>
    </w:p>
    <w:p>
      <w:pPr>
        <w:spacing w:after="240"/>
        <w:jc w:val="center"/>
      </w:pP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79" name="Picture 79"/>
            <wp:cNvGraphicFramePr>
              <a:graphicFrameLocks noChangeAspect="1"/>
            </wp:cNvGraphicFramePr>
            <a:graphic>
              <a:graphicData uri="http://schemas.openxmlformats.org/drawingml/2006/picture">
                <pic:pic>
                  <pic:nvPicPr>
                    <pic:cNvPr id="0" name="pkg_22.jpg"/>
                    <pic:cNvPicPr/>
                  </pic:nvPicPr>
                  <pic:blipFill>
                    <a:blip r:embed="rId89"/>
                    <a:stretch>
                      <a:fillRect/>
                    </a:stretch>
                  </pic:blipFill>
                  <pic:spPr>
                    <a:xfrm>
                      <a:off x="0" y="0"/>
                      <a:ext cx="3626477"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M-D6. Motherboard with MQ sensors inside base casing</w:t>
      </w:r>
    </w:p>
    <w:p>
      <w:pPr>
        <w:spacing w:after="240"/>
        <w:jc w:val="center"/>
      </w:pP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80" name="Picture 80"/>
            <wp:cNvGraphicFramePr>
              <a:graphicFrameLocks noChangeAspect="1"/>
            </wp:cNvGraphicFramePr>
            <a:graphic>
              <a:graphicData uri="http://schemas.openxmlformats.org/drawingml/2006/picture">
                <pic:pic>
                  <pic:nvPicPr>
                    <pic:cNvPr id="0" name="pkg_24.jpg"/>
                    <pic:cNvPicPr/>
                  </pic:nvPicPr>
                  <pic:blipFill>
                    <a:blip r:embed="rId90"/>
                    <a:stretch>
                      <a:fillRect/>
                    </a:stretch>
                  </pic:blipFill>
                  <pic:spPr>
                    <a:xfrm>
                      <a:off x="0" y="0"/>
                      <a:ext cx="4541367"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M-D7. Common base design</w:t>
      </w:r>
    </w:p>
    <w:p>
      <w:pPr>
        <w:spacing w:after="240"/>
        <w:jc w:val="center"/>
      </w:pP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81" name="Picture 81"/>
            <wp:cNvGraphicFramePr>
              <a:graphicFrameLocks noChangeAspect="1"/>
            </wp:cNvGraphicFramePr>
            <a:graphic>
              <a:graphicData uri="http://schemas.openxmlformats.org/drawingml/2006/picture">
                <pic:pic>
                  <pic:nvPicPr>
                    <pic:cNvPr id="0" name="pkg_25.jpg"/>
                    <pic:cNvPicPr/>
                  </pic:nvPicPr>
                  <pic:blipFill>
                    <a:blip r:embed="rId91"/>
                    <a:stretch>
                      <a:fillRect/>
                    </a:stretch>
                  </pic:blipFill>
                  <pic:spPr>
                    <a:xfrm>
                      <a:off x="0" y="0"/>
                      <a:ext cx="303223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M-D8. Overall exploded views I and II</w:t>
      </w:r>
    </w:p>
    <w:p>
      <w:pPr>
        <w:spacing w:after="240"/>
        <w:jc w:val="center"/>
      </w:pP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82" name="Picture 82"/>
            <wp:cNvGraphicFramePr>
              <a:graphicFrameLocks noChangeAspect="1"/>
            </wp:cNvGraphicFramePr>
            <a:graphic>
              <a:graphicData uri="http://schemas.openxmlformats.org/drawingml/2006/picture">
                <pic:pic>
                  <pic:nvPicPr>
                    <pic:cNvPr id="0" name="pkg_26.jpg"/>
                    <pic:cNvPicPr/>
                  </pic:nvPicPr>
                  <pic:blipFill>
                    <a:blip r:embed="rId92"/>
                    <a:stretch>
                      <a:fillRect/>
                    </a:stretch>
                  </pic:blipFill>
                  <pic:spPr>
                    <a:xfrm>
                      <a:off x="0" y="0"/>
                      <a:ext cx="3661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M-D9. Overall exploded view III</w:t>
      </w:r>
    </w:p>
    <w:p>
      <w:pPr>
        <w:spacing w:after="240"/>
        <w:jc w:val="center"/>
      </w:pP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83" name="Picture 83"/>
            <wp:cNvGraphicFramePr>
              <a:graphicFrameLocks noChangeAspect="1"/>
            </wp:cNvGraphicFramePr>
            <a:graphic>
              <a:graphicData uri="http://schemas.openxmlformats.org/drawingml/2006/picture">
                <pic:pic>
                  <pic:nvPicPr>
                    <pic:cNvPr id="0" name="pkg_27.jpg"/>
                    <pic:cNvPicPr/>
                  </pic:nvPicPr>
                  <pic:blipFill>
                    <a:blip r:embed="rId93"/>
                    <a:stretch>
                      <a:fillRect/>
                    </a:stretch>
                  </pic:blipFill>
                  <pic:spPr>
                    <a:xfrm>
                      <a:off x="0" y="0"/>
                      <a:ext cx="2216090" cy="3840478"/>
                    </a:xfrm>
                    <a:prstGeom prst="rect"/>
                  </pic:spPr>
                </pic:pic>
              </a:graphicData>
            </a:graphic>
          </wp:inline>
        </w:drawing>
      </w:r>
    </w:p>
    <w:p>
      <w:pPr>
        <w:pStyle w:val="GLDFigureTitle"/>
        <w:keepNext/>
        <w:spacing w:after="20" w:before="40"/>
        <w:jc w:val="center"/>
      </w:pPr>
      <w:r>
        <w:rPr>
          <w:rFonts w:ascii="Calibri" w:hAnsi="Calibri"/>
          <w:b/>
          <w:i w:val="0"/>
          <w:color w:val="1B335F"/>
          <w:sz w:val="19"/>
        </w:rPr>
        <w:t>M-D10. Motherboard PCB power-in and PCB cover (terminal module)</w:t>
      </w:r>
    </w:p>
    <w:p>
      <w:pPr>
        <w:spacing w:after="240"/>
        <w:jc w:val="center"/>
      </w:pP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84" name="Picture 84"/>
            <wp:cNvGraphicFramePr>
              <a:graphicFrameLocks noChangeAspect="1"/>
            </wp:cNvGraphicFramePr>
            <a:graphic>
              <a:graphicData uri="http://schemas.openxmlformats.org/drawingml/2006/picture">
                <pic:pic>
                  <pic:nvPicPr>
                    <pic:cNvPr id="0" name="pkg_28.jpg"/>
                    <pic:cNvPicPr/>
                  </pic:nvPicPr>
                  <pic:blipFill>
                    <a:blip r:embed="rId94"/>
                    <a:stretch>
                      <a:fillRect/>
                    </a:stretch>
                  </pic:blipFill>
                  <pic:spPr>
                    <a:xfrm>
                      <a:off x="0" y="0"/>
                      <a:ext cx="2529930"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M-D11. Motherboard and PCB cover</w:t>
      </w:r>
    </w:p>
    <w:p>
      <w:pPr>
        <w:spacing w:after="240"/>
        <w:jc w:val="center"/>
      </w:pP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85" name="Picture 85"/>
            <wp:cNvGraphicFramePr>
              <a:graphicFrameLocks noChangeAspect="1"/>
            </wp:cNvGraphicFramePr>
            <a:graphic>
              <a:graphicData uri="http://schemas.openxmlformats.org/drawingml/2006/picture">
                <pic:pic>
                  <pic:nvPicPr>
                    <pic:cNvPr id="0" name="pkg_42.jpg"/>
                    <pic:cNvPicPr/>
                  </pic:nvPicPr>
                  <pic:blipFill>
                    <a:blip r:embed="rId95"/>
                    <a:stretch>
                      <a:fillRect/>
                    </a:stretch>
                  </pic:blipFill>
                  <pic:spPr>
                    <a:xfrm>
                      <a:off x="0" y="0"/>
                      <a:ext cx="2245554"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M-D12. Component drawing</w:t>
      </w:r>
    </w:p>
    <w:p>
      <w:pPr>
        <w:spacing w:after="240"/>
        <w:jc w:val="center"/>
      </w:pP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86" name="Picture 86"/>
            <wp:cNvGraphicFramePr>
              <a:graphicFrameLocks noChangeAspect="1"/>
            </wp:cNvGraphicFramePr>
            <a:graphic>
              <a:graphicData uri="http://schemas.openxmlformats.org/drawingml/2006/picture">
                <pic:pic>
                  <pic:nvPicPr>
                    <pic:cNvPr id="0" name="pkg_43.jpg"/>
                    <pic:cNvPicPr/>
                  </pic:nvPicPr>
                  <pic:blipFill>
                    <a:blip r:embed="rId96"/>
                    <a:stretch>
                      <a:fillRect/>
                    </a:stretch>
                  </pic:blipFill>
                  <pic:spPr>
                    <a:xfrm>
                      <a:off x="0" y="0"/>
                      <a:ext cx="287063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M-D13. Electrical block diagram and enclosure structure</w:t>
      </w:r>
    </w:p>
    <w:p>
      <w:pPr>
        <w:spacing w:after="240"/>
        <w:jc w:val="center"/>
      </w:pP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87" name="Picture 87"/>
            <wp:cNvGraphicFramePr>
              <a:graphicFrameLocks noChangeAspect="1"/>
            </wp:cNvGraphicFramePr>
            <a:graphic>
              <a:graphicData uri="http://schemas.openxmlformats.org/drawingml/2006/picture">
                <pic:pic>
                  <pic:nvPicPr>
                    <pic:cNvPr id="0" name="pkg_44.jpg"/>
                    <pic:cNvPicPr/>
                  </pic:nvPicPr>
                  <pic:blipFill>
                    <a:blip r:embed="rId97"/>
                    <a:stretch>
                      <a:fillRect/>
                    </a:stretch>
                  </pic:blipFill>
                  <pic:spPr>
                    <a:xfrm>
                      <a:off x="0" y="0"/>
                      <a:ext cx="4048436"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M-D14. Terminal — 24 VDC power in</w:t>
      </w:r>
    </w:p>
    <w:p>
      <w:pPr>
        <w:spacing w:after="240"/>
        <w:jc w:val="center"/>
      </w:pP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88" name="Picture 88"/>
            <wp:cNvGraphicFramePr>
              <a:graphicFrameLocks noChangeAspect="1"/>
            </wp:cNvGraphicFramePr>
            <a:graphic>
              <a:graphicData uri="http://schemas.openxmlformats.org/drawingml/2006/picture">
                <pic:pic>
                  <pic:nvPicPr>
                    <pic:cNvPr id="0" name="pkg_45.jpg"/>
                    <pic:cNvPicPr/>
                  </pic:nvPicPr>
                  <pic:blipFill>
                    <a:blip r:embed="rId98"/>
                    <a:stretch>
                      <a:fillRect/>
                    </a:stretch>
                  </pic:blipFill>
                  <pic:spPr>
                    <a:xfrm>
                      <a:off x="0" y="0"/>
                      <a:ext cx="5669280" cy="3380612"/>
                    </a:xfrm>
                    <a:prstGeom prst="rect"/>
                  </pic:spPr>
                </pic:pic>
              </a:graphicData>
            </a:graphic>
          </wp:inline>
        </w:drawing>
      </w:r>
    </w:p>
    <w:p>
      <w:pPr>
        <w:pStyle w:val="GLDFigureTitle"/>
        <w:keepNext/>
        <w:spacing w:after="20" w:before="40"/>
        <w:jc w:val="center"/>
      </w:pPr>
      <w:r>
        <w:rPr>
          <w:rFonts w:ascii="Calibri" w:hAnsi="Calibri"/>
          <w:b/>
          <w:i w:val="0"/>
          <w:color w:val="1B335F"/>
          <w:sz w:val="19"/>
        </w:rPr>
        <w:t>M-D15. Grounding</w:t>
      </w:r>
    </w:p>
    <w:p>
      <w:pPr>
        <w:spacing w:after="240"/>
        <w:jc w:val="center"/>
      </w:pPr>
      <w:r>
        <w:rPr>
          <w:color w:val="555B66"/>
          <w:sz w:val="17"/>
        </w:rPr>
        <w:t>External grounding stud, marked with the protective-earth symbol, installed on the enclosure body.</w:t>
      </w:r>
    </w:p>
    <w:p>
      <w:r>
        <w:br w:type="page"/>
      </w:r>
    </w:p>
    <w:p>
      <w:pPr>
        <w:pStyle w:val="Heading5"/>
        <w:keepNext/>
        <w:spacing w:after="80" w:before="160"/>
      </w:pPr>
      <w:r>
        <w:rPr>
          <w:rFonts w:ascii="Calibri" w:hAnsi="Calibri"/>
          <w:b/>
          <w:i w:val="0"/>
          <w:color w:val="1B335F"/>
          <w:sz w:val="22"/>
        </w:rPr>
        <w:t>E. Assembly sequence</w:t>
      </w:r>
    </w:p>
    <w:p>
      <w:pPr>
        <w:keepNext/>
        <w:spacing w:after="40"/>
        <w:jc w:val="center"/>
      </w:pPr>
      <w:r>
        <w:drawing>
          <wp:inline xmlns:a="http://schemas.openxmlformats.org/drawingml/2006/main" xmlns:pic="http://schemas.openxmlformats.org/drawingml/2006/picture">
            <wp:extent cx="5669280" cy="5902664"/>
            <wp:docPr id="89" name="Picture 89"/>
            <wp:cNvGraphicFramePr>
              <a:graphicFrameLocks noChangeAspect="1"/>
            </wp:cNvGraphicFramePr>
            <a:graphic>
              <a:graphicData uri="http://schemas.openxmlformats.org/drawingml/2006/picture">
                <pic:pic>
                  <pic:nvPicPr>
                    <pic:cNvPr id="0" name="pkg_33.jpg"/>
                    <pic:cNvPicPr/>
                  </pic:nvPicPr>
                  <pic:blipFill>
                    <a:blip r:embed="rId99"/>
                    <a:stretch>
                      <a:fillRect/>
                    </a:stretch>
                  </pic:blipFill>
                  <pic:spPr>
                    <a:xfrm>
                      <a:off x="0" y="0"/>
                      <a:ext cx="5669280" cy="5902664"/>
                    </a:xfrm>
                    <a:prstGeom prst="rect"/>
                  </pic:spPr>
                </pic:pic>
              </a:graphicData>
            </a:graphic>
          </wp:inline>
        </w:drawing>
      </w:r>
    </w:p>
    <w:p>
      <w:pPr>
        <w:pStyle w:val="GLDFigureTitle"/>
        <w:keepNext/>
        <w:spacing w:after="20" w:before="40"/>
        <w:jc w:val="center"/>
      </w:pPr>
      <w:r>
        <w:rPr>
          <w:rFonts w:ascii="Calibri" w:hAnsi="Calibri"/>
          <w:b/>
          <w:i w:val="0"/>
          <w:color w:val="1B335F"/>
          <w:sz w:val="19"/>
        </w:rPr>
        <w:t>M-E1. Assembly drawing — exploded view</w:t>
      </w:r>
    </w:p>
    <w:p>
      <w:pPr>
        <w:spacing w:after="240"/>
        <w:jc w:val="center"/>
      </w:pP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90" name="Picture 90"/>
            <wp:cNvGraphicFramePr>
              <a:graphicFrameLocks noChangeAspect="1"/>
            </wp:cNvGraphicFramePr>
            <a:graphic>
              <a:graphicData uri="http://schemas.openxmlformats.org/drawingml/2006/picture">
                <pic:pic>
                  <pic:nvPicPr>
                    <pic:cNvPr id="0" name="pkg_34.jpg"/>
                    <pic:cNvPicPr/>
                  </pic:nvPicPr>
                  <pic:blipFill>
                    <a:blip r:embed="rId100"/>
                    <a:stretch>
                      <a:fillRect/>
                    </a:stretch>
                  </pic:blipFill>
                  <pic:spPr>
                    <a:xfrm>
                      <a:off x="0" y="0"/>
                      <a:ext cx="3730095" cy="7589518"/>
                    </a:xfrm>
                    <a:prstGeom prst="rect"/>
                  </pic:spPr>
                </pic:pic>
              </a:graphicData>
            </a:graphic>
          </wp:inline>
        </w:drawing>
      </w:r>
    </w:p>
    <w:p>
      <w:pPr>
        <w:pStyle w:val="GLDFigureTitle"/>
        <w:keepNext/>
        <w:spacing w:after="20" w:before="40"/>
        <w:jc w:val="center"/>
      </w:pPr>
      <w:r>
        <w:rPr>
          <w:rFonts w:ascii="Calibri" w:hAnsi="Calibri"/>
          <w:b/>
          <w:i w:val="0"/>
          <w:color w:val="1B335F"/>
          <w:sz w:val="19"/>
        </w:rPr>
        <w:t>M-E2. Assembly step — casing cover</w:t>
      </w:r>
    </w:p>
    <w:p>
      <w:pPr>
        <w:spacing w:after="240"/>
        <w:jc w:val="center"/>
      </w:pP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91" name="Picture 91"/>
            <wp:cNvGraphicFramePr>
              <a:graphicFrameLocks noChangeAspect="1"/>
            </wp:cNvGraphicFramePr>
            <a:graphic>
              <a:graphicData uri="http://schemas.openxmlformats.org/drawingml/2006/picture">
                <pic:pic>
                  <pic:nvPicPr>
                    <pic:cNvPr id="0" name="pkg_35.jpg"/>
                    <pic:cNvPicPr/>
                  </pic:nvPicPr>
                  <pic:blipFill>
                    <a:blip r:embed="rId101"/>
                    <a:stretch>
                      <a:fillRect/>
                    </a:stretch>
                  </pic:blipFill>
                  <pic:spPr>
                    <a:xfrm>
                      <a:off x="0" y="0"/>
                      <a:ext cx="4426422"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M-E3. Assembly step — sensor case and rubber gasket</w:t>
      </w:r>
    </w:p>
    <w:p>
      <w:pPr>
        <w:spacing w:after="240"/>
        <w:jc w:val="center"/>
      </w:pP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92" name="Picture 92"/>
            <wp:cNvGraphicFramePr>
              <a:graphicFrameLocks noChangeAspect="1"/>
            </wp:cNvGraphicFramePr>
            <a:graphic>
              <a:graphicData uri="http://schemas.openxmlformats.org/drawingml/2006/picture">
                <pic:pic>
                  <pic:nvPicPr>
                    <pic:cNvPr id="0" name="pkg_36.jpg"/>
                    <pic:cNvPicPr/>
                  </pic:nvPicPr>
                  <pic:blipFill>
                    <a:blip r:embed="rId102"/>
                    <a:stretch>
                      <a:fillRect/>
                    </a:stretch>
                  </pic:blipFill>
                  <pic:spPr>
                    <a:xfrm>
                      <a:off x="0" y="0"/>
                      <a:ext cx="5669280" cy="3180806"/>
                    </a:xfrm>
                    <a:prstGeom prst="rect"/>
                  </pic:spPr>
                </pic:pic>
              </a:graphicData>
            </a:graphic>
          </wp:inline>
        </w:drawing>
      </w:r>
    </w:p>
    <w:p>
      <w:pPr>
        <w:pStyle w:val="GLDFigureTitle"/>
        <w:keepNext/>
        <w:spacing w:after="20" w:before="40"/>
        <w:jc w:val="center"/>
      </w:pPr>
      <w:r>
        <w:rPr>
          <w:rFonts w:ascii="Calibri" w:hAnsi="Calibri"/>
          <w:b/>
          <w:i w:val="0"/>
          <w:color w:val="1B335F"/>
          <w:sz w:val="19"/>
        </w:rPr>
        <w:t>M-E4. Assembly step — LED &amp; buzzer</w:t>
      </w:r>
    </w:p>
    <w:p>
      <w:pPr>
        <w:spacing w:after="240"/>
        <w:jc w:val="center"/>
      </w:pP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93" name="Picture 93"/>
            <wp:cNvGraphicFramePr>
              <a:graphicFrameLocks noChangeAspect="1"/>
            </wp:cNvGraphicFramePr>
            <a:graphic>
              <a:graphicData uri="http://schemas.openxmlformats.org/drawingml/2006/picture">
                <pic:pic>
                  <pic:nvPicPr>
                    <pic:cNvPr id="0" name="pkg_37.jpg"/>
                    <pic:cNvPicPr/>
                  </pic:nvPicPr>
                  <pic:blipFill>
                    <a:blip r:embed="rId103"/>
                    <a:stretch>
                      <a:fillRect/>
                    </a:stretch>
                  </pic:blipFill>
                  <pic:spPr>
                    <a:xfrm>
                      <a:off x="0" y="0"/>
                      <a:ext cx="5638157"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M-E5. Assembly step — 24 VDC power in</w:t>
      </w:r>
    </w:p>
    <w:p>
      <w:pPr>
        <w:spacing w:after="240"/>
        <w:jc w:val="center"/>
      </w:pP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94" name="Picture 94"/>
            <wp:cNvGraphicFramePr>
              <a:graphicFrameLocks noChangeAspect="1"/>
            </wp:cNvGraphicFramePr>
            <a:graphic>
              <a:graphicData uri="http://schemas.openxmlformats.org/drawingml/2006/picture">
                <pic:pic>
                  <pic:nvPicPr>
                    <pic:cNvPr id="0" name="pkg_38.jpg"/>
                    <pic:cNvPicPr/>
                  </pic:nvPicPr>
                  <pic:blipFill>
                    <a:blip r:embed="rId104"/>
                    <a:stretch>
                      <a:fillRect/>
                    </a:stretch>
                  </pic:blipFill>
                  <pic:spPr>
                    <a:xfrm>
                      <a:off x="0" y="0"/>
                      <a:ext cx="4272448"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M-E6. Assembly step — put motherboard into base casing</w:t>
      </w:r>
    </w:p>
    <w:p>
      <w:pPr>
        <w:spacing w:after="240"/>
        <w:jc w:val="center"/>
      </w:pP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95" name="Picture 95"/>
            <wp:cNvGraphicFramePr>
              <a:graphicFrameLocks noChangeAspect="1"/>
            </wp:cNvGraphicFramePr>
            <a:graphic>
              <a:graphicData uri="http://schemas.openxmlformats.org/drawingml/2006/picture">
                <pic:pic>
                  <pic:nvPicPr>
                    <pic:cNvPr id="0" name="pkg_39.jpg"/>
                    <pic:cNvPicPr/>
                  </pic:nvPicPr>
                  <pic:blipFill>
                    <a:blip r:embed="rId105"/>
                    <a:stretch>
                      <a:fillRect/>
                    </a:stretch>
                  </pic:blipFill>
                  <pic:spPr>
                    <a:xfrm>
                      <a:off x="0" y="0"/>
                      <a:ext cx="5669280" cy="6613229"/>
                    </a:xfrm>
                    <a:prstGeom prst="rect"/>
                  </pic:spPr>
                </pic:pic>
              </a:graphicData>
            </a:graphic>
          </wp:inline>
        </w:drawing>
      </w:r>
    </w:p>
    <w:p>
      <w:pPr>
        <w:pStyle w:val="GLDFigureTitle"/>
        <w:keepNext/>
        <w:spacing w:after="20" w:before="40"/>
        <w:jc w:val="center"/>
      </w:pPr>
      <w:r>
        <w:rPr>
          <w:rFonts w:ascii="Calibri" w:hAnsi="Calibri"/>
          <w:b/>
          <w:i w:val="0"/>
          <w:color w:val="1B335F"/>
          <w:sz w:val="19"/>
        </w:rPr>
        <w:t>M-E7. Assembly step — secure motherboard; install LoRa antenna cable</w:t>
      </w:r>
    </w:p>
    <w:p>
      <w:pPr>
        <w:spacing w:after="240"/>
        <w:jc w:val="center"/>
      </w:pP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96" name="Picture 96"/>
            <wp:cNvGraphicFramePr>
              <a:graphicFrameLocks noChangeAspect="1"/>
            </wp:cNvGraphicFramePr>
            <a:graphic>
              <a:graphicData uri="http://schemas.openxmlformats.org/drawingml/2006/picture">
                <pic:pic>
                  <pic:nvPicPr>
                    <pic:cNvPr id="0" name="pkg_40.jpg"/>
                    <pic:cNvPicPr/>
                  </pic:nvPicPr>
                  <pic:blipFill>
                    <a:blip r:embed="rId106"/>
                    <a:stretch>
                      <a:fillRect/>
                    </a:stretch>
                  </pic:blipFill>
                  <pic:spPr>
                    <a:xfrm>
                      <a:off x="0" y="0"/>
                      <a:ext cx="4829101" cy="7589520"/>
                    </a:xfrm>
                    <a:prstGeom prst="rect"/>
                  </pic:spPr>
                </pic:pic>
              </a:graphicData>
            </a:graphic>
          </wp:inline>
        </w:drawing>
      </w:r>
    </w:p>
    <w:p>
      <w:pPr>
        <w:pStyle w:val="GLDFigureTitle"/>
        <w:keepNext/>
        <w:spacing w:after="20" w:before="40"/>
        <w:jc w:val="center"/>
      </w:pPr>
      <w:r>
        <w:rPr>
          <w:rFonts w:ascii="Calibri" w:hAnsi="Calibri"/>
          <w:b/>
          <w:i w:val="0"/>
          <w:color w:val="1B335F"/>
          <w:sz w:val="19"/>
        </w:rPr>
        <w:t>M-E8. Assembly step — antenna position</w:t>
      </w:r>
    </w:p>
    <w:p>
      <w:pPr>
        <w:spacing w:after="240"/>
        <w:jc w:val="center"/>
      </w:pP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97" name="Picture 97"/>
            <wp:cNvGraphicFramePr>
              <a:graphicFrameLocks noChangeAspect="1"/>
            </wp:cNvGraphicFramePr>
            <a:graphic>
              <a:graphicData uri="http://schemas.openxmlformats.org/drawingml/2006/picture">
                <pic:pic>
                  <pic:nvPicPr>
                    <pic:cNvPr id="0" name="pkg_41.jpg"/>
                    <pic:cNvPicPr/>
                  </pic:nvPicPr>
                  <pic:blipFill>
                    <a:blip r:embed="rId107"/>
                    <a:stretch>
                      <a:fillRect/>
                    </a:stretch>
                  </pic:blipFill>
                  <pic:spPr>
                    <a:xfrm>
                      <a:off x="0" y="0"/>
                      <a:ext cx="4333205"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M-E9. Assembly step — alarm cables, DC fan and cover closure</w:t>
      </w:r>
    </w:p>
    <w:p>
      <w:pPr>
        <w:spacing w:after="240"/>
        <w:jc w:val="center"/>
      </w:pPr>
      <w:r>
        <w:rPr>
          <w:color w:val="555B66"/>
          <w:sz w:val="17"/>
        </w:rPr>
        <w:t>Connect LED/buzzer cables; attach DC fan to the cover behind the stainless-steel mesh plate; connect the fan cable; close the cover by turning it clockwise.</w:t>
      </w:r>
    </w:p>
    <w:p>
      <w:r>
        <w:br w:type="page"/>
      </w:r>
    </w:p>
    <w:p>
      <w:pPr>
        <w:pStyle w:val="Heading5"/>
        <w:keepNext/>
        <w:spacing w:after="80" w:before="160"/>
      </w:pPr>
      <w:r>
        <w:rPr>
          <w:rFonts w:ascii="Calibri" w:hAnsi="Calibri"/>
          <w:b/>
          <w:i w:val="0"/>
          <w:color w:val="1B335F"/>
          <w:sz w:val="22"/>
        </w:rPr>
        <w:t>F. MQ sensor dimension drawings</w:t>
      </w:r>
    </w:p>
    <w:p>
      <w:pPr>
        <w:keepNext/>
        <w:spacing w:after="40"/>
        <w:jc w:val="center"/>
      </w:pPr>
      <w:r>
        <w:drawing>
          <wp:inline xmlns:a="http://schemas.openxmlformats.org/drawingml/2006/main" xmlns:pic="http://schemas.openxmlformats.org/drawingml/2006/picture">
            <wp:extent cx="5539409" cy="7589519"/>
            <wp:docPr id="98" name="Picture 98"/>
            <wp:cNvGraphicFramePr>
              <a:graphicFrameLocks noChangeAspect="1"/>
            </wp:cNvGraphicFramePr>
            <a:graphic>
              <a:graphicData uri="http://schemas.openxmlformats.org/drawingml/2006/picture">
                <pic:pic>
                  <pic:nvPicPr>
                    <pic:cNvPr id="0" name="pkg_29.jpg"/>
                    <pic:cNvPicPr/>
                  </pic:nvPicPr>
                  <pic:blipFill>
                    <a:blip r:embed="rId108"/>
                    <a:stretch>
                      <a:fillRect/>
                    </a:stretch>
                  </pic:blipFill>
                  <pic:spPr>
                    <a:xfrm>
                      <a:off x="0" y="0"/>
                      <a:ext cx="5539409"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M-F1. MQ-2 and MQ-3 — sensor parameters and dimension drawings</w:t>
      </w:r>
    </w:p>
    <w:p>
      <w:pPr>
        <w:spacing w:after="240"/>
        <w:jc w:val="center"/>
      </w:pPr>
      <w:r>
        <w:rPr>
          <w:color w:val="555B66"/>
          <w:sz w:val="17"/>
        </w:rPr>
        <w:t>Data sheet shows MQ-3; the fitted part is MQ-3B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4768231" cy="7589519"/>
            <wp:docPr id="99" name="Picture 99"/>
            <wp:cNvGraphicFramePr>
              <a:graphicFrameLocks noChangeAspect="1"/>
            </wp:cNvGraphicFramePr>
            <a:graphic>
              <a:graphicData uri="http://schemas.openxmlformats.org/drawingml/2006/picture">
                <pic:pic>
                  <pic:nvPicPr>
                    <pic:cNvPr id="0" name="pkg_30.jpg"/>
                    <pic:cNvPicPr/>
                  </pic:nvPicPr>
                  <pic:blipFill>
                    <a:blip r:embed="rId109"/>
                    <a:stretch>
                      <a:fillRect/>
                    </a:stretch>
                  </pic:blipFill>
                  <pic:spPr>
                    <a:xfrm>
                      <a:off x="0" y="0"/>
                      <a:ext cx="4768231"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100" name="Picture 100"/>
            <wp:cNvGraphicFramePr>
              <a:graphicFrameLocks noChangeAspect="1"/>
            </wp:cNvGraphicFramePr>
            <a:graphic>
              <a:graphicData uri="http://schemas.openxmlformats.org/drawingml/2006/picture">
                <pic:pic>
                  <pic:nvPicPr>
                    <pic:cNvPr id="0" name="pkg_31.jpg"/>
                    <pic:cNvPicPr/>
                  </pic:nvPicPr>
                  <pic:blipFill>
                    <a:blip r:embed="rId110"/>
                    <a:stretch>
                      <a:fillRect/>
                    </a:stretch>
                  </pic:blipFill>
                  <pic:spPr>
                    <a:xfrm>
                      <a:off x="0" y="0"/>
                      <a:ext cx="5015544"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M-F3. MQ-6 and MQ-7 — sensor parameters and dimension drawings</w:t>
      </w:r>
    </w:p>
    <w:p>
      <w:pPr>
        <w:spacing w:after="240"/>
        <w:jc w:val="center"/>
      </w:pPr>
      <w:r>
        <w:rPr>
          <w:color w:val="555B66"/>
          <w:sz w:val="17"/>
        </w:rPr>
        <w:t>Data sheet shows MQ-7; the fitted part is MQ-7B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5139876" cy="7589519"/>
            <wp:docPr id="101" name="Picture 101"/>
            <wp:cNvGraphicFramePr>
              <a:graphicFrameLocks noChangeAspect="1"/>
            </wp:cNvGraphicFramePr>
            <a:graphic>
              <a:graphicData uri="http://schemas.openxmlformats.org/drawingml/2006/picture">
                <pic:pic>
                  <pic:nvPicPr>
                    <pic:cNvPr id="0" name="pkg_32.jpg"/>
                    <pic:cNvPicPr/>
                  </pic:nvPicPr>
                  <pic:blipFill>
                    <a:blip r:embed="rId111"/>
                    <a:stretch>
                      <a:fillRect/>
                    </a:stretch>
                  </pic:blipFill>
                  <pic:spPr>
                    <a:xfrm>
                      <a:off x="0" y="0"/>
                      <a:ext cx="5139876"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pStyle w:val="Heading5"/>
      </w:pPr>
      <w: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pStyle w:val="Heading5"/>
      </w:pPr>
      <w: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pStyle w:val="Heading5"/>
      </w:pPr>
      <w: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pStyle w:val="Heading5"/>
      </w:pPr>
      <w: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pStyle w:val="Heading5"/>
      </w:pPr>
      <w: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pStyle w:val="Heading5"/>
      </w:pPr>
      <w: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02.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03.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04.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05.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06.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07.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08.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09.png"/>
                    <pic:cNvPicPr/>
                  </pic:nvPicPr>
                  <pic:blipFill>
                    <a:blip r:embed="rId1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0" name="Picture 110"/>
            <wp:cNvGraphicFramePr>
              <a:graphicFrameLocks noChangeAspect="1"/>
            </wp:cNvGraphicFramePr>
            <a:graphic>
              <a:graphicData uri="http://schemas.openxmlformats.org/drawingml/2006/picture">
                <pic:pic>
                  <pic:nvPicPr>
                    <pic:cNvPr id="0" name="sheet-10.png"/>
                    <pic:cNvPicPr/>
                  </pic:nvPicPr>
                  <pic:blipFill>
                    <a:blip r:embed="rId12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1" name="Picture 111"/>
            <wp:cNvGraphicFramePr>
              <a:graphicFrameLocks noChangeAspect="1"/>
            </wp:cNvGraphicFramePr>
            <a:graphic>
              <a:graphicData uri="http://schemas.openxmlformats.org/drawingml/2006/picture">
                <pic:pic>
                  <pic:nvPicPr>
                    <pic:cNvPr id="0" name="sheet-11.png"/>
                    <pic:cNvPicPr/>
                  </pic:nvPicPr>
                  <pic:blipFill>
                    <a:blip r:embed="rId12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2" name="Picture 112"/>
            <wp:cNvGraphicFramePr>
              <a:graphicFrameLocks noChangeAspect="1"/>
            </wp:cNvGraphicFramePr>
            <a:graphic>
              <a:graphicData uri="http://schemas.openxmlformats.org/drawingml/2006/picture">
                <pic:pic>
                  <pic:nvPicPr>
                    <pic:cNvPr id="0" name="sheet-12.png"/>
                    <pic:cNvPicPr/>
                  </pic:nvPicPr>
                  <pic:blipFill>
                    <a:blip r:embed="rId12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3" name="Picture 113"/>
            <wp:cNvGraphicFramePr>
              <a:graphicFrameLocks noChangeAspect="1"/>
            </wp:cNvGraphicFramePr>
            <a:graphic>
              <a:graphicData uri="http://schemas.openxmlformats.org/drawingml/2006/picture">
                <pic:pic>
                  <pic:nvPicPr>
                    <pic:cNvPr id="0" name="sheet-13.png"/>
                    <pic:cNvPicPr/>
                  </pic:nvPicPr>
                  <pic:blipFill>
                    <a:blip r:embed="rId12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4" name="Picture 114"/>
            <wp:cNvGraphicFramePr>
              <a:graphicFrameLocks noChangeAspect="1"/>
            </wp:cNvGraphicFramePr>
            <a:graphic>
              <a:graphicData uri="http://schemas.openxmlformats.org/drawingml/2006/picture">
                <pic:pic>
                  <pic:nvPicPr>
                    <pic:cNvPr id="0" name="sheet-14.png"/>
                    <pic:cNvPicPr/>
                  </pic:nvPicPr>
                  <pic:blipFill>
                    <a:blip r:embed="rId12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5" name="Picture 115"/>
            <wp:cNvGraphicFramePr>
              <a:graphicFrameLocks noChangeAspect="1"/>
            </wp:cNvGraphicFramePr>
            <a:graphic>
              <a:graphicData uri="http://schemas.openxmlformats.org/drawingml/2006/picture">
                <pic:pic>
                  <pic:nvPicPr>
                    <pic:cNvPr id="0" name="sheet-15.png"/>
                    <pic:cNvPicPr/>
                  </pic:nvPicPr>
                  <pic:blipFill>
                    <a:blip r:embed="rId12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6" name="Picture 116"/>
            <wp:cNvGraphicFramePr>
              <a:graphicFrameLocks noChangeAspect="1"/>
            </wp:cNvGraphicFramePr>
            <a:graphic>
              <a:graphicData uri="http://schemas.openxmlformats.org/drawingml/2006/picture">
                <pic:pic>
                  <pic:nvPicPr>
                    <pic:cNvPr id="0" name="sheet-16.png"/>
                    <pic:cNvPicPr/>
                  </pic:nvPicPr>
                  <pic:blipFill>
                    <a:blip r:embed="rId12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7" name="Picture 117"/>
            <wp:cNvGraphicFramePr>
              <a:graphicFrameLocks noChangeAspect="1"/>
            </wp:cNvGraphicFramePr>
            <a:graphic>
              <a:graphicData uri="http://schemas.openxmlformats.org/drawingml/2006/picture">
                <pic:pic>
                  <pic:nvPicPr>
                    <pic:cNvPr id="0" name="sheet-17.png"/>
                    <pic:cNvPicPr/>
                  </pic:nvPicPr>
                  <pic:blipFill>
                    <a:blip r:embed="rId12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8" name="Picture 118"/>
            <wp:cNvGraphicFramePr>
              <a:graphicFrameLocks noChangeAspect="1"/>
            </wp:cNvGraphicFramePr>
            <a:graphic>
              <a:graphicData uri="http://schemas.openxmlformats.org/drawingml/2006/picture">
                <pic:pic>
                  <pic:nvPicPr>
                    <pic:cNvPr id="0" name="sheet-18.png"/>
                    <pic:cNvPicPr/>
                  </pic:nvPicPr>
                  <pic:blipFill>
                    <a:blip r:embed="rId12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9" name="Picture 119"/>
            <wp:cNvGraphicFramePr>
              <a:graphicFrameLocks noChangeAspect="1"/>
            </wp:cNvGraphicFramePr>
            <a:graphic>
              <a:graphicData uri="http://schemas.openxmlformats.org/drawingml/2006/picture">
                <pic:pic>
                  <pic:nvPicPr>
                    <pic:cNvPr id="0" name="sheet-19.png"/>
                    <pic:cNvPicPr/>
                  </pic:nvPicPr>
                  <pic:blipFill>
                    <a:blip r:embed="rId12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0" name="Picture 120"/>
            <wp:cNvGraphicFramePr>
              <a:graphicFrameLocks noChangeAspect="1"/>
            </wp:cNvGraphicFramePr>
            <a:graphic>
              <a:graphicData uri="http://schemas.openxmlformats.org/drawingml/2006/picture">
                <pic:pic>
                  <pic:nvPicPr>
                    <pic:cNvPr id="0" name="sheet-20.png"/>
                    <pic:cNvPicPr/>
                  </pic:nvPicPr>
                  <pic:blipFill>
                    <a:blip r:embed="rId13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1" name="Picture 121"/>
            <wp:cNvGraphicFramePr>
              <a:graphicFrameLocks noChangeAspect="1"/>
            </wp:cNvGraphicFramePr>
            <a:graphic>
              <a:graphicData uri="http://schemas.openxmlformats.org/drawingml/2006/picture">
                <pic:pic>
                  <pic:nvPicPr>
                    <pic:cNvPr id="0" name="sheet-21.png"/>
                    <pic:cNvPicPr/>
                  </pic:nvPicPr>
                  <pic:blipFill>
                    <a:blip r:embed="rId13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2" name="Picture 122"/>
            <wp:cNvGraphicFramePr>
              <a:graphicFrameLocks noChangeAspect="1"/>
            </wp:cNvGraphicFramePr>
            <a:graphic>
              <a:graphicData uri="http://schemas.openxmlformats.org/drawingml/2006/picture">
                <pic:pic>
                  <pic:nvPicPr>
                    <pic:cNvPr id="0" name="sheet-22.png"/>
                    <pic:cNvPicPr/>
                  </pic:nvPicPr>
                  <pic:blipFill>
                    <a:blip r:embed="rId13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3" name="Picture 123"/>
            <wp:cNvGraphicFramePr>
              <a:graphicFrameLocks noChangeAspect="1"/>
            </wp:cNvGraphicFramePr>
            <a:graphic>
              <a:graphicData uri="http://schemas.openxmlformats.org/drawingml/2006/picture">
                <pic:pic>
                  <pic:nvPicPr>
                    <pic:cNvPr id="0" name="sheet-23.png"/>
                    <pic:cNvPicPr/>
                  </pic:nvPicPr>
                  <pic:blipFill>
                    <a:blip r:embed="rId133"/>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pStyle w:val="Heading5"/>
      </w:pPr>
      <w: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pStyle w:val="Heading5"/>
      </w:pPr>
      <w: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pStyle w:val="Heading5"/>
      </w:pPr>
      <w: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4" name="Picture 124"/>
            <wp:cNvGraphicFramePr>
              <a:graphicFrameLocks noChangeAspect="1"/>
            </wp:cNvGraphicFramePr>
            <a:graphic>
              <a:graphicData uri="http://schemas.openxmlformats.org/drawingml/2006/picture">
                <pic:pic>
                  <pic:nvPicPr>
                    <pic:cNvPr id="0" name="view01.jpg"/>
                    <pic:cNvPicPr/>
                  </pic:nvPicPr>
                  <pic:blipFill>
                    <a:blip r:embed="rId134"/>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5" name="Picture 125"/>
            <wp:cNvGraphicFramePr>
              <a:graphicFrameLocks noChangeAspect="1"/>
            </wp:cNvGraphicFramePr>
            <a:graphic>
              <a:graphicData uri="http://schemas.openxmlformats.org/drawingml/2006/picture">
                <pic:pic>
                  <pic:nvPicPr>
                    <pic:cNvPr id="0" name="view02.jpg"/>
                    <pic:cNvPicPr/>
                  </pic:nvPicPr>
                  <pic:blipFill>
                    <a:blip r:embed="rId135"/>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6" name="Picture 126"/>
            <wp:cNvGraphicFramePr>
              <a:graphicFrameLocks noChangeAspect="1"/>
            </wp:cNvGraphicFramePr>
            <a:graphic>
              <a:graphicData uri="http://schemas.openxmlformats.org/drawingml/2006/picture">
                <pic:pic>
                  <pic:nvPicPr>
                    <pic:cNvPr id="0" name="view03.jpg"/>
                    <pic:cNvPicPr/>
                  </pic:nvPicPr>
                  <pic:blipFill>
                    <a:blip r:embed="rId136"/>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27" name="Picture 127"/>
            <wp:cNvGraphicFramePr>
              <a:graphicFrameLocks noChangeAspect="1"/>
            </wp:cNvGraphicFramePr>
            <a:graphic>
              <a:graphicData uri="http://schemas.openxmlformats.org/drawingml/2006/picture">
                <pic:pic>
                  <pic:nvPicPr>
                    <pic:cNvPr id="0" name="view04.jpg"/>
                    <pic:cNvPicPr/>
                  </pic:nvPicPr>
                  <pic:blipFill>
                    <a:blip r:embed="rId137"/>
                    <a:stretch>
                      <a:fillRect/>
                    </a:stretch>
                  </pic:blipFill>
                  <pic:spPr>
                    <a:xfrm>
                      <a:off x="0" y="0"/>
                      <a:ext cx="4443813" cy="475488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8" name="Picture 128"/>
            <wp:cNvGraphicFramePr>
              <a:graphicFrameLocks noChangeAspect="1"/>
            </wp:cNvGraphicFramePr>
            <a:graphic>
              <a:graphicData uri="http://schemas.openxmlformats.org/drawingml/2006/picture">
                <pic:pic>
                  <pic:nvPicPr>
                    <pic:cNvPr id="0" name="view05.jpg"/>
                    <pic:cNvPicPr/>
                  </pic:nvPicPr>
                  <pic:blipFill>
                    <a:blip r:embed="rId138"/>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9" name="Picture 129"/>
            <wp:cNvGraphicFramePr>
              <a:graphicFrameLocks noChangeAspect="1"/>
            </wp:cNvGraphicFramePr>
            <a:graphic>
              <a:graphicData uri="http://schemas.openxmlformats.org/drawingml/2006/picture">
                <pic:pic>
                  <pic:nvPicPr>
                    <pic:cNvPr id="0" name="view06.jpg"/>
                    <pic:cNvPicPr/>
                  </pic:nvPicPr>
                  <pic:blipFill>
                    <a:blip r:embed="rId139"/>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0" name="Picture 130"/>
            <wp:cNvGraphicFramePr>
              <a:graphicFrameLocks noChangeAspect="1"/>
            </wp:cNvGraphicFramePr>
            <a:graphic>
              <a:graphicData uri="http://schemas.openxmlformats.org/drawingml/2006/picture">
                <pic:pic>
                  <pic:nvPicPr>
                    <pic:cNvPr id="0" name="view07.jpg"/>
                    <pic:cNvPicPr/>
                  </pic:nvPicPr>
                  <pic:blipFill>
                    <a:blip r:embed="rId140"/>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1" name="Picture 131"/>
            <wp:cNvGraphicFramePr>
              <a:graphicFrameLocks noChangeAspect="1"/>
            </wp:cNvGraphicFramePr>
            <a:graphic>
              <a:graphicData uri="http://schemas.openxmlformats.org/drawingml/2006/picture">
                <pic:pic>
                  <pic:nvPicPr>
                    <pic:cNvPr id="0" name="view08.jpg"/>
                    <pic:cNvPicPr/>
                  </pic:nvPicPr>
                  <pic:blipFill>
                    <a:blip r:embed="rId141"/>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2" name="Picture 132"/>
            <wp:cNvGraphicFramePr>
              <a:graphicFrameLocks noChangeAspect="1"/>
            </wp:cNvGraphicFramePr>
            <a:graphic>
              <a:graphicData uri="http://schemas.openxmlformats.org/drawingml/2006/picture">
                <pic:pic>
                  <pic:nvPicPr>
                    <pic:cNvPr id="0" name="view09.jpg"/>
                    <pic:cNvPicPr/>
                  </pic:nvPicPr>
                  <pic:blipFill>
                    <a:blip r:embed="rId142"/>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3" name="Picture 133"/>
            <wp:cNvGraphicFramePr>
              <a:graphicFrameLocks noChangeAspect="1"/>
            </wp:cNvGraphicFramePr>
            <a:graphic>
              <a:graphicData uri="http://schemas.openxmlformats.org/drawingml/2006/picture">
                <pic:pic>
                  <pic:nvPicPr>
                    <pic:cNvPr id="0" name="view10.jpg"/>
                    <pic:cNvPicPr/>
                  </pic:nvPicPr>
                  <pic:blipFill>
                    <a:blip r:embed="rId143"/>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pStyle w:val="Heading5"/>
      </w:pPr>
      <w: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34" name="Picture 134"/>
                  <wp:cNvGraphicFramePr>
                    <a:graphicFrameLocks noChangeAspect="1"/>
                  </wp:cNvGraphicFramePr>
                  <a:graphic>
                    <a:graphicData uri="http://schemas.openxmlformats.org/drawingml/2006/picture">
                      <pic:pic>
                        <pic:nvPicPr>
                          <pic:cNvPr id="0" name="render_mb_top.png"/>
                          <pic:cNvPicPr/>
                        </pic:nvPicPr>
                        <pic:blipFill>
                          <a:blip r:embed="rId144"/>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35" name="Picture 135"/>
                  <wp:cNvGraphicFramePr>
                    <a:graphicFrameLocks noChangeAspect="1"/>
                  </wp:cNvGraphicFramePr>
                  <a:graphic>
                    <a:graphicData uri="http://schemas.openxmlformats.org/drawingml/2006/picture">
                      <pic:pic>
                        <pic:nvPicPr>
                          <pic:cNvPr id="0" name="render_mb_bottom.png"/>
                          <pic:cNvPicPr/>
                        </pic:nvPicPr>
                        <pic:blipFill>
                          <a:blip r:embed="rId145"/>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36" name="Picture 136"/>
                  <wp:cNvGraphicFramePr>
                    <a:graphicFrameLocks noChangeAspect="1"/>
                  </wp:cNvGraphicFramePr>
                  <a:graphic>
                    <a:graphicData uri="http://schemas.openxmlformats.org/drawingml/2006/picture">
                      <pic:pic>
                        <pic:nvPicPr>
                          <pic:cNvPr id="0" name="render_cover_top.png"/>
                          <pic:cNvPicPr/>
                        </pic:nvPicPr>
                        <pic:blipFill>
                          <a:blip r:embed="rId146"/>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37" name="Picture 137"/>
                  <wp:cNvGraphicFramePr>
                    <a:graphicFrameLocks noChangeAspect="1"/>
                  </wp:cNvGraphicFramePr>
                  <a:graphic>
                    <a:graphicData uri="http://schemas.openxmlformats.org/drawingml/2006/picture">
                      <pic:pic>
                        <pic:nvPicPr>
                          <pic:cNvPr id="0" name="render_cover_bottom.png"/>
                          <pic:cNvPicPr/>
                        </pic:nvPicPr>
                        <pic:blipFill>
                          <a:blip r:embed="rId147"/>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pStyle w:val="GLDFigureTitle"/>
        <w:keepNext/>
        <w:spacing w:after="60" w:before="40"/>
        <w:jc w:val="center"/>
      </w:pPr>
      <w:r>
        <w:rPr>
          <w:rFonts w:ascii="Calibri" w:hAnsi="Calibri"/>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is compiled in Sections 2.6.b.1 and 2.6.b.2; open items are marked per row and are completed from the enclosure drawings and supplier data of the manufacturer.</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pStyle w:val="Heading4"/>
        <w:keepNext/>
        <w:spacing w:after="60" w:before="160"/>
      </w:pPr>
      <w:r>
        <w:rPr>
          <w:rFonts w:ascii="Calibri" w:hAnsi="Calibri"/>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O-ring of the cover-to-base joint (Section 2.3.c — rubber, cord Ø2.70 mm and OD ≈91.0 mm measured, Figures 4-132/4-134;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register of non-metallic materials in Section 2.6.c.1; supplier datasheets pending from the enclosure and component suppliers.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The manufacturing processes relevant to explosion-protection safety (enclosure machining accuracy control, explosion-proof surface treatment, welding, potting, die-casting, bonding) are structured in Section 2.6.d.1; process parameters are completed by the manufacturer.</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process controls listed in Section 2.6.d.1; machining, coating and assembly parameters to be completed by the manufacturer (PT Galaksi Megatama Indonesia).</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pStyle w:val="Heading5"/>
        <w:keepNext/>
        <w:spacing w:after="60" w:before="160"/>
      </w:pPr>
      <w:r>
        <w:rPr>
          <w:rFonts w:ascii="Calibri" w:hAnsi="Calibri"/>
          <w:b/>
          <w:i w:val="0"/>
          <w:color w:val="1B335F"/>
          <w:sz w:val="20"/>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pStyle w:val="Heading5"/>
        <w:keepNext/>
        <w:spacing w:after="60" w:before="160"/>
      </w:pPr>
      <w:r>
        <w:rPr>
          <w:rFonts w:ascii="Calibri" w:hAnsi="Calibri"/>
          <w:b/>
          <w:i w:val="0"/>
          <w:color w:val="1B335F"/>
          <w:sz w:val="20"/>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pStyle w:val="Heading5"/>
        <w:keepNext/>
        <w:spacing w:after="60" w:before="160"/>
      </w:pPr>
      <w:r>
        <w:rPr>
          <w:rFonts w:ascii="Calibri" w:hAnsi="Calibri"/>
          <w:b/>
          <w:i w:val="0"/>
          <w:color w:val="1B335F"/>
          <w:sz w:val="20"/>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pStyle w:val="Heading5"/>
        <w:keepNext/>
        <w:spacing w:after="60" w:before="160"/>
      </w:pPr>
      <w:r>
        <w:rPr>
          <w:rFonts w:ascii="Calibri" w:hAnsi="Calibri"/>
          <w:b/>
          <w:i w:val="0"/>
          <w:color w:val="1B335F"/>
          <w:sz w:val="20"/>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pStyle w:val="Heading5"/>
        <w:keepNext/>
        <w:spacing w:after="60" w:before="160"/>
      </w:pPr>
      <w:r>
        <w:rPr>
          <w:rFonts w:ascii="Calibri" w:hAnsi="Calibri"/>
          <w:b/>
          <w:i w:val="0"/>
          <w:color w:val="1B335F"/>
          <w:sz w:val="20"/>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pStyle w:val="Heading5"/>
        <w:keepNext/>
        <w:spacing w:after="60" w:before="160"/>
      </w:pPr>
      <w:r>
        <w:rPr>
          <w:rFonts w:ascii="Calibri" w:hAnsi="Calibri"/>
          <w:b/>
          <w:i w:val="0"/>
          <w:color w:val="1B335F"/>
          <w:sz w:val="20"/>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pStyle w:val="Heading5"/>
        <w:keepNext/>
        <w:spacing w:after="60" w:before="160"/>
      </w:pPr>
      <w:r>
        <w:rPr>
          <w:rFonts w:ascii="Calibri" w:hAnsi="Calibri"/>
          <w:b/>
          <w:i w:val="0"/>
          <w:color w:val="1B335F"/>
          <w:sz w:val="20"/>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pStyle w:val="Heading5"/>
        <w:keepNext/>
        <w:spacing w:after="60" w:before="160"/>
      </w:pPr>
      <w:r>
        <w:rPr>
          <w:rFonts w:ascii="Calibri" w:hAnsi="Calibri"/>
          <w:b/>
          <w:i w:val="0"/>
          <w:color w:val="1B335F"/>
          <w:sz w:val="20"/>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pStyle w:val="Heading5"/>
        <w:keepNext/>
        <w:spacing w:after="60" w:before="160"/>
      </w:pPr>
      <w:r>
        <w:rPr>
          <w:rFonts w:ascii="Calibri" w:hAnsi="Calibri"/>
          <w:b/>
          <w:i w:val="0"/>
          <w:color w:val="1B335F"/>
          <w:sz w:val="20"/>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pStyle w:val="Heading5"/>
        <w:keepNext/>
        <w:spacing w:after="60" w:before="160"/>
      </w:pPr>
      <w:r>
        <w:rPr>
          <w:rFonts w:ascii="Calibri" w:hAnsi="Calibri"/>
          <w:b/>
          <w:i w:val="0"/>
          <w:color w:val="1B335F"/>
          <w:sz w:val="20"/>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pStyle w:val="Heading5"/>
        <w:keepNext/>
        <w:spacing w:after="60" w:before="160"/>
      </w:pPr>
      <w:r>
        <w:rPr>
          <w:rFonts w:ascii="Calibri" w:hAnsi="Calibri"/>
          <w:b/>
          <w:i w:val="0"/>
          <w:color w:val="1B335F"/>
          <w:sz w:val="20"/>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pStyle w:val="Heading5"/>
        <w:keepNext/>
        <w:spacing w:after="60" w:before="160"/>
      </w:pPr>
      <w:r>
        <w:rPr>
          <w:rFonts w:ascii="Calibri" w:hAnsi="Calibri"/>
          <w:b/>
          <w:i w:val="0"/>
          <w:color w:val="1B335F"/>
          <w:sz w:val="20"/>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pStyle w:val="Heading5"/>
        <w:keepNext/>
        <w:spacing w:after="60" w:before="160"/>
      </w:pPr>
      <w:r>
        <w:rPr>
          <w:rFonts w:ascii="Calibri" w:hAnsi="Calibri"/>
          <w:b/>
          <w:i w:val="0"/>
          <w:color w:val="1B335F"/>
          <w:sz w:val="20"/>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Ignition sources, the protection concept and the threaded flame-path evaluation are given in Sections 2.6.e.1–2.6.e.3, including the measured cover-to-base joint (e.3.12, e.3.13). Final flame-path and free-volume values require the manufacturer's controlled enclosure drawing.</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ignition-source register and protection concept documented; toleranced flame-path data, free volume and the gas-inlet flame-arrestor evidence pending.</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pStyle w:val="Heading4"/>
        <w:keepNext/>
        <w:spacing w:after="60" w:before="160"/>
      </w:pPr>
      <w:r>
        <w:rPr>
          <w:rFonts w:ascii="Calibri" w:hAnsi="Calibri"/>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22 dBm (≈158 mW) conducted max.; with the 3 dBi antenna ≈0.32 W, below the 2 W RF threshold power of IEC 60079-0 for Group IIC (17 dBm operational)</w:t>
            </w:r>
          </w:p>
        </w:tc>
        <w:tc>
          <w:tcPr>
            <w:tcW w:type="dxa" w:w="864"/>
            <w:shd w:val="clear" w:fill="FFF4D6"/>
          </w:tcPr>
          <w:p>
            <w:pPr>
              <w:spacing w:after="20"/>
            </w:pPr>
            <w:r>
              <w:rPr>
                <w:b/>
                <w:sz w:val="15"/>
              </w:rPr>
              <w:t>Preliminary</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pStyle w:val="Heading4"/>
        <w:keepNext/>
        <w:spacing w:after="60" w:before="160"/>
      </w:pPr>
      <w:r>
        <w:rPr>
          <w:rFonts w:ascii="Calibri" w:hAnsi="Calibri"/>
          <w:b/>
          <w:i w:val="0"/>
          <w:color w:val="1B335F"/>
          <w:sz w:val="21"/>
        </w:rPr>
        <w:t>2.6.e.3 Explosion-protection concept and protective construction</w:t>
      </w:r>
    </w:p>
    <w:p>
      <w:pPr>
        <w:pStyle w:val="Heading5"/>
        <w:keepNext/>
        <w:spacing w:after="60" w:before="160"/>
      </w:pPr>
      <w:r>
        <w:rPr>
          <w:rFonts w:ascii="Calibri" w:hAnsi="Calibri"/>
          <w:b/>
          <w:i w:val="0"/>
          <w:color w:val="1B335F"/>
          <w:sz w:val="20"/>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pStyle w:val="Heading5"/>
        <w:keepNext/>
        <w:spacing w:after="60" w:before="160"/>
      </w:pPr>
      <w:r>
        <w:rPr>
          <w:rFonts w:ascii="Calibri" w:hAnsi="Calibri"/>
          <w:b/>
          <w:i w:val="0"/>
          <w:color w:val="1B335F"/>
          <w:sz w:val="20"/>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pStyle w:val="Heading5"/>
        <w:keepNext/>
        <w:spacing w:after="60" w:before="160"/>
      </w:pPr>
      <w:r>
        <w:rPr>
          <w:rFonts w:ascii="Calibri" w:hAnsi="Calibri"/>
          <w:b/>
          <w:i w:val="0"/>
          <w:color w:val="1B335F"/>
          <w:sz w:val="20"/>
        </w:rPr>
        <w:t>e.3.3 Front stainless-steel mesh</w:t>
      </w:r>
    </w:p>
    <w:p>
      <w:pPr>
        <w:spacing w:after="100"/>
      </w:pPr>
      <w:r>
        <w:rPr>
          <w:b w:val="0"/>
          <w:i w:val="0"/>
          <w:color w:val="262321"/>
          <w:sz w:val="19"/>
        </w:rPr>
        <w:t>First protective element in the gas inlet; mechanical protection and, only where supported by certification, flame arresting.</w:t>
      </w:r>
    </w:p>
    <w:p>
      <w:pPr>
        <w:pStyle w:val="Heading5"/>
        <w:keepNext/>
        <w:spacing w:after="60" w:before="160"/>
      </w:pPr>
      <w:r>
        <w:rPr>
          <w:rFonts w:ascii="Calibri" w:hAnsi="Calibri"/>
          <w:b/>
          <w:i w:val="0"/>
          <w:color w:val="1B335F"/>
          <w:sz w:val="20"/>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pStyle w:val="Heading5"/>
        <w:keepNext/>
        <w:spacing w:after="60" w:before="160"/>
      </w:pPr>
      <w:r>
        <w:rPr>
          <w:rFonts w:ascii="Calibri" w:hAnsi="Calibri"/>
          <w:b/>
          <w:i w:val="0"/>
          <w:color w:val="1B335F"/>
          <w:sz w:val="20"/>
        </w:rPr>
        <w:t>e.3.5 DC fan</w:t>
      </w:r>
    </w:p>
    <w:p>
      <w:pPr>
        <w:spacing w:after="100"/>
      </w:pPr>
      <w:r>
        <w:rPr>
          <w:b w:val="0"/>
          <w:i w:val="0"/>
          <w:color w:val="262321"/>
          <w:sz w:val="19"/>
        </w:rPr>
        <w:t>Located in the gas path behind the mesh; surface temperature, winding temperature, stalled rotor and commutation to be assessed.</w:t>
      </w:r>
    </w:p>
    <w:p>
      <w:pPr>
        <w:pStyle w:val="Heading5"/>
        <w:keepNext/>
        <w:spacing w:after="60" w:before="160"/>
      </w:pPr>
      <w:r>
        <w:rPr>
          <w:rFonts w:ascii="Calibri" w:hAnsi="Calibri"/>
          <w:b/>
          <w:i w:val="0"/>
          <w:color w:val="1B335F"/>
          <w:sz w:val="20"/>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pStyle w:val="Heading5"/>
        <w:keepNext/>
        <w:spacing w:after="60" w:before="160"/>
      </w:pPr>
      <w:r>
        <w:rPr>
          <w:rFonts w:ascii="Calibri" w:hAnsi="Calibri"/>
          <w:b/>
          <w:i w:val="0"/>
          <w:color w:val="1B335F"/>
          <w:sz w:val="20"/>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pStyle w:val="Heading5"/>
        <w:keepNext/>
        <w:spacing w:after="60" w:before="160"/>
      </w:pPr>
      <w:r>
        <w:rPr>
          <w:rFonts w:ascii="Calibri" w:hAnsi="Calibri"/>
          <w:b/>
          <w:i w:val="0"/>
          <w:color w:val="1B335F"/>
          <w:sz w:val="20"/>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pStyle w:val="Heading5"/>
        <w:keepNext/>
        <w:spacing w:after="60" w:before="160"/>
      </w:pPr>
      <w:r>
        <w:rPr>
          <w:rFonts w:ascii="Calibri" w:hAnsi="Calibri"/>
          <w:b/>
          <w:i w:val="0"/>
          <w:color w:val="1B335F"/>
          <w:sz w:val="20"/>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pStyle w:val="Heading5"/>
        <w:keepNext/>
        <w:spacing w:after="60" w:before="160"/>
      </w:pPr>
      <w:r>
        <w:rPr>
          <w:rFonts w:ascii="Calibri" w:hAnsi="Calibri"/>
          <w:b/>
          <w:i w:val="0"/>
          <w:color w:val="1B335F"/>
          <w:sz w:val="20"/>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pStyle w:val="Heading5"/>
        <w:keepNext/>
        <w:spacing w:after="60" w:before="160"/>
      </w:pPr>
      <w:r>
        <w:rPr>
          <w:rFonts w:ascii="Calibri" w:hAnsi="Calibri"/>
          <w:b/>
          <w:i w:val="0"/>
          <w:color w:val="1B335F"/>
          <w:sz w:val="20"/>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5"/>
        <w:keepNext/>
        <w:spacing w:after="60" w:before="160"/>
      </w:pPr>
      <w:r>
        <w:rPr>
          <w:rFonts w:ascii="Calibri" w:hAnsi="Calibri"/>
          <w:b/>
          <w:i w:val="0"/>
          <w:color w:val="1B335F"/>
          <w:sz w:val="20"/>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5"/>
        <w:keepNext/>
        <w:spacing w:after="60" w:before="160"/>
      </w:pPr>
      <w:r>
        <w:rPr>
          <w:rFonts w:ascii="Calibri" w:hAnsi="Calibri"/>
          <w:b/>
          <w:i w:val="0"/>
          <w:color w:val="1B335F"/>
          <w:sz w:val="20"/>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38" name="Picture 138"/>
            <wp:cNvGraphicFramePr>
              <a:graphicFrameLocks noChangeAspect="1"/>
            </wp:cNvGraphicFramePr>
            <a:graphic>
              <a:graphicData uri="http://schemas.openxmlformats.org/drawingml/2006/picture">
                <pic:pic>
                  <pic:nvPicPr>
                    <pic:cNvPr id="0" name="MS-01_base_neck_half_section.png"/>
                    <pic:cNvPicPr/>
                  </pic:nvPicPr>
                  <pic:blipFill>
                    <a:blip r:embed="rId148"/>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39" name="Picture 139"/>
            <wp:cNvGraphicFramePr>
              <a:graphicFrameLocks noChangeAspect="1"/>
            </wp:cNvGraphicFramePr>
            <a:graphic>
              <a:graphicData uri="http://schemas.openxmlformats.org/drawingml/2006/picture">
                <pic:pic>
                  <pic:nvPicPr>
                    <pic:cNvPr id="0" name="MS-02_cover_half_section.png"/>
                    <pic:cNvPicPr/>
                  </pic:nvPicPr>
                  <pic:blipFill>
                    <a:blip r:embed="rId149"/>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40" name="Picture 140"/>
            <wp:cNvGraphicFramePr>
              <a:graphicFrameLocks noChangeAspect="1"/>
            </wp:cNvGraphicFramePr>
            <a:graphic>
              <a:graphicData uri="http://schemas.openxmlformats.org/drawingml/2006/picture">
                <pic:pic>
                  <pic:nvPicPr>
                    <pic:cNvPr id="0" name="MS-03_threaded_joint_detail.png"/>
                    <pic:cNvPicPr/>
                  </pic:nvPicPr>
                  <pic:blipFill>
                    <a:blip r:embed="rId150"/>
                    <a:stretch>
                      <a:fillRect/>
                    </a:stretch>
                  </pic:blipFill>
                  <pic:spPr>
                    <a:xfrm>
                      <a:off x="0" y="0"/>
                      <a:ext cx="5669280" cy="3750302"/>
                    </a:xfrm>
                    <a:prstGeom prst="rect"/>
                  </pic:spPr>
                </pic:pic>
              </a:graphicData>
            </a:graphic>
          </wp:inline>
        </w:drawing>
      </w:r>
    </w:p>
    <w:p>
      <w:pPr>
        <w:pStyle w:val="GLDFigureTitle"/>
        <w:keepNext/>
        <w:spacing w:after="160" w:before="40"/>
        <w:jc w:val="center"/>
      </w:pPr>
      <w:r>
        <w:rPr>
          <w:rFonts w:ascii="Calibri" w:hAnsi="Calibri"/>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41" name="Picture 141"/>
            <wp:cNvGraphicFramePr>
              <a:graphicFrameLocks noChangeAspect="1"/>
            </wp:cNvGraphicFramePr>
            <a:graphic>
              <a:graphicData uri="http://schemas.openxmlformats.org/drawingml/2006/picture">
                <pic:pic>
                  <pic:nvPicPr>
                    <pic:cNvPr id="0" name="MS-04_O-ring.png"/>
                    <pic:cNvPicPr/>
                  </pic:nvPicPr>
                  <pic:blipFill>
                    <a:blip r:embed="rId151"/>
                    <a:stretch>
                      <a:fillRect/>
                    </a:stretch>
                  </pic:blipFill>
                  <pic:spPr>
                    <a:xfrm>
                      <a:off x="0" y="0"/>
                      <a:ext cx="5669280" cy="2764204"/>
                    </a:xfrm>
                    <a:prstGeom prst="rect"/>
                  </pic:spPr>
                </pic:pic>
              </a:graphicData>
            </a:graphic>
          </wp:inline>
        </w:drawing>
      </w:r>
    </w:p>
    <w:p>
      <w:pPr>
        <w:pStyle w:val="GLDFigureTitle"/>
        <w:keepNext/>
        <w:spacing w:after="160" w:before="40"/>
        <w:jc w:val="center"/>
      </w:pPr>
      <w:r>
        <w:rPr>
          <w:rFonts w:ascii="Calibri" w:hAnsi="Calibri"/>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pStyle w:val="Heading5"/>
        <w:keepNext/>
        <w:spacing w:after="60" w:before="160"/>
      </w:pPr>
      <w:r>
        <w:rPr>
          <w:rFonts w:ascii="Calibri" w:hAnsi="Calibri"/>
          <w:b/>
          <w:i w:val="0"/>
          <w:color w:val="1B335F"/>
          <w:sz w:val="20"/>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pStyle w:val="Heading5"/>
        <w:keepNext/>
        <w:spacing w:after="60" w:before="160"/>
      </w:pPr>
      <w:r>
        <w:rPr>
          <w:rFonts w:ascii="Calibri" w:hAnsi="Calibri"/>
          <w:b/>
          <w:i w:val="0"/>
          <w:color w:val="1B335F"/>
          <w:sz w:val="20"/>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pStyle w:val="Heading5"/>
        <w:keepNext/>
        <w:spacing w:after="60" w:before="160"/>
      </w:pPr>
      <w:r>
        <w:rPr>
          <w:rFonts w:ascii="Calibri" w:hAnsi="Calibri"/>
          <w:b/>
          <w:i w:val="0"/>
          <w:color w:val="1B335F"/>
          <w:sz w:val="20"/>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pStyle w:val="Heading5"/>
        <w:keepNext/>
        <w:spacing w:after="60" w:before="160"/>
      </w:pPr>
      <w:r>
        <w:rPr>
          <w:rFonts w:ascii="Calibri" w:hAnsi="Calibri"/>
          <w:b/>
          <w:i w:val="0"/>
          <w:color w:val="1B335F"/>
          <w:sz w:val="20"/>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pStyle w:val="Heading5"/>
        <w:keepNext/>
        <w:spacing w:after="60" w:before="160"/>
      </w:pPr>
      <w:r>
        <w:rPr>
          <w:rFonts w:ascii="Calibri" w:hAnsi="Calibri"/>
          <w:b/>
          <w:i w:val="0"/>
          <w:color w:val="1B335F"/>
          <w:sz w:val="20"/>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pStyle w:val="Heading5"/>
        <w:keepNext/>
        <w:spacing w:after="60" w:before="160"/>
      </w:pPr>
      <w:r>
        <w:rPr>
          <w:rFonts w:ascii="Calibri" w:hAnsi="Calibri"/>
          <w:b/>
          <w:i w:val="0"/>
          <w:color w:val="1B335F"/>
          <w:sz w:val="20"/>
        </w:rPr>
        <w:t>f.6 Blocked or restricted mesh</w:t>
      </w:r>
    </w:p>
    <w:p>
      <w:pPr>
        <w:spacing w:after="100"/>
      </w:pPr>
      <w:r>
        <w:rPr>
          <w:b w:val="0"/>
          <w:i w:val="0"/>
          <w:color w:val="262321"/>
          <w:sz w:val="19"/>
        </w:rPr>
        <w:t>Not tested. To be included where it affects internal cooling.</w:t>
      </w:r>
    </w:p>
    <w:p>
      <w:pPr>
        <w:pStyle w:val="Heading5"/>
        <w:keepNext/>
        <w:spacing w:after="60" w:before="160"/>
      </w:pPr>
      <w:r>
        <w:rPr>
          <w:rFonts w:ascii="Calibri" w:hAnsi="Calibri"/>
          <w:b/>
          <w:i w:val="0"/>
          <w:color w:val="1B335F"/>
          <w:sz w:val="20"/>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pStyle w:val="Heading5"/>
        <w:keepNext/>
        <w:spacing w:after="60" w:before="160"/>
      </w:pPr>
      <w:r>
        <w:rPr>
          <w:rFonts w:ascii="Calibri" w:hAnsi="Calibri"/>
          <w:b/>
          <w:i w:val="0"/>
          <w:color w:val="1B335F"/>
          <w:sz w:val="20"/>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pStyle w:val="Heading5"/>
        <w:keepNext/>
        <w:spacing w:after="60" w:before="160"/>
      </w:pPr>
      <w:r>
        <w:rPr>
          <w:rFonts w:ascii="Calibri" w:hAnsi="Calibri"/>
          <w:b/>
          <w:i w:val="0"/>
          <w:color w:val="1B335F"/>
          <w:sz w:val="20"/>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pStyle w:val="Heading5"/>
        <w:keepNext/>
        <w:spacing w:after="60" w:before="160"/>
      </w:pPr>
      <w:r>
        <w:rPr>
          <w:rFonts w:ascii="Calibri" w:hAnsi="Calibri"/>
          <w:b/>
          <w:i w:val="0"/>
          <w:color w:val="1B335F"/>
          <w:sz w:val="20"/>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pStyle w:val="Heading5"/>
        <w:keepNext/>
        <w:spacing w:after="60" w:before="160"/>
      </w:pPr>
      <w:r>
        <w:rPr>
          <w:rFonts w:ascii="Calibri" w:hAnsi="Calibri"/>
          <w:b/>
          <w:i w:val="0"/>
          <w:color w:val="1B335F"/>
          <w:sz w:val="20"/>
        </w:rPr>
        <w:t>f.11 Results table</w:t>
      </w:r>
    </w:p>
    <w:p>
      <w:pPr>
        <w:spacing w:after="100"/>
      </w:pPr>
      <w:r>
        <w:rPr>
          <w:b w:val="0"/>
          <w:i w:val="0"/>
          <w:color w:val="262321"/>
          <w:sz w:val="18"/>
        </w:rPr>
        <w:t>Reference numbers follow the candidate hottest points of f.3.</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 (U36)</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T-06</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T-08</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T-09</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T-10</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T-11</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pStyle w:val="Heading5"/>
        <w:keepNext/>
        <w:spacing w:after="60" w:before="160"/>
      </w:pPr>
      <w:r>
        <w:rPr>
          <w:rFonts w:ascii="Calibri" w:hAnsi="Calibri"/>
          <w:b/>
          <w:i w:val="0"/>
          <w:color w:val="1B335F"/>
          <w:sz w:val="20"/>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to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for the proposed Ex d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available. Prepared for the proposed Ex d concept (II 2G Ex db IIC T4 Gb), pending ExCB confirmation, the final temperature class (Section 2.6.f) and the final cable-entry/enclosure hardware. It also feeds the separate GLD instruction manual.</w:t>
            </w:r>
          </w:p>
        </w:tc>
      </w:tr>
    </w:tbl>
    <w:p>
      <w:pPr>
        <w:spacing w:after="80"/>
      </w:pPr>
    </w:p>
    <w:p>
      <w:pPr>
        <w:pStyle w:val="Heading4"/>
      </w:pPr>
      <w: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Do not open the enclosure while an explosive atmosphere may be present unless the equipment is de-energized and the area is confirmed gas-free.</w:t>
      </w:r>
    </w:p>
    <w:p>
      <w:pPr>
        <w:pStyle w:val="ListBullet"/>
        <w:spacing w:after="40"/>
      </w:pPr>
      <w:r>
        <w:rPr>
          <w:sz w:val="20"/>
        </w:rPr>
        <w:t>Do not modify the enclosure, flame paths, cable entries or internal arrangement; any unauthorized modification to the approved equipment invalidates the certificate.</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pStyle w:val="Heading4"/>
      </w:pPr>
      <w: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pStyle w:val="Heading4"/>
      </w:pPr>
      <w: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pStyle w:val="Heading5"/>
        <w:keepNext/>
        <w:spacing w:after="60" w:before="160"/>
      </w:pPr>
      <w:r>
        <w:rPr>
          <w:rFonts w:ascii="Calibri" w:hAnsi="Calibri"/>
          <w:b/>
          <w:i w:val="0"/>
          <w:color w:val="1B335F"/>
          <w:sz w:val="20"/>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pStyle w:val="Heading5"/>
        <w:keepNext/>
        <w:spacing w:after="60" w:before="160"/>
      </w:pPr>
      <w:r>
        <w:rPr>
          <w:rFonts w:ascii="Calibri" w:hAnsi="Calibri"/>
          <w:b/>
          <w:i w:val="0"/>
          <w:color w:val="1B335F"/>
          <w:sz w:val="20"/>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pStyle w:val="Heading5"/>
        <w:keepNext/>
        <w:spacing w:after="60" w:before="160"/>
      </w:pPr>
      <w:r>
        <w:rPr>
          <w:rFonts w:ascii="Calibri" w:hAnsi="Calibri"/>
          <w:b/>
          <w:i w:val="0"/>
          <w:color w:val="1B335F"/>
          <w:sz w:val="20"/>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pStyle w:val="Heading5"/>
        <w:keepNext/>
        <w:spacing w:after="60" w:before="160"/>
      </w:pPr>
      <w:r>
        <w:rPr>
          <w:rFonts w:ascii="Calibri" w:hAnsi="Calibri"/>
          <w:b/>
          <w:i w:val="0"/>
          <w:color w:val="1B335F"/>
          <w:sz w:val="20"/>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pStyle w:val="Heading5"/>
        <w:keepNext/>
        <w:spacing w:after="60" w:before="160"/>
      </w:pPr>
      <w:r>
        <w:rPr>
          <w:rFonts w:ascii="Calibri" w:hAnsi="Calibri"/>
          <w:b/>
          <w:i w:val="0"/>
          <w:color w:val="1B335F"/>
          <w:sz w:val="20"/>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installed component part number and certificate reference shall be recorded.</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pStyle w:val="Heading5"/>
        <w:keepNext/>
        <w:spacing w:after="60" w:before="160"/>
      </w:pPr>
      <w:r>
        <w:rPr>
          <w:rFonts w:ascii="Calibri" w:hAnsi="Calibri"/>
          <w:b/>
          <w:i w:val="0"/>
          <w:color w:val="1B335F"/>
          <w:sz w:val="20"/>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spacing w:after="100"/>
      </w:pPr>
      <w:r>
        <w:rPr>
          <w:b w:val="0"/>
          <w:i w:val="0"/>
          <w:color w:val="262321"/>
          <w:sz w:val="19"/>
        </w:rPr>
        <w:t>The controlled grounding drawing shall show the following:</w:t>
      </w:r>
    </w:p>
    <w:p>
      <w:pPr>
        <w:pStyle w:val="ListBullet"/>
        <w:spacing w:after="20"/>
      </w:pPr>
      <w:r>
        <w:rPr>
          <w:b w:val="0"/>
          <w:i w:val="0"/>
          <w:color w:val="262321"/>
          <w:sz w:val="19"/>
        </w:rPr>
        <w:t>grounding-stud position;</w:t>
      </w:r>
    </w:p>
    <w:p>
      <w:pPr>
        <w:pStyle w:val="ListBullet"/>
        <w:spacing w:after="20"/>
      </w:pPr>
      <w:r>
        <w:rPr>
          <w:b w:val="0"/>
          <w:i w:val="0"/>
          <w:color w:val="262321"/>
          <w:sz w:val="19"/>
        </w:rPr>
        <w:t>stud diameter/size;</w:t>
      </w:r>
    </w:p>
    <w:p>
      <w:pPr>
        <w:pStyle w:val="ListBullet"/>
        <w:spacing w:after="20"/>
      </w:pPr>
      <w:r>
        <w:rPr>
          <w:b w:val="0"/>
          <w:i w:val="0"/>
          <w:color w:val="262321"/>
          <w:sz w:val="19"/>
        </w:rPr>
        <w:t>washer–lug–nut sequence;</w:t>
      </w:r>
    </w:p>
    <w:p>
      <w:pPr>
        <w:pStyle w:val="ListBullet"/>
        <w:spacing w:after="20"/>
      </w:pPr>
      <w:r>
        <w:rPr>
          <w:b w:val="0"/>
          <w:i w:val="0"/>
          <w:color w:val="262321"/>
          <w:sz w:val="19"/>
        </w:rPr>
        <w:t>hardware material;</w:t>
      </w:r>
    </w:p>
    <w:p>
      <w:pPr>
        <w:pStyle w:val="ListBullet"/>
        <w:spacing w:after="20"/>
      </w:pPr>
      <w:r>
        <w:rPr>
          <w:b w:val="0"/>
          <w:i w:val="0"/>
          <w:color w:val="262321"/>
          <w:sz w:val="19"/>
        </w:rPr>
        <w:t>bonding points between metal parts;</w:t>
      </w:r>
    </w:p>
    <w:p>
      <w:pPr>
        <w:pStyle w:val="ListBullet"/>
        <w:spacing w:after="20"/>
      </w:pPr>
      <w:r>
        <w:rPr>
          <w:b w:val="0"/>
          <w:i w:val="0"/>
          <w:color w:val="262321"/>
          <w:sz w:val="19"/>
        </w:rPr>
        <w:t>PE symbol;</w:t>
      </w:r>
    </w:p>
    <w:p>
      <w:pPr>
        <w:pStyle w:val="ListBullet"/>
        <w:spacing w:after="20"/>
      </w:pPr>
      <w:r>
        <w:rPr>
          <w:b w:val="0"/>
          <w:i w:val="0"/>
          <w:color w:val="262321"/>
          <w:sz w:val="19"/>
        </w:rPr>
        <w:t>tightening torque;</w:t>
      </w:r>
    </w:p>
    <w:p>
      <w:pPr>
        <w:pStyle w:val="ListBullet"/>
        <w:spacing w:after="20"/>
      </w:pPr>
      <w:r>
        <w:rPr>
          <w:b w:val="0"/>
          <w:i w:val="0"/>
          <w:color w:val="262321"/>
          <w:sz w:val="19"/>
        </w:rPr>
        <w:t>continuity acceptance limit.</w:t>
      </w:r>
    </w:p>
    <w:p>
      <w:pPr>
        <w:pStyle w:val="Heading5"/>
        <w:keepNext/>
        <w:spacing w:after="60" w:before="160"/>
      </w:pPr>
      <w:r>
        <w:rPr>
          <w:rFonts w:ascii="Calibri" w:hAnsi="Calibri"/>
          <w:b/>
          <w:i w:val="0"/>
          <w:color w:val="1B335F"/>
          <w:sz w:val="20"/>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pStyle w:val="Heading5"/>
        <w:keepNext/>
        <w:spacing w:after="60" w:before="160"/>
      </w:pPr>
      <w:r>
        <w:rPr>
          <w:rFonts w:ascii="Calibri" w:hAnsi="Calibri"/>
          <w:b/>
          <w:i w:val="0"/>
          <w:color w:val="1B335F"/>
          <w:sz w:val="20"/>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production configuration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pStyle w:val="Heading5"/>
        <w:keepNext/>
        <w:spacing w:after="60" w:before="160"/>
      </w:pPr>
      <w:r>
        <w:rPr>
          <w:rFonts w:ascii="Calibri" w:hAnsi="Calibri"/>
          <w:b/>
          <w:i w:val="0"/>
          <w:color w:val="1B335F"/>
          <w:sz w:val="20"/>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pStyle w:val="Heading5"/>
        <w:keepNext/>
        <w:spacing w:after="60" w:before="160"/>
      </w:pPr>
      <w:r>
        <w:rPr>
          <w:rFonts w:ascii="Calibri" w:hAnsi="Calibri"/>
          <w:b/>
          <w:i w:val="0"/>
          <w:color w:val="1B335F"/>
          <w:sz w:val="20"/>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pStyle w:val="Heading5"/>
        <w:keepNext/>
        <w:spacing w:after="60" w:before="160"/>
      </w:pPr>
      <w:r>
        <w:rPr>
          <w:rFonts w:ascii="Calibri" w:hAnsi="Calibri"/>
          <w:b/>
          <w:i w:val="0"/>
          <w:color w:val="1B335F"/>
          <w:sz w:val="20"/>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A complete 8/8 result is required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pStyle w:val="Heading5"/>
        <w:keepNext/>
        <w:spacing w:after="60" w:before="160"/>
      </w:pPr>
      <w:r>
        <w:rPr>
          <w:rFonts w:ascii="Calibri" w:hAnsi="Calibri"/>
          <w:b/>
          <w:i w:val="0"/>
          <w:color w:val="1B335F"/>
          <w:sz w:val="20"/>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equipment shall be removed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pStyle w:val="Heading5"/>
        <w:keepNext/>
        <w:spacing w:after="60" w:before="160"/>
      </w:pPr>
      <w:r>
        <w:rPr>
          <w:rFonts w:ascii="Calibri" w:hAnsi="Calibri"/>
          <w:b/>
          <w:i w:val="0"/>
          <w:color w:val="1B335F"/>
          <w:sz w:val="20"/>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Visual inspection of the sensors and protective mesh shall be carried out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Alarm-function testing, sensor recalibration/nulling, and inspection of flame paths and cover threads shall be carried out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Annual checks shall include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pStyle w:val="Heading5"/>
        <w:keepNext/>
        <w:spacing w:after="60" w:before="160"/>
      </w:pPr>
      <w:r>
        <w:rPr>
          <w:rFonts w:ascii="Calibri" w:hAnsi="Calibri"/>
          <w:b/>
          <w:i w:val="0"/>
          <w:color w:val="1B335F"/>
          <w:sz w:val="20"/>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pStyle w:val="Heading5"/>
        <w:keepNext/>
        <w:spacing w:after="60" w:before="160"/>
      </w:pPr>
      <w:r>
        <w:rPr>
          <w:rFonts w:ascii="Calibri" w:hAnsi="Calibri"/>
          <w:b/>
          <w:i w:val="0"/>
          <w:color w:val="1B335F"/>
          <w:sz w:val="20"/>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pStyle w:val="Heading5"/>
        <w:keepNext/>
        <w:spacing w:after="60" w:before="160"/>
      </w:pPr>
      <w:r>
        <w:rPr>
          <w:rFonts w:ascii="Calibri" w:hAnsi="Calibri"/>
          <w:b/>
          <w:i w:val="0"/>
          <w:color w:val="1B335F"/>
          <w:sz w:val="20"/>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pStyle w:val="Heading5"/>
        <w:keepNext/>
        <w:spacing w:after="60" w:before="160"/>
      </w:pPr>
      <w:r>
        <w:rPr>
          <w:rFonts w:ascii="Calibri" w:hAnsi="Calibri"/>
          <w:b/>
          <w:i w:val="0"/>
          <w:color w:val="1B335F"/>
          <w:sz w:val="20"/>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pStyle w:val="Heading5"/>
        <w:keepNext/>
        <w:spacing w:after="60" w:before="160"/>
      </w:pPr>
      <w:r>
        <w:rPr>
          <w:rFonts w:ascii="Calibri" w:hAnsi="Calibri"/>
          <w:b/>
          <w:i w:val="0"/>
          <w:color w:val="1B335F"/>
          <w:sz w:val="20"/>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pStyle w:val="Heading5"/>
        <w:keepNext/>
        <w:spacing w:after="60" w:before="160"/>
      </w:pPr>
      <w:r>
        <w:rPr>
          <w:rFonts w:ascii="Calibri" w:hAnsi="Calibri"/>
          <w:b/>
          <w:i w:val="0"/>
          <w:color w:val="1B335F"/>
          <w:sz w:val="20"/>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5"/>
        <w:keepNext/>
        <w:spacing w:after="60" w:before="160"/>
      </w:pPr>
      <w:r>
        <w:rPr>
          <w:rFonts w:ascii="Calibri" w:hAnsi="Calibri"/>
          <w:b/>
          <w:i w:val="0"/>
          <w:color w:val="1B335F"/>
          <w:sz w:val="20"/>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42" name="Picture 142"/>
            <wp:cNvGraphicFramePr>
              <a:graphicFrameLocks noChangeAspect="1"/>
            </wp:cNvGraphicFramePr>
            <a:graphic>
              <a:graphicData uri="http://schemas.openxmlformats.org/drawingml/2006/picture">
                <pic:pic>
                  <pic:nvPicPr>
                    <pic:cNvPr id="0" name="MS-06_terminal_wiring.png"/>
                    <pic:cNvPicPr/>
                  </pic:nvPicPr>
                  <pic:blipFill>
                    <a:blip r:embed="rId152"/>
                    <a:stretch>
                      <a:fillRect/>
                    </a:stretch>
                  </pic:blipFill>
                  <pic:spPr>
                    <a:xfrm>
                      <a:off x="0" y="0"/>
                      <a:ext cx="5669280" cy="3413426"/>
                    </a:xfrm>
                    <a:prstGeom prst="rect"/>
                  </pic:spPr>
                </pic:pic>
              </a:graphicData>
            </a:graphic>
          </wp:inline>
        </w:drawing>
      </w:r>
    </w:p>
    <w:p>
      <w:pPr>
        <w:pStyle w:val="GLDFigureTitle"/>
        <w:keepNext/>
        <w:spacing w:after="160" w:before="40"/>
        <w:jc w:val="center"/>
      </w:pPr>
      <w:r>
        <w:rPr>
          <w:rFonts w:ascii="Calibri" w:hAnsi="Calibri"/>
          <w:b/>
          <w:i w:val="0"/>
          <w:color w:val="1B335F"/>
          <w:sz w:val="17"/>
        </w:rPr>
        <w:t>MS-06 — Terminal block and field wiring, PCB cover (terminal board), GLD V4.</w:t>
      </w:r>
    </w:p>
    <w:p>
      <w:pPr>
        <w:pStyle w:val="Heading3"/>
      </w:pPr>
      <w:r>
        <w:t>2.6.h · Nameplate Information</w:t>
      </w:r>
    </w:p>
    <w:p>
      <w:pPr>
        <w:spacing w:after="160"/>
      </w:pPr>
      <w:r>
        <w:rPr>
          <w:b w:val="0"/>
          <w:i w:val="0"/>
          <w:sz w:val="21"/>
        </w:rPr>
        <w:t>The proposed nameplate content and artwork are given in Section 2.6.h.1 (gas atmospheres only, −20 °C ≤ Ta ≤ +60 °C). The certificate numbers, notified-body number and final marking are entered after certification.</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proposed content and artwork in Section 2.6.h.1.</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Plaza Summarecon Bekasi, Jl. Bulevar Ahmad Yani Kav. K.01, Level 7, Bekasi City, West Java 17143,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Specific marking of explosion protection (ATEX)</w:t>
            </w:r>
          </w:p>
        </w:tc>
        <w:tc>
          <w:tcPr>
            <w:tcW w:type="dxa" w:w="5184"/>
          </w:tcPr>
          <w:p>
            <w:pPr>
              <w:spacing w:after="20"/>
            </w:pPr>
            <w:r>
              <w:rPr>
                <w:sz w:val="16"/>
              </w:rPr>
              <w:t>⟨Ex⟩ hexagon, 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 entry thread (certified Ex d gland model TBC)</w:t>
            </w:r>
          </w:p>
        </w:tc>
        <w:tc>
          <w:tcPr>
            <w:tcW w:type="dxa" w:w="1872"/>
            <w:shd w:val="clear" w:fill="E3F1E6"/>
          </w:tcPr>
          <w:p>
            <w:pPr>
              <w:spacing w:after="20"/>
            </w:pPr>
            <w:r>
              <w:rPr>
                <w:b/>
                <w:sz w:val="16"/>
              </w:rPr>
              <w:t>Final (thread)</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5"/>
        <w:keepNext/>
        <w:spacing w:after="60" w:before="160"/>
      </w:pPr>
      <w:r>
        <w:rPr>
          <w:rFonts w:ascii="Calibri" w:hAnsi="Calibri"/>
          <w:b/>
          <w:i w:val="0"/>
          <w:color w:val="1B335F"/>
          <w:sz w:val="20"/>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43" name="Picture 143"/>
            <wp:cNvGraphicFramePr>
              <a:graphicFrameLocks noChangeAspect="1"/>
            </wp:cNvGraphicFramePr>
            <a:graphic>
              <a:graphicData uri="http://schemas.openxmlformats.org/drawingml/2006/picture">
                <pic:pic>
                  <pic:nvPicPr>
                    <pic:cNvPr id="0" name="MS-05_nameplate_proposed.png"/>
                    <pic:cNvPicPr/>
                  </pic:nvPicPr>
                  <pic:blipFill>
                    <a:blip r:embed="rId153"/>
                    <a:stretch>
                      <a:fillRect/>
                    </a:stretch>
                  </pic:blipFill>
                  <pic:spPr>
                    <a:xfrm>
                      <a:off x="0" y="0"/>
                      <a:ext cx="5669280" cy="3972566"/>
                    </a:xfrm>
                    <a:prstGeom prst="rect"/>
                  </pic:spPr>
                </pic:pic>
              </a:graphicData>
            </a:graphic>
          </wp:inline>
        </w:drawing>
      </w:r>
    </w:p>
    <w:p>
      <w:pPr>
        <w:pStyle w:val="GLDFigureTitle"/>
        <w:keepNext/>
        <w:spacing w:after="160" w:before="40"/>
        <w:jc w:val="center"/>
      </w:pPr>
      <w:r>
        <w:rPr>
          <w:rFonts w:ascii="Calibri" w:hAnsi="Calibri"/>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 The Ex-certified components required for the proposed Ex d construction are listed in Section 2.6.i.1.</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Pending certificates — required components listed in Section 2.6.i.1.</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multimeter, and oscilloscope/logic analyzer (battery source only if the battery path is retained, EX-17)</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pStyle w:val="Heading4"/>
        <w:keepNext/>
        <w:spacing w:after="60" w:before="160"/>
      </w:pPr>
      <w:r>
        <w:rPr>
          <w:rFonts w:ascii="Calibri" w:hAnsi="Calibri"/>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FFF4D6"/>
          </w:tcPr>
          <w:p>
            <w:pPr>
              <w:spacing w:after="20"/>
            </w:pPr>
            <w:r>
              <w:rPr>
                <w:b/>
                <w:sz w:val="16"/>
              </w:rPr>
              <w:t>Partial — main board available, schematic findings 1–3 open; sensor-module schematic missing</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FFF4D6"/>
          </w:tcPr>
          <w:p>
            <w:pPr>
              <w:spacing w:after="20"/>
            </w:pPr>
            <w:r>
              <w:rPr>
                <w:b/>
                <w:sz w:val="16"/>
              </w:rPr>
              <w:t>Partial — sample identified; fixture/test plan not yet executed</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Open, TBC or Pending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2.9</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i w:val="0"/>
      <w:color w:val="1A2B3D"/>
      <w:sz w:val="22"/>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val="0"/>
      <w:iCs/>
      <w:color w:val="1A2B3D"/>
      <w:sz w:val="21"/>
    </w:rPr>
  </w:style>
  <w:style w:type="paragraph" w:styleId="Heading5">
    <w:name w:val="heading 5"/>
    <w:basedOn w:val="Normal"/>
    <w:next w:val="Normal"/>
    <w:link w:val="Heading5Char"/>
    <w:uiPriority w:val="9"/>
    <w:semiHidden/>
    <w:unhideWhenUsed/>
    <w:qFormat/>
    <w:rsid w:val="00FC693F"/>
    <w:pPr>
      <w:keepNext/>
      <w:keepLines/>
      <w:spacing w:before="240" w:after="120"/>
      <w:outlineLvl w:val="4"/>
    </w:pPr>
    <w:rPr>
      <w:rFonts w:asciiTheme="majorHAnsi" w:eastAsiaTheme="majorEastAsia" w:hAnsiTheme="majorHAnsi" w:cstheme="majorBidi" w:ascii="Calibri" w:hAnsi="Calibri"/>
      <w:b/>
      <w:i w:val="0"/>
      <w:color w:val="1A2B3D"/>
      <w:sz w:val="20"/>
    </w:rPr>
  </w:style>
  <w:style w:type="paragraph" w:styleId="Heading6">
    <w:name w:val="heading 6"/>
    <w:basedOn w:val="Normal"/>
    <w:next w:val="Normal"/>
    <w:link w:val="Heading6Char"/>
    <w:uiPriority w:val="9"/>
    <w:semiHidden/>
    <w:unhideWhenUsed/>
    <w:qFormat/>
    <w:rsid w:val="00FC693F"/>
    <w:pPr>
      <w:keepNext/>
      <w:keepLines/>
      <w:spacing w:before="240" w:after="120"/>
      <w:outlineLvl w:val="5"/>
    </w:pPr>
    <w:rPr>
      <w:rFonts w:asciiTheme="majorHAnsi" w:eastAsiaTheme="majorEastAsia" w:hAnsiTheme="majorHAnsi" w:cstheme="majorBidi" w:ascii="Calibri" w:hAnsi="Calibri"/>
      <w:b/>
      <w:i w:val="0"/>
      <w:iCs/>
      <w:color w:val="1A2B3D"/>
      <w:sz w:val="1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ind w:left="0"/>
    </w:pPr>
    <w:rPr>
      <w:rFonts w:ascii="Calibri" w:hAnsi="Calibri"/>
      <w:b/>
      <w:sz w:val="20"/>
    </w:rPr>
  </w:style>
  <w:style w:type="paragraph" w:customStyle="1" w:styleId="TOC2">
    <w:name w:val="TOC 2"/>
    <w:pPr>
      <w:spacing w:before="0" w:after="0" w:line="240" w:lineRule="auto"/>
      <w:ind w:left="255"/>
    </w:pPr>
    <w:rPr>
      <w:rFonts w:ascii="Calibri" w:hAnsi="Calibri"/>
      <w:b w:val="0"/>
      <w:sz w:val="19"/>
    </w:rPr>
  </w:style>
  <w:style w:type="paragraph" w:customStyle="1" w:styleId="TOC3">
    <w:name w:val="TOC 3"/>
    <w:pPr>
      <w:spacing w:before="0" w:after="0" w:line="240" w:lineRule="auto"/>
      <w:ind w:left="510"/>
    </w:pPr>
    <w:rPr>
      <w:rFonts w:ascii="Calibri" w:hAnsi="Calibri"/>
      <w:b w:val="0"/>
      <w:sz w:val="18"/>
    </w:rPr>
  </w:style>
  <w:style w:type="paragraph" w:customStyle="1" w:styleId="TOC4">
    <w:name w:val="TOC 4"/>
    <w:pPr>
      <w:spacing w:before="0" w:after="0" w:line="240" w:lineRule="auto"/>
      <w:ind w:left="765"/>
    </w:pPr>
    <w:rPr>
      <w:rFonts w:ascii="Calibri" w:hAnsi="Calibri"/>
      <w:b w:val="0"/>
      <w:sz w:val="17"/>
    </w:rPr>
  </w:style>
  <w:style w:type="paragraph" w:customStyle="1" w:styleId="TOC5">
    <w:name w:val="TOC 5"/>
    <w:pPr>
      <w:spacing w:before="0" w:after="0" w:line="240" w:lineRule="auto"/>
      <w:ind w:left="1020"/>
    </w:pPr>
    <w:rPr>
      <w:rFonts w:ascii="Calibri" w:hAnsi="Calibri"/>
      <w:b w:val="0"/>
      <w:sz w:val="16"/>
    </w:rPr>
  </w:style>
  <w:style w:type="paragraph" w:customStyle="1" w:styleId="TOC6">
    <w:name w:val="TOC 6"/>
    <w:pPr>
      <w:spacing w:before="0" w:after="0"/>
      <w:ind w:left="0"/>
    </w:pPr>
    <w:rPr>
      <w:rFonts w:ascii="Calibri" w:hAnsi="Calibri"/>
      <w:sz w:val="17"/>
    </w:rPr>
  </w:style>
  <w:style w:type="paragraph" w:customStyle="1" w:styleId="GLDFigureTitle">
    <w:name w:val="GLD Figure Title"/>
    <w:basedOn w:val="Normal"/>
    <w:pPr>
      <w:keepNext/>
      <w:outlineLvl w:val="5"/>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