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GMI/GLD/IECEX-TDF/2026-001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1.7</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7 October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Applicant / Manufacturer</w:t>
            </w:r>
          </w:p>
        </w:tc>
        <w:tc>
          <w:tcPr>
            <w:tcW w:type="dxa" w:w="6480"/>
          </w:tcPr>
          <w:p>
            <w:pPr>
              <w:spacing w:after="40"/>
            </w:pPr>
            <w:r>
              <w:rPr>
                <w:sz w:val="20"/>
              </w:rPr>
              <w:t>PT Galaksi Megatama Indonesia</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tc>
          <w:tcPr>
            <w:tcW w:type="dxa" w:w="1296"/>
          </w:tcPr>
          <w:p>
            <w:pPr>
              <w:spacing w:after="40"/>
            </w:pPr>
            <w:r>
              <w:rPr>
                <w:sz w:val="19"/>
              </w:rPr>
              <w:t>0.4</w:t>
            </w:r>
          </w:p>
        </w:tc>
        <w:tc>
          <w:tcPr>
            <w:tcW w:type="dxa" w:w="1872"/>
          </w:tcPr>
          <w:p>
            <w:pPr>
              <w:spacing w:after="40"/>
            </w:pPr>
            <w:r>
              <w:rPr>
                <w:sz w:val="19"/>
              </w:rPr>
              <w:t>22 September 2026</w:t>
            </w:r>
          </w:p>
        </w:tc>
        <w:tc>
          <w:tcPr>
            <w:tcW w:type="dxa" w:w="6192"/>
          </w:tcPr>
          <w:p>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tc>
          <w:tcPr>
            <w:tcW w:type="dxa" w:w="1296"/>
          </w:tcPr>
          <w:p>
            <w:pPr>
              <w:spacing w:after="40"/>
            </w:pPr>
            <w:r>
              <w:rPr>
                <w:sz w:val="19"/>
              </w:rPr>
              <w:t>0.5</w:t>
            </w:r>
          </w:p>
        </w:tc>
        <w:tc>
          <w:tcPr>
            <w:tcW w:type="dxa" w:w="1872"/>
          </w:tcPr>
          <w:p>
            <w:pPr>
              <w:spacing w:after="40"/>
            </w:pPr>
            <w:r>
              <w:rPr>
                <w:sz w:val="19"/>
              </w:rPr>
              <w:t>22 September 2026</w:t>
            </w:r>
          </w:p>
        </w:tc>
        <w:tc>
          <w:tcPr>
            <w:tcW w:type="dxa" w:w="6192"/>
          </w:tcPr>
          <w:p>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tc>
          <w:tcPr>
            <w:tcW w:type="dxa" w:w="1296"/>
          </w:tcPr>
          <w:p>
            <w:pPr>
              <w:spacing w:after="40"/>
            </w:pPr>
            <w:r>
              <w:rPr>
                <w:sz w:val="19"/>
              </w:rPr>
              <w:t>0.6</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 is unaffected). “GLD V2 (Version 2)” simplified to “GLD V2”.</w:t>
            </w:r>
          </w:p>
        </w:tc>
      </w:tr>
      <w:tr>
        <w:tc>
          <w:tcPr>
            <w:tcW w:type="dxa" w:w="1296"/>
          </w:tcPr>
          <w:p>
            <w:pPr>
              <w:spacing w:after="40"/>
            </w:pPr>
            <w:r>
              <w:rPr>
                <w:sz w:val="19"/>
              </w:rPr>
              <w:t>0.7</w:t>
            </w:r>
          </w:p>
        </w:tc>
        <w:tc>
          <w:tcPr>
            <w:tcW w:type="dxa" w:w="1872"/>
          </w:tcPr>
          <w:p>
            <w:pPr>
              <w:spacing w:after="40"/>
            </w:pPr>
            <w:r>
              <w:rPr>
                <w:sz w:val="19"/>
              </w:rPr>
              <w:t>22 September 2026</w:t>
            </w:r>
          </w:p>
        </w:tc>
        <w:tc>
          <w:tcPr>
            <w:tcW w:type="dxa" w:w="6192"/>
          </w:tcPr>
          <w:p>
            <w:pPr>
              <w:spacing w:after="40"/>
            </w:pPr>
            <w:r>
              <w:rPr>
                <w:sz w:val="19"/>
              </w:rPr>
              <w:t>“L-bracket” terminology corrected throughout to “U-bolt mounting plate” (Sections 2.1, 2.3.c, 2.6.g), matching the actual CAD drawing (a flat 250×250 mm plate secured by 2× U-bolts — not an angled/L-shaped bracket).</w:t>
            </w:r>
          </w:p>
        </w:tc>
      </w:tr>
      <w:tr>
        <w:tc>
          <w:tcPr>
            <w:tcW w:type="dxa" w:w="1296"/>
          </w:tcPr>
          <w:p>
            <w:pPr>
              <w:spacing w:after="40"/>
            </w:pPr>
            <w:r>
              <w:rPr>
                <w:sz w:val="19"/>
              </w:rPr>
              <w:t>0.8</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(Sections 2.3.c, 2.5) updated to 2.378 kg, −20°C to +60°C, and 5–95% RH respectively, per current project specification data.</w:t>
            </w:r>
          </w:p>
        </w:tc>
      </w:tr>
      <w:tr>
        <w:tc>
          <w:tcPr>
            <w:tcW w:type="dxa" w:w="1296"/>
          </w:tcPr>
          <w:p>
            <w:pPr>
              <w:spacing w:after="40"/>
            </w:pPr>
            <w:r>
              <w:rPr>
                <w:sz w:val="19"/>
              </w:rPr>
              <w:t>0.9</w:t>
            </w:r>
          </w:p>
        </w:tc>
        <w:tc>
          <w:tcPr>
            <w:tcW w:type="dxa" w:w="1872"/>
          </w:tcPr>
          <w:p>
            <w:pPr>
              <w:spacing w:after="40"/>
            </w:pPr>
            <w:r>
              <w:rPr>
                <w:sz w:val="19"/>
              </w:rPr>
              <w:t>25 September 2026</w:t>
            </w:r>
          </w:p>
        </w:tc>
        <w:tc>
          <w:tcPr>
            <w:tcW w:type="dxa" w:w="6192"/>
          </w:tcPr>
          <w:p>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tc>
          <w:tcPr>
            <w:tcW w:type="dxa" w:w="1296"/>
          </w:tcPr>
          <w:p>
            <w:pPr>
              <w:spacing w:after="40"/>
            </w:pPr>
            <w:r>
              <w:rPr>
                <w:sz w:val="19"/>
              </w:rPr>
              <w:t>1.0</w:t>
            </w:r>
          </w:p>
        </w:tc>
        <w:tc>
          <w:tcPr>
            <w:tcW w:type="dxa" w:w="1872"/>
          </w:tcPr>
          <w:p>
            <w:pPr>
              <w:spacing w:after="40"/>
            </w:pPr>
            <w:r>
              <w:rPr>
                <w:sz w:val="19"/>
              </w:rPr>
              <w:t>25 September 2026</w:t>
            </w:r>
          </w:p>
        </w:tc>
        <w:tc>
          <w:tcPr>
            <w:tcW w:type="dxa" w:w="6192"/>
          </w:tcPr>
          <w:p>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tc>
          <w:tcPr>
            <w:tcW w:type="dxa" w:w="1296"/>
          </w:tcPr>
          <w:p>
            <w:pPr>
              <w:spacing w:after="40"/>
            </w:pPr>
            <w:r>
              <w:rPr>
                <w:sz w:val="19"/>
              </w:rPr>
              <w:t>1.1</w:t>
            </w:r>
          </w:p>
        </w:tc>
        <w:tc>
          <w:tcPr>
            <w:tcW w:type="dxa" w:w="1872"/>
          </w:tcPr>
          <w:p>
            <w:pPr>
              <w:spacing w:after="40"/>
            </w:pPr>
            <w:r>
              <w:rPr>
                <w:sz w:val="19"/>
              </w:rPr>
              <w:t>25 September 2026</w:t>
            </w:r>
          </w:p>
        </w:tc>
        <w:tc>
          <w:tcPr>
            <w:tcW w:type="dxa" w:w="6192"/>
          </w:tcPr>
          <w:p>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tc>
          <w:tcPr>
            <w:tcW w:type="dxa" w:w="1296"/>
          </w:tcPr>
          <w:p>
            <w:pPr>
              <w:spacing w:after="40"/>
            </w:pPr>
            <w:r>
              <w:rPr>
                <w:sz w:val="19"/>
              </w:rPr>
              <w:t>1.2</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ExCB decision.</w:t>
            </w:r>
          </w:p>
        </w:tc>
      </w:tr>
      <w:tr>
        <w:tc>
          <w:tcPr>
            <w:tcW w:type="dxa" w:w="1296"/>
          </w:tcPr>
          <w:p>
            <w:pPr>
              <w:spacing w:after="40"/>
            </w:pPr>
            <w:r>
              <w:rPr>
                <w:sz w:val="19"/>
              </w:rPr>
              <w:t>1.3</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throughout the document (document number prefix changed to GMI/...). The separate “design and development authority” and “technical partner” entries were removed (Sections 1.1, 1.3, 2.2, letterhead, Document Control); narrative passages describing electronics design/engineering work were made generic rather than deleted, to avoid implying the Manufacturer performed work it did not.</w:t>
            </w:r>
          </w:p>
        </w:tc>
      </w:tr>
      <w:tr>
        <w:tc>
          <w:tcPr>
            <w:tcW w:type="dxa" w:w="1296"/>
          </w:tcPr>
          <w:p>
            <w:pPr>
              <w:spacing w:after="40"/>
            </w:pPr>
            <w:r>
              <w:rPr>
                <w:sz w:val="19"/>
              </w:rPr>
              <w:t>1.4</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(eight thermocouple channels; normal, maximum-load and fan-stalled conditions; 180 minutes each), including extrapolation to the +60°C maximum ambient: highest value ≈114°C (MQ sensor body, fan stalled) against an effective T4 limit of 130°C. Status raised from Not yet available to Partially available; open measurement items listed. Sections 1.1 and 2.5 temperature-class remarks updated accordingly.</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 including the protection-device list, grounding description and open verification items. Schematic status raised to Available; PCB layout remains Partially available.</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Section 2.6.a: the “GLD ATEX CASE v3” dimensioned enclosure drawing and the BP18-1Z supplier reference drawing are now reproduced as figures, and a new Section 2.6.a.1 adds the complete mechanical, enclosure and assembly drawing set (ATEX CASING v2 sheet and six CAD views, all seven GLD ATEX CASE v3 sheets, BP18-1Z, component/structure/terminal/grounding drawings, assembly sequence and MQ sensor dimension drawings) with a drawing register.</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3.1/3.3–3.4 sample register (GLD2-0x1001) and fixtures; Annex compliance matrix.</w:t>
            </w:r>
          </w:p>
        </w:tc>
      </w:tr>
    </w:tbl>
    <w:p>
      <w:r>
        <w:br w:type="page"/>
      </w:r>
    </w:p>
    <w:p>
      <w:pPr>
        <w:spacing w:after="80"/>
      </w:pPr>
      <w:r>
        <w:rPr>
          <w:b/>
          <w:i w:val="0"/>
          <w:color w:val="1A2B3D"/>
          <w:sz w:val="24"/>
        </w:rPr>
        <w:t>Table of Contents</w:t>
      </w:r>
    </w:p>
    <w:p>
      <w:r>
        <w:fldChar w:fldCharType="begin"/>
        <w:instrText xml:space="preserve">TOC \o "1-3" \h \z \u</w:instrText>
      </w:r>
      <w:r>
        <w:fldChar w:fldCharType="separate"/>
      </w:r>
      <w:r>
        <w:t>Right-click and choose Update Field to generate the table of contents.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manufacturer throughout this document. This attribution reflects a working decision recorded 28 September 2026 based on PT Galaksi's legal documents (deed of establishment, NIB, NPWP, MOLHR ratification decree, tax registration certificate) supplied to the authors — it has not yet been confirmed directly with the company's officers as the final arrangement for the ExCB submission and should be verified before formal filing.</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B02A37"/>
                <w:sz w:val="19"/>
              </w:rPr>
              <w:t>Template not yet received</w:t>
            </w:r>
          </w:p>
        </w:tc>
        <w:tc>
          <w:tcPr>
            <w:tcW w:type="dxa" w:w="2880"/>
          </w:tcPr>
          <w:p>
            <w:pPr>
              <w:spacing w:after="40"/>
            </w:pPr>
            <w:r>
              <w:rPr>
                <w:sz w:val="19"/>
              </w:rPr>
              <w:t>Issued by the ExCB</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56A1E"/>
                <w:sz w:val="19"/>
              </w:rPr>
              <w:t>Partially available</w:t>
            </w:r>
          </w:p>
        </w:tc>
        <w:tc>
          <w:tcPr>
            <w:tcW w:type="dxa" w:w="2880"/>
          </w:tcPr>
          <w:p>
            <w:pPr>
              <w:spacing w:after="40"/>
            </w:pPr>
            <w:r>
              <w:rPr>
                <w:sz w:val="19"/>
              </w:rPr>
              <w:t>Manufacturer (PT Galaksi Megatama Indonesia) — legal documents now on file; a few particulars still open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56A1E"/>
                <w:sz w:val="19"/>
              </w:rPr>
              <w:t>Partially available</w:t>
            </w:r>
          </w:p>
        </w:tc>
        <w:tc>
          <w:tcPr>
            <w:tcW w:type="dxa" w:w="2880"/>
          </w:tcPr>
          <w:p>
            <w:pPr>
              <w:spacing w:after="40"/>
            </w:pPr>
            <w:r>
              <w:rPr>
                <w:sz w:val="19"/>
              </w:rPr>
              <w:t>Manufacturer — Board of Directors/Commissioners names known from the deed; a full org chart and named ExCB contacts remain to be provided</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Manufacturer's registered office and production-site addresses now on file; floor profile, process capability, and quality system still pending</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02A37"/>
                <w:sz w:val="19"/>
              </w:rPr>
              <w:t>To be confirmed</w:t>
            </w:r>
          </w:p>
        </w:tc>
        <w:tc>
          <w:tcPr>
            <w:tcW w:type="dxa" w:w="2880"/>
          </w:tcPr>
          <w:p>
            <w:pPr>
              <w:spacing w:after="40"/>
            </w:pPr>
            <w:r>
              <w:rPr>
                <w:sz w:val="19"/>
              </w:rPr>
              <w:t>Manufacturer — quality function</w:t>
            </w:r>
          </w:p>
        </w:tc>
      </w:tr>
    </w:tbl>
    <w:p>
      <w:pPr>
        <w:spacing w:after="40"/>
      </w:pPr>
    </w:p>
    <w:p>
      <w:pPr>
        <w:pStyle w:val="Heading2"/>
      </w:pPr>
      <w:r>
        <w:t>1.1 · Application Form</w:t>
      </w:r>
    </w:p>
    <w:p>
      <w:pPr>
        <w:spacing w:after="160"/>
      </w:pPr>
      <w:r>
        <w:rPr>
          <w:b w:val="0"/>
          <w:i w:val="0"/>
          <w:sz w:val="21"/>
        </w:rP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Galaksi Megatama Indonesia</w:t>
            </w:r>
          </w:p>
        </w:tc>
        <w:tc>
          <w:tcPr>
            <w:tcW w:type="dxa" w:w="2160"/>
          </w:tcPr>
          <w:p>
            <w:pPr>
              <w:spacing w:after="40"/>
            </w:pPr>
            <w:r>
              <w:rPr>
                <w:b/>
                <w:color w:val="149174"/>
                <w:sz w:val="19"/>
              </w:rPr>
              <w:t>Confirmed</w:t>
            </w:r>
          </w:p>
        </w:tc>
        <w:tc>
          <w:tcPr>
            <w:tcW w:type="dxa" w:w="2304"/>
          </w:tcPr>
          <w:p>
            <w:pPr>
              <w:spacing w:after="40"/>
            </w:pPr>
            <w:r>
              <w:rPr>
                <w:sz w:val="19"/>
              </w:rPr>
              <w:t>Section 1.2</w:t>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preliminary internal measurement supports it; formal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Ex d — flameproof enclosure</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IEC 60079-1 (flameproof enclosures “d”)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Galaksi Megatama Indonesia.</w:t>
            </w:r>
          </w:p>
        </w:tc>
      </w:tr>
      <w:tr>
        <w:trPr>
          <w:cantSplit/>
        </w:trPr>
        <w:tc>
          <w:tcPr>
            <w:tcW w:type="dxa" w:w="3024"/>
          </w:tcPr>
          <w:p>
            <w:pPr>
              <w:spacing w:after="40"/>
            </w:pPr>
            <w:r>
              <w:rPr>
                <w:b/>
                <w:sz w:val="19"/>
              </w:rPr>
              <w:t>Legal form and shareholding status</w:t>
            </w:r>
          </w:p>
        </w:tc>
        <w:tc>
          <w:tcPr>
            <w:tcW w:type="dxa" w:w="1872"/>
          </w:tcPr>
          <w:p>
            <w:pPr>
              <w:spacing w:after="40"/>
            </w:pPr>
            <w:r>
              <w:rPr>
                <w:b/>
                <w:color w:val="149174"/>
                <w:sz w:val="19"/>
              </w:rPr>
              <w:t>Available</w:t>
            </w:r>
          </w:p>
        </w:tc>
        <w:tc>
          <w:tcPr>
            <w:tcW w:type="dxa" w:w="4464"/>
          </w:tcPr>
          <w:p>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trPr>
          <w:cantSplit/>
        </w:trPr>
        <w:tc>
          <w:tcPr>
            <w:tcW w:type="dxa" w:w="3024"/>
          </w:tcPr>
          <w:p>
            <w:pPr>
              <w:spacing w:after="40"/>
            </w:pPr>
            <w:r>
              <w:rPr>
                <w:b/>
                <w:sz w:val="19"/>
              </w:rPr>
              <w:t>Business registration number</w:t>
            </w:r>
          </w:p>
        </w:tc>
        <w:tc>
          <w:tcPr>
            <w:tcW w:type="dxa" w:w="1872"/>
          </w:tcPr>
          <w:p>
            <w:pPr>
              <w:spacing w:after="40"/>
            </w:pPr>
            <w:r>
              <w:rPr>
                <w:b/>
                <w:color w:val="149174"/>
                <w:sz w:val="19"/>
              </w:rPr>
              <w:t>Available</w:t>
            </w:r>
          </w:p>
        </w:tc>
        <w:tc>
          <w:tcPr>
            <w:tcW w:type="dxa" w:w="4464"/>
          </w:tcPr>
          <w:p>
            <w:pPr>
              <w:spacing w:after="40"/>
            </w:pPr>
            <w:r>
              <w:rPr>
                <w:sz w:val="19"/>
              </w:rPr>
              <w:t>NIB (Business Identification Number) 0510220020593, issued 5 Oct 2022 under Indonesia's risk-based business licensing (OSS) system.</w:t>
            </w:r>
          </w:p>
        </w:tc>
      </w:tr>
      <w:tr>
        <w:trPr>
          <w:cantSplit/>
        </w:trPr>
        <w:tc>
          <w:tcPr>
            <w:tcW w:type="dxa" w:w="3024"/>
          </w:tcPr>
          <w:p>
            <w:pPr>
              <w:spacing w:after="40"/>
            </w:pPr>
            <w:r>
              <w:rPr>
                <w:b/>
                <w:sz w:val="19"/>
              </w:rPr>
              <w:t>Taxpayer identification number</w:t>
            </w:r>
          </w:p>
        </w:tc>
        <w:tc>
          <w:tcPr>
            <w:tcW w:type="dxa" w:w="1872"/>
          </w:tcPr>
          <w:p>
            <w:pPr>
              <w:spacing w:after="40"/>
            </w:pPr>
            <w:r>
              <w:rPr>
                <w:b/>
                <w:color w:val="149174"/>
                <w:sz w:val="19"/>
              </w:rPr>
              <w:t>Available</w:t>
            </w:r>
          </w:p>
        </w:tc>
        <w:tc>
          <w:tcPr>
            <w:tcW w:type="dxa" w:w="4464"/>
          </w:tcPr>
          <w:p>
            <w:pPr>
              <w:spacing w:after="40"/>
            </w:pPr>
            <w:r>
              <w:rPr>
                <w:sz w:val="19"/>
              </w:rPr>
              <w:t>NPWP 61.126.496.1-427.000 (16-digit: 0611264961427000), Tax Service Office of Pratama West Bekasi, registered 29 Sep 2022.</w:t>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56A1E"/>
                <w:sz w:val="19"/>
              </w:rPr>
              <w:t>Partially available</w:t>
            </w:r>
          </w:p>
        </w:tc>
        <w:tc>
          <w:tcPr>
            <w:tcW w:type="dxa" w:w="4464"/>
          </w:tcPr>
          <w:p>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trPr>
          <w:cantSplit/>
        </w:trPr>
        <w:tc>
          <w:tcPr>
            <w:tcW w:type="dxa" w:w="3024"/>
          </w:tcPr>
          <w:p>
            <w:pPr>
              <w:spacing w:after="40"/>
            </w:pPr>
            <w:r>
              <w:rPr>
                <w:b/>
                <w:sz w:val="19"/>
              </w:rPr>
              <w:t>Registered (domicile) address</w:t>
            </w:r>
          </w:p>
        </w:tc>
        <w:tc>
          <w:tcPr>
            <w:tcW w:type="dxa" w:w="1872"/>
          </w:tcPr>
          <w:p>
            <w:pPr>
              <w:spacing w:after="40"/>
            </w:pPr>
            <w:r>
              <w:rPr>
                <w:b/>
                <w:color w:val="149174"/>
                <w:sz w:val="19"/>
              </w:rPr>
              <w:t>Available</w:t>
            </w:r>
          </w:p>
        </w:tc>
        <w:tc>
          <w:tcPr>
            <w:tcW w:type="dxa" w:w="4464"/>
          </w:tcPr>
          <w:p>
            <w:pPr>
              <w:spacing w:after="40"/>
            </w:pPr>
            <w:r>
              <w:rPr>
                <w:sz w:val="19"/>
              </w:rPr>
              <w:t>Plaza Summarecon Bekasi, Jl. Bulevar Ahmad Yani Kav. K.01, Level 7, Harapanmulya Village, Medansatria Sub-district, Bekasi City, West Java, Postal Code 17143.</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56A1E"/>
                <w:sz w:val="19"/>
              </w:rPr>
              <w:t>Partially available</w:t>
            </w:r>
          </w:p>
        </w:tc>
        <w:tc>
          <w:tcPr>
            <w:tcW w:type="dxa" w:w="4464"/>
          </w:tcPr>
          <w:p>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149174"/>
                <w:sz w:val="19"/>
              </w:rPr>
              <w:t>Available</w:t>
            </w:r>
          </w:p>
        </w:tc>
        <w:tc>
          <w:tcPr>
            <w:tcW w:type="dxa" w:w="4464"/>
          </w:tcPr>
          <w:p>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56A1E"/>
                <w:sz w:val="19"/>
              </w:rPr>
              <w:t>Partially available</w:t>
            </w:r>
          </w:p>
        </w:tc>
        <w:tc>
          <w:tcPr>
            <w:tcW w:type="dxa" w:w="4464"/>
          </w:tcPr>
          <w:p>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trPr>
          <w:cantSplit/>
        </w:trPr>
        <w:tc>
          <w:tcPr>
            <w:tcW w:type="dxa" w:w="3024"/>
          </w:tcPr>
          <w:p>
            <w:pPr>
              <w:spacing w:after="40"/>
            </w:pPr>
            <w:r>
              <w:rPr>
                <w:b/>
                <w:sz w:val="19"/>
              </w:rPr>
              <w:t>Board of Directors and Board of Commissioners</w:t>
            </w:r>
          </w:p>
        </w:tc>
        <w:tc>
          <w:tcPr>
            <w:tcW w:type="dxa" w:w="1872"/>
          </w:tcPr>
          <w:p>
            <w:pPr>
              <w:spacing w:after="40"/>
            </w:pPr>
            <w:r>
              <w:rPr>
                <w:b/>
                <w:color w:val="149174"/>
                <w:sz w:val="19"/>
              </w:rPr>
              <w:t>Available</w:t>
            </w:r>
          </w:p>
        </w:tc>
        <w:tc>
          <w:tcPr>
            <w:tcW w:type="dxa" w:w="4464"/>
          </w:tcPr>
          <w:p>
            <w:pPr>
              <w:spacing w:after="40"/>
            </w:pPr>
            <w:r>
              <w:rPr>
                <w:sz w:val="19"/>
              </w:rPr>
              <w:t>President Director: Nur Rohman. Director: Antonius Prasetyo. Commissioner: Crisa Andi Sujatmiko. (Deed No. 52, 22 Sep 2022.)</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56A1E"/>
                <w:sz w:val="19"/>
              </w:rPr>
              <w:t>To be confirmed</w:t>
            </w:r>
          </w:p>
        </w:tc>
        <w:tc>
          <w:tcPr>
            <w:tcW w:type="dxa" w:w="4464"/>
          </w:tcPr>
          <w:p>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trPr>
          <w:cantSplit/>
        </w:trPr>
        <w:tc>
          <w:tcPr>
            <w:tcW w:type="dxa" w:w="3024"/>
          </w:tcPr>
          <w:p>
            <w:pPr>
              <w:spacing w:after="40"/>
            </w:pPr>
            <w:r>
              <w:rPr>
                <w:b/>
                <w:sz w:val="19"/>
              </w:rPr>
              <w:t>Certification project contact</w:t>
            </w:r>
          </w:p>
        </w:tc>
        <w:tc>
          <w:tcPr>
            <w:tcW w:type="dxa" w:w="1872"/>
          </w:tcPr>
          <w:p>
            <w:pPr>
              <w:spacing w:after="40"/>
            </w:pPr>
            <w:r>
              <w:rPr>
                <w:b/>
                <w:color w:val="B02A37"/>
                <w:sz w:val="19"/>
              </w:rPr>
              <w:t>To be provided</w:t>
            </w:r>
          </w:p>
        </w:tc>
        <w:tc>
          <w:tcPr>
            <w:tcW w:type="dxa" w:w="4464"/>
          </w:tcPr>
          <w:p>
            <w:pPr>
              <w:spacing w:after="40"/>
            </w:pPr>
            <w:r>
              <w:rPr>
                <w:sz w:val="19"/>
              </w:rPr>
              <w:t>Name, position, e-mail, and telephone — the single point of contact for ExCB correspondence.</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Manufacturer's registered office and production sites</w:t>
            </w:r>
          </w:p>
        </w:tc>
        <w:tc>
          <w:tcPr>
            <w:tcW w:type="dxa" w:w="1872"/>
          </w:tcPr>
          <w:p>
            <w:pPr>
              <w:spacing w:after="40"/>
            </w:pPr>
            <w:r>
              <w:rPr>
                <w:b/>
                <w:color w:val="149174"/>
                <w:sz w:val="19"/>
              </w:rPr>
              <w:t>Available</w:t>
            </w:r>
          </w:p>
        </w:tc>
        <w:tc>
          <w:tcPr>
            <w:tcW w:type="dxa" w:w="4464"/>
          </w:tcPr>
          <w:p>
            <w:pPr>
              <w:spacing w:after="40"/>
            </w:pPr>
            <w:r>
              <w:rPr>
                <w:sz w:val="19"/>
              </w:rPr>
              <w:t>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This confirms a licensed general metal-fabrication business — it is not an Ex-certified enclosure manufacturer license, and no ISO 9001 or Ex-specific quality certificate has been supplied.</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56A1E"/>
                <w:sz w:val="19"/>
              </w:rPr>
              <w:t>Partially available</w:t>
            </w:r>
          </w:p>
        </w:tc>
        <w:tc>
          <w:tcPr>
            <w:tcW w:type="dxa" w:w="4464"/>
          </w:tcPr>
          <w:p>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02A37"/>
                <w:sz w:val="19"/>
              </w:rPr>
              <w:t>To be confirmed</w:t>
            </w:r>
          </w:p>
        </w:tc>
        <w:tc>
          <w:tcPr>
            <w:tcW w:type="dxa" w:w="4464"/>
          </w:tcPr>
          <w:p>
            <w:pPr>
              <w:spacing w:after="40"/>
            </w:pPr>
            <w:r>
              <w:rPr>
                <w:sz w:val="19"/>
              </w:rPr>
              <w:t>Whether the manufacturer currently holds certification and, if so, the certificate number, scope, issuing body, and validity period.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current production power configuration is continuous 24 VDC, supplied via an AC/DC adapter connected to the site electrical supply. A portable battery power path (Li-ion 18650) remains under development (R&amp;D) and has not become a deployed production configuration.</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Galaksi Megatama Indonesia</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Acquisition of 8-channel gas sensor data and LoRa transmission</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(ADC12 die-cast) + stainless steel</w:t>
            </w:r>
          </w:p>
        </w:tc>
      </w:tr>
    </w:tbl>
    <w:p>
      <w:pPr>
        <w:spacing w:after="120"/>
      </w:pPr>
    </w:p>
    <w:p>
      <w:pPr>
        <w:spacing w:after="160"/>
      </w:pPr>
      <w:r>
        <w:rPr>
          <w:b w:val="0"/>
          <w:i/>
          <w:color w:val="4A4A4A"/>
          <w:sz w:val="18"/>
        </w:rPr>
        <w:t>Source: official product technical datasheet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 the alarm-push pathway has been successfully tested on a campus mesh network (field validation at a production refinery installation is still pending).</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w:t>
            </w:r>
          </w:p>
        </w:tc>
        <w:tc>
          <w:tcPr>
            <w:tcW w:type="dxa" w:w="2160"/>
          </w:tcPr>
          <w:p>
            <w:pPr>
              <w:spacing w:after="40"/>
            </w:pPr>
            <w:r>
              <w:rPr>
                <w:sz w:val="19"/>
              </w:rPr>
              <w:t>220 VAC, 50 Hz</w:t>
            </w:r>
          </w:p>
        </w:tc>
        <w:tc>
          <w:tcPr>
            <w:tcW w:type="dxa" w:w="1584"/>
          </w:tcPr>
          <w:p>
            <w:pPr>
              <w:spacing w:after="40"/>
            </w:pPr>
            <w:r>
              <w:rPr>
                <w:b/>
                <w:color w:val="149174"/>
                <w:sz w:val="19"/>
              </w:rPr>
              <w:t>Final</w:t>
            </w:r>
          </w:p>
        </w:tc>
        <w:tc>
          <w:tcPr>
            <w:tcW w:type="dxa" w:w="3312"/>
          </w:tcPr>
          <w:p>
            <w:pPr>
              <w:spacing w:after="40"/>
            </w:pPr>
            <w:r>
              <w:rPr>
                <w:sz w:val="19"/>
              </w:rPr>
              <w:t>Compliant with the Indonesian national electrical grid standard (PLN).</w:t>
            </w:r>
          </w:p>
        </w:tc>
      </w:tr>
      <w:tr>
        <w:trPr>
          <w:cantSplit/>
        </w:trPr>
        <w:tc>
          <w:tcPr>
            <w:tcW w:type="dxa" w:w="2304"/>
          </w:tcPr>
          <w:p>
            <w:pPr>
              <w:spacing w:after="40"/>
            </w:pPr>
            <w:r>
              <w:rPr>
                <w:b/>
                <w:sz w:val="19"/>
              </w:rPr>
              <w:t>AC/DC adapter output</w:t>
            </w:r>
          </w:p>
        </w:tc>
        <w:tc>
          <w:tcPr>
            <w:tcW w:type="dxa" w:w="2160"/>
          </w:tcPr>
          <w:p>
            <w:pPr>
              <w:spacing w:after="40"/>
            </w:pPr>
            <w:r>
              <w:rPr>
                <w:sz w:val="19"/>
              </w:rPr>
              <w:t>24 VDC</w:t>
            </w:r>
          </w:p>
        </w:tc>
        <w:tc>
          <w:tcPr>
            <w:tcW w:type="dxa" w:w="1584"/>
          </w:tcPr>
          <w:p>
            <w:pPr>
              <w:spacing w:after="40"/>
            </w:pPr>
            <w:r>
              <w:rPr>
                <w:b/>
                <w:color w:val="149174"/>
                <w:sz w:val="19"/>
              </w:rPr>
              <w:t>Final</w:t>
            </w:r>
          </w:p>
        </w:tc>
        <w:tc>
          <w:tcPr>
            <w:tcW w:type="dxa" w:w="3312"/>
          </w:tcPr>
          <w:p>
            <w:pPr>
              <w:spacing w:after="40"/>
            </w:pPr>
            <w:r>
              <w:rPr>
                <w:sz w:val="19"/>
              </w:rPr>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Equipment boundary (mains exposure)</w:t>
            </w:r>
          </w:p>
        </w:tc>
        <w:tc>
          <w:tcPr>
            <w:tcW w:type="dxa" w:w="2160"/>
          </w:tcPr>
          <w:p>
            <w:pPr>
              <w:spacing w:after="40"/>
            </w:pPr>
            <w:r>
              <w:rPr>
                <w:sz w:val="19"/>
              </w:rPr>
              <w:t>None — 24 VDC only</w:t>
            </w:r>
          </w:p>
        </w:tc>
        <w:tc>
          <w:tcPr>
            <w:tcW w:type="dxa" w:w="1584"/>
          </w:tcPr>
          <w:p>
            <w:pPr>
              <w:spacing w:after="40"/>
            </w:pPr>
            <w:r>
              <w:rPr>
                <w:b/>
                <w:color w:val="149174"/>
                <w:sz w:val="19"/>
              </w:rPr>
              <w:t>Final</w:t>
            </w:r>
          </w:p>
        </w:tc>
        <w:tc>
          <w:tcPr>
            <w:tcW w:type="dxa" w:w="3312"/>
          </w:tcPr>
          <w:p>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continuous-power configuration. The battery (R&amp;D) configuration is recorded separately at 5.75 W — a different operating mode, not a data conflict.</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The rail and circuit role of each device are now tabulated from the released schematic (Section 2.6.a.7). Two points remain to be confirmed there: the voltage rating of F1/F2 on the 24 V line, and whether the input P-channel MOSFETs are intended to provide reverse-polarity protection.</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sensing element directly exposed to ambient air.</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 MHz</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17 dBm</w:t>
            </w:r>
          </w:p>
        </w:tc>
        <w:tc>
          <w:tcPr>
            <w:tcW w:type="dxa" w:w="1584"/>
          </w:tcPr>
          <w:p>
            <w:pPr>
              <w:spacing w:after="40"/>
            </w:pPr>
            <w:r>
              <w:rPr>
                <w:b/>
                <w:color w:val="149174"/>
                <w:sz w:val="19"/>
              </w:rPr>
              <w:t>Final</w:t>
            </w:r>
          </w:p>
        </w:tc>
        <w:tc>
          <w:tcPr>
            <w:tcW w:type="dxa" w:w="3168"/>
          </w:tcPr>
          <w:p>
            <w:pPr>
              <w:spacing w:after="40"/>
            </w:pPr>
            <w:r>
              <w:rPr>
                <w:sz w:val="19"/>
              </w:rPr>
              <w:t>The radio module supports up to 22 dBm — 17 dBm is an operational configuration, not the module's maximum limit.</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(ADC12 die-cast) + stainless steel</w:t>
            </w:r>
          </w:p>
        </w:tc>
        <w:tc>
          <w:tcPr>
            <w:tcW w:type="dxa" w:w="1584"/>
          </w:tcPr>
          <w:p>
            <w:pPr>
              <w:spacing w:after="40"/>
            </w:pPr>
            <w:r>
              <w:rPr>
                <w:b/>
                <w:color w:val="149174"/>
                <w:sz w:val="19"/>
              </w:rPr>
              <w:t>Final</w:t>
            </w:r>
          </w:p>
        </w:tc>
        <w:tc>
          <w:tcPr>
            <w:tcW w:type="dxa" w:w="2880"/>
          </w:tcPr>
          <w:p>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main enclosure drawing, and should be verified against the casing partner's own datasheet for the enclosure body before formal ExCB submission.</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2.378 kg</w:t>
            </w:r>
          </w:p>
        </w:tc>
        <w:tc>
          <w:tcPr>
            <w:tcW w:type="dxa" w:w="1584"/>
          </w:tcPr>
          <w:p>
            <w:pPr>
              <w:spacing w:after="40"/>
            </w:pPr>
            <w:r>
              <w:rPr>
                <w:b/>
                <w:color w:val="149174"/>
                <w:sz w:val="19"/>
              </w:rPr>
              <w:t>Final</w:t>
            </w:r>
          </w:p>
        </w:tc>
        <w:tc>
          <w:tcPr>
            <w:tcW w:type="dxa" w:w="2880"/>
          </w:tcPr>
          <w:p>
            <w:pPr>
              <w:spacing w:after="40"/>
            </w:pPr>
            <w:r>
              <w:rPr>
                <w:sz w:val="19"/>
              </w:rPr>
              <w:t>Total weight of PCB, casing, and sensors combined; 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U-bolt mounting plate, following the design already installed at the refinery</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IP66</w:t>
            </w:r>
          </w:p>
        </w:tc>
        <w:tc>
          <w:tcPr>
            <w:tcW w:type="dxa" w:w="1584"/>
          </w:tcPr>
          <w:p>
            <w:pPr>
              <w:spacing w:after="40"/>
            </w:pPr>
            <w:r>
              <w:rPr>
                <w:b/>
                <w:color w:val="149174"/>
                <w:sz w:val="19"/>
              </w:rPr>
              <w:t>Final</w:t>
            </w:r>
          </w:p>
        </w:tc>
        <w:tc>
          <w:tcPr>
            <w:tcW w:type="dxa" w:w="2880"/>
          </w:tcPr>
          <w:p>
            <w:pPr>
              <w:spacing w:after="40"/>
            </w:pPr>
            <w:r>
              <w:rPr>
                <w:sz w:val="19"/>
              </w:rPr>
              <w:t>Project-confirmed value; not yet independently tested/verified against IEC 60529.</w:t>
            </w:r>
          </w:p>
        </w:tc>
      </w:tr>
      <w:tr>
        <w:trPr>
          <w:cantSplit/>
        </w:trPr>
        <w:tc>
          <w:tcPr>
            <w:tcW w:type="dxa" w:w="2160"/>
          </w:tcPr>
          <w:p>
            <w:pPr>
              <w:spacing w:after="40"/>
            </w:pPr>
            <w:r>
              <w:rPr>
                <w:b/>
                <w:sz w:val="19"/>
              </w:rPr>
              <w:t>Cable entry (gland)</w:t>
            </w:r>
          </w:p>
        </w:tc>
        <w:tc>
          <w:tcPr>
            <w:tcW w:type="dxa" w:w="2736"/>
          </w:tcPr>
          <w:p>
            <w:pPr>
              <w:spacing w:after="40"/>
            </w:pPr>
            <w:r>
              <w:rPr>
                <w:sz w:val="19"/>
              </w:rPr>
              <w:t>M20×1.5 cable gland (IP66-rated); power cable is 2-conductor, labeled L+/L− (positive/negative of the 24 VDC supply), each conductor ≈0.75 mm diameter</w:t>
            </w:r>
          </w:p>
        </w:tc>
        <w:tc>
          <w:tcPr>
            <w:tcW w:type="dxa" w:w="1584"/>
          </w:tcPr>
          <w:p>
            <w:pPr>
              <w:spacing w:after="40"/>
            </w:pPr>
            <w:r>
              <w:rPr>
                <w:b/>
                <w:color w:val="149174"/>
                <w:sz w:val="19"/>
              </w:rPr>
              <w:t>Final</w:t>
            </w:r>
          </w:p>
        </w:tc>
        <w:tc>
          <w:tcPr>
            <w:tcW w:type="dxa" w:w="2880"/>
          </w:tcPr>
          <w:p>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−20°C to +60°C (ambient)</w:t>
            </w:r>
          </w:p>
        </w:tc>
        <w:tc>
          <w:tcPr>
            <w:tcW w:type="dxa" w:w="1584"/>
          </w:tcPr>
          <w:p>
            <w:pPr>
              <w:spacing w:after="40"/>
            </w:pPr>
            <w:r>
              <w:rPr>
                <w:b/>
                <w:color w:val="149174"/>
                <w:sz w:val="19"/>
              </w:rPr>
              <w:t>Final</w:t>
            </w:r>
          </w:p>
        </w:tc>
        <w:tc>
          <w:tcPr>
            <w:tcW w:type="dxa" w:w="2880"/>
          </w:tcPr>
          <w:p>
            <w:pPr>
              <w:spacing w:after="40"/>
            </w:pPr>
            <w:r>
              <w:rPr>
                <w:sz w:val="19"/>
              </w:rPr>
              <w:t>Project-confirmed value — a key input for temperature class (T1–T6) determination in Section 2.5. Not yet documented against a calibrated test record.</w:t>
            </w:r>
          </w:p>
        </w:tc>
      </w:tr>
      <w:tr>
        <w:trPr>
          <w:cantSplit/>
        </w:trPr>
        <w:tc>
          <w:tcPr>
            <w:tcW w:type="dxa" w:w="2160"/>
          </w:tcPr>
          <w:p>
            <w:pPr>
              <w:spacing w:after="40"/>
            </w:pPr>
            <w:r>
              <w:rPr>
                <w:b/>
                <w:sz w:val="19"/>
              </w:rPr>
              <w:t>Operating humidity</w:t>
            </w:r>
          </w:p>
        </w:tc>
        <w:tc>
          <w:tcPr>
            <w:tcW w:type="dxa" w:w="2736"/>
          </w:tcPr>
          <w:p>
            <w:pPr>
              <w:spacing w:after="40"/>
            </w:pPr>
            <w:r>
              <w:rPr>
                <w:sz w:val="19"/>
              </w:rPr>
              <w:t>5–95% RH, non-condensing</w:t>
            </w:r>
          </w:p>
        </w:tc>
        <w:tc>
          <w:tcPr>
            <w:tcW w:type="dxa" w:w="1584"/>
          </w:tcPr>
          <w:p>
            <w:pPr>
              <w:spacing w:after="40"/>
            </w:pPr>
            <w:r>
              <w:rPr>
                <w:b/>
                <w:color w:val="149174"/>
                <w:sz w:val="19"/>
              </w:rPr>
              <w:t>Final</w:t>
            </w:r>
          </w:p>
        </w:tc>
        <w:tc>
          <w:tcPr>
            <w:tcW w:type="dxa" w:w="2880"/>
          </w:tcPr>
          <w:p>
            <w:pPr>
              <w:spacing w:after="40"/>
            </w:pPr>
            <w:r>
              <w:rPr>
                <w:sz w:val="19"/>
              </w:rPr>
              <w:t>Project-confirmed value. Not yet documented against a calibrated test record.</w:t>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pPr>
        <w:spacing w:after="80"/>
      </w:pPr>
    </w:p>
    <w:p>
      <w:pPr>
        <w:pStyle w:val="Heading2"/>
      </w:pPr>
      <w:r>
        <w:t>2.4 · Product Photographs — Overall and Key Components</w:t>
      </w:r>
    </w:p>
    <w:p>
      <w:pPr>
        <w:spacing w:after="160"/>
      </w:pPr>
      <w:r>
        <w:rPr>
          <w:b w:val="0"/>
          <w:i w:val="0"/>
          <w:sz w:val="21"/>
        </w:rP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FFF4D6"/>
          </w:tcPr>
          <w:p>
            <w:pPr>
              <w:spacing w:after="20"/>
            </w:pPr>
            <w:r>
              <w:rPr>
                <w:b/>
                <w:sz w:val="16"/>
              </w:rPr>
              <w:t>Partial</w:t>
            </w:r>
          </w:p>
        </w:tc>
        <w:tc>
          <w:tcPr>
            <w:tcW w:type="dxa" w:w="4608"/>
          </w:tcPr>
          <w:p>
            <w:pPr>
              <w:spacing w:after="20"/>
            </w:pPr>
            <w:r>
              <w:rPr>
                <w:sz w:val="16"/>
              </w:rPr>
              <w:t>Assembled-unit photographs in this section; CAD views M-A2 and M-B1…M-B4 (Section 2.6.a.1). Six-side photo set of the current production unit to be added.</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FBEEE4"/>
          </w:tcPr>
          <w:p>
            <w:pPr>
              <w:spacing w:after="20"/>
            </w:pPr>
            <w:r>
              <w:rPr>
                <w:b/>
                <w:sz w:val="16"/>
              </w:rPr>
              <w:t>Open</w:t>
            </w:r>
          </w:p>
        </w:tc>
        <w:tc>
          <w:tcPr>
            <w:tcW w:type="dxa" w:w="4608"/>
          </w:tcPr>
          <w:p>
            <w:pPr>
              <w:spacing w:after="20"/>
            </w:pPr>
            <w:r>
              <w:rPr>
                <w:sz w:val="16"/>
              </w:rPr>
              <w:t>To be photographed once the nameplate position is fixed; caption to state that the marking is draft.</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FFF4D6"/>
          </w:tcPr>
          <w:p>
            <w:pPr>
              <w:spacing w:after="20"/>
            </w:pPr>
            <w:r>
              <w:rPr>
                <w:b/>
                <w:sz w:val="16"/>
              </w:rPr>
              <w:t>Partial</w:t>
            </w:r>
          </w:p>
        </w:tc>
        <w:tc>
          <w:tcPr>
            <w:tcW w:type="dxa" w:w="4608"/>
          </w:tcPr>
          <w:p>
            <w:pPr>
              <w:spacing w:after="20"/>
            </w:pPr>
            <w:r>
              <w:rPr>
                <w:sz w:val="16"/>
              </w:rPr>
              <w:t>M-D4 (stainless wire-mesh plate), M-B6/M-E1 (fan behind mesh).</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FFF4D6"/>
          </w:tcPr>
          <w:p>
            <w:pPr>
              <w:spacing w:after="20"/>
            </w:pPr>
            <w:r>
              <w:rPr>
                <w:b/>
                <w:sz w:val="16"/>
              </w:rPr>
              <w:t>Partial</w:t>
            </w:r>
          </w:p>
        </w:tc>
        <w:tc>
          <w:tcPr>
            <w:tcW w:type="dxa" w:w="4608"/>
          </w:tcPr>
          <w:p>
            <w:pPr>
              <w:spacing w:after="20"/>
            </w:pPr>
            <w:r>
              <w:rPr>
                <w:sz w:val="16"/>
              </w:rPr>
              <w:t>M-D6 (PCB with MQ sensors inside base casing).</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M-D1 (MQ sensor).</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M-D5, M-D6, M-D10; PCB layout views 2.6.a.8. Photographs of both PCB sides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FFF4D6"/>
          </w:tcPr>
          <w:p>
            <w:pPr>
              <w:spacing w:after="20"/>
            </w:pPr>
            <w:r>
              <w:rPr>
                <w:b/>
                <w:sz w:val="16"/>
              </w:rPr>
              <w:t>Partial</w:t>
            </w:r>
          </w:p>
        </w:tc>
        <w:tc>
          <w:tcPr>
            <w:tcW w:type="dxa" w:w="4608"/>
          </w:tcPr>
          <w:p>
            <w:pPr>
              <w:spacing w:after="20"/>
            </w:pPr>
            <w:r>
              <w:rPr>
                <w:sz w:val="16"/>
              </w:rPr>
              <w:t>M-D14 (24 VDC connector and terminal block).</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M-D15 (external grounding stud); close-up with lug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FBEEE4"/>
          </w:tcPr>
          <w:p>
            <w:pPr>
              <w:spacing w:after="20"/>
            </w:pPr>
            <w:r>
              <w:rPr>
                <w:b/>
                <w:sz w:val="16"/>
              </w:rPr>
              <w:t>Open</w:t>
            </w:r>
          </w:p>
        </w:tc>
        <w:tc>
          <w:tcPr>
            <w:tcW w:type="dxa" w:w="4608"/>
          </w:tcPr>
          <w:p>
            <w:pPr>
              <w:spacing w:after="20"/>
            </w:pPr>
            <w:r>
              <w:rPr>
                <w:sz w:val="16"/>
              </w:rPr>
              <w:t>Close-ups of cable gland, SMA bulkhead, alarm interface and blanking plug to be added.</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M-D5 (beacon with rubber gasket),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FFF4D6"/>
          </w:tcPr>
          <w:p>
            <w:pPr>
              <w:spacing w:after="20"/>
            </w:pPr>
            <w:r>
              <w:rPr>
                <w:b/>
                <w:sz w:val="16"/>
              </w:rPr>
              <w:t>Partial</w:t>
            </w:r>
          </w:p>
        </w:tc>
        <w:tc>
          <w:tcPr>
            <w:tcW w:type="dxa" w:w="4608"/>
          </w:tcPr>
          <w:p>
            <w:pPr>
              <w:spacing w:after="20"/>
            </w:pPr>
            <w:r>
              <w:rPr>
                <w:sz w:val="16"/>
              </w:rPr>
              <w:t>M-D6; one photograph showing fan, sensors, PCB and terminals in the same view to be added.</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FFF4D6"/>
          </w:tcPr>
          <w:p>
            <w:pPr>
              <w:spacing w:after="20"/>
            </w:pPr>
            <w:r>
              <w:rPr>
                <w:b/>
                <w:sz w:val="16"/>
              </w:rPr>
              <w:t>Partial</w:t>
            </w:r>
          </w:p>
        </w:tc>
        <w:tc>
          <w:tcPr>
            <w:tcW w:type="dxa" w:w="4608"/>
          </w:tcPr>
          <w:p>
            <w:pPr>
              <w:spacing w:after="20"/>
            </w:pPr>
            <w:r>
              <w:rPr>
                <w:sz w:val="16"/>
              </w:rPr>
              <w:t>Assembly photographs M-E6…M-E9; exploded illustrations M-D8, M-D9, M-E1.</w:t>
            </w:r>
          </w:p>
        </w:tc>
      </w:tr>
    </w:tbl>
    <w:p>
      <w:pPr>
        <w:spacing w:after="4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Supported by a preliminary internal surface-temperature measurement (Section 2.6.f): the highest value, extrapolated to the +60°C maximum ambient, is ≈114°C (MQ sensor body, fan-stalled condition), below the T4 limit less the 5 K margin (130°C). Not yet final — several measurement points and conditions remain open (see 2.6.f), and confirmation requires ExCB type testing.</w:t>
            </w:r>
          </w:p>
        </w:tc>
      </w:tr>
      <w:tr>
        <w:trPr>
          <w:cantSplit/>
        </w:trPr>
        <w:tc>
          <w:tcPr>
            <w:tcW w:type="dxa" w:w="1872"/>
          </w:tcPr>
          <w:p>
            <w:pPr>
              <w:spacing w:after="40"/>
            </w:pPr>
            <w:r>
              <w:rPr>
                <w:b/>
                <w:sz w:val="19"/>
              </w:rPr>
              <w:t>Ambient temperature range</w:t>
            </w:r>
          </w:p>
        </w:tc>
        <w:tc>
          <w:tcPr>
            <w:tcW w:type="dxa" w:w="1584"/>
          </w:tcPr>
          <w:p>
            <w:pPr>
              <w:spacing w:after="40"/>
            </w:pPr>
            <w:r>
              <w:rPr>
                <w:sz w:val="19"/>
              </w:rPr>
              <w:t>−20°C to +60°C</w:t>
            </w:r>
          </w:p>
        </w:tc>
        <w:tc>
          <w:tcPr>
            <w:tcW w:type="dxa" w:w="2736"/>
          </w:tcPr>
          <w:p>
            <w:pPr>
              <w:spacing w:after="40"/>
            </w:pPr>
            <w:r>
              <w:rPr>
                <w:b/>
                <w:color w:val="149174"/>
                <w:sz w:val="19"/>
              </w:rPr>
              <w:t>Final</w:t>
            </w:r>
          </w:p>
        </w:tc>
        <w:tc>
          <w:tcPr>
            <w:tcW w:type="dxa" w:w="3456"/>
          </w:tcPr>
          <w:p>
            <w:pPr>
              <w:spacing w:after="40"/>
            </w:pPr>
            <w:r>
              <w:rPr>
                <w:sz w:val="19"/>
              </w:rPr>
              <w:t>Project-confirmed value, consistent with the Mechanical Parameters table (Section 2.3.c). Used as the reference for extrapolating the preliminary surface-temperature measurements in Section 2.6.f to worst-case ambient.</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r>
        <w:trPr>
          <w:cantSplit/>
        </w:trPr>
        <w:tc>
          <w:tcPr>
            <w:tcW w:type="dxa" w:w="1872"/>
          </w:tcPr>
          <w:p>
            <w:pPr>
              <w:spacing w:after="40"/>
            </w:pPr>
            <w:r>
              <w:rPr>
                <w:b/>
                <w:sz w:val="19"/>
              </w:rPr>
              <w:t>Type of protection</w:t>
            </w:r>
          </w:p>
        </w:tc>
        <w:tc>
          <w:tcPr>
            <w:tcW w:type="dxa" w:w="1584"/>
          </w:tcPr>
          <w:p>
            <w:pPr>
              <w:spacing w:after="40"/>
            </w:pPr>
            <w:r>
              <w:rPr>
                <w:sz w:val="19"/>
              </w:rPr>
              <w:t>Ex d — flameproof enclosure</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Selected over Ex e and Ex i based on the existing enclosure design: a die-cast aluminum (ADC12) housing with a stainless-steel wire mesh over the sensing element functions as a flame path/flame arrestor,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 Ex e was not pursued because it is not intended for enclosures with normally-energized, potentially arcing parts such as the sensor heaters.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zone, and type of protection are not yet formally established.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Status is reported item by item below; most sub-items are not yet available — this is reported plainly rather than implied to be complete.</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8" name="Picture 8"/>
            <wp:cNvGraphicFramePr>
              <a:graphicFrameLocks noChangeAspect="1"/>
            </wp:cNvGraphicFramePr>
            <a:graphic>
              <a:graphicData uri="http://schemas.openxmlformats.org/drawingml/2006/picture">
                <pic:pic>
                  <pic:nvPicPr>
                    <pic:cNvPr id="0" name="01-diagram.png"/>
                    <pic:cNvPicPr/>
                  </pic:nvPicPr>
                  <pic:blipFill>
                    <a:blip r:embed="rId18"/>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9" name="Picture 9"/>
            <wp:cNvGraphicFramePr>
              <a:graphicFrameLocks noChangeAspect="1"/>
            </wp:cNvGraphicFramePr>
            <a:graphic>
              <a:graphicData uri="http://schemas.openxmlformats.org/drawingml/2006/picture">
                <pic:pic>
                  <pic:nvPicPr>
                    <pic:cNvPr id="0" name="02-diagram.png"/>
                    <pic:cNvPicPr/>
                  </pic:nvPicPr>
                  <pic:blipFill>
                    <a:blip r:embed="rId19"/>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10" name="Picture 10"/>
            <wp:cNvGraphicFramePr>
              <a:graphicFrameLocks noChangeAspect="1"/>
            </wp:cNvGraphicFramePr>
            <a:graphic>
              <a:graphicData uri="http://schemas.openxmlformats.org/drawingml/2006/picture">
                <pic:pic>
                  <pic:nvPicPr>
                    <pic:cNvPr id="0" name="03-diagram.png"/>
                    <pic:cNvPicPr/>
                  </pic:nvPicPr>
                  <pic:blipFill>
                    <a:blip r:embed="rId20"/>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11" name="Picture 11"/>
            <wp:cNvGraphicFramePr>
              <a:graphicFrameLocks noChangeAspect="1"/>
            </wp:cNvGraphicFramePr>
            <a:graphic>
              <a:graphicData uri="http://schemas.openxmlformats.org/drawingml/2006/picture">
                <pic:pic>
                  <pic:nvPicPr>
                    <pic:cNvPr id="0" name="04-diagram.png"/>
                    <pic:cNvPicPr/>
                  </pic:nvPicPr>
                  <pic:blipFill>
                    <a:blip r:embed="rId21"/>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12" name="Picture 12"/>
            <wp:cNvGraphicFramePr>
              <a:graphicFrameLocks noChangeAspect="1"/>
            </wp:cNvGraphicFramePr>
            <a:graphic>
              <a:graphicData uri="http://schemas.openxmlformats.org/drawingml/2006/picture">
                <pic:pic>
                  <pic:nvPicPr>
                    <pic:cNvPr id="0" name="05-diagram.png"/>
                    <pic:cNvPicPr/>
                  </pic:nvPicPr>
                  <pic:blipFill>
                    <a:blip r:embed="rId22"/>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13" name="Picture 13"/>
            <wp:cNvGraphicFramePr>
              <a:graphicFrameLocks noChangeAspect="1"/>
            </wp:cNvGraphicFramePr>
            <a:graphic>
              <a:graphicData uri="http://schemas.openxmlformats.org/drawingml/2006/picture">
                <pic:pic>
                  <pic:nvPicPr>
                    <pic:cNvPr id="0" name="06-diagram.png"/>
                    <pic:cNvPicPr/>
                  </pic:nvPicPr>
                  <pic:blipFill>
                    <a:blip r:embed="rId23"/>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14" name="Picture 14"/>
            <wp:cNvGraphicFramePr>
              <a:graphicFrameLocks noChangeAspect="1"/>
            </wp:cNvGraphicFramePr>
            <a:graphic>
              <a:graphicData uri="http://schemas.openxmlformats.org/drawingml/2006/picture">
                <pic:pic>
                  <pic:nvPicPr>
                    <pic:cNvPr id="0" name="07-diagram.png"/>
                    <pic:cNvPicPr/>
                  </pic:nvPicPr>
                  <pic:blipFill>
                    <a:blip r:embed="rId24"/>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15" name="Picture 15"/>
            <wp:cNvGraphicFramePr>
              <a:graphicFrameLocks noChangeAspect="1"/>
            </wp:cNvGraphicFramePr>
            <a:graphic>
              <a:graphicData uri="http://schemas.openxmlformats.org/drawingml/2006/picture">
                <pic:pic>
                  <pic:nvPicPr>
                    <pic:cNvPr id="0" name="08-diagram.png"/>
                    <pic:cNvPicPr/>
                  </pic:nvPicPr>
                  <pic:blipFill>
                    <a:blip r:embed="rId25"/>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16" name="Picture 16"/>
            <wp:cNvGraphicFramePr>
              <a:graphicFrameLocks noChangeAspect="1"/>
            </wp:cNvGraphicFramePr>
            <a:graphic>
              <a:graphicData uri="http://schemas.openxmlformats.org/drawingml/2006/picture">
                <pic:pic>
                  <pic:nvPicPr>
                    <pic:cNvPr id="0" name="09-diagram.png"/>
                    <pic:cNvPicPr/>
                  </pic:nvPicPr>
                  <pic:blipFill>
                    <a:blip r:embed="rId26"/>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17" name="Picture 17"/>
            <wp:cNvGraphicFramePr>
              <a:graphicFrameLocks noChangeAspect="1"/>
            </wp:cNvGraphicFramePr>
            <a:graphic>
              <a:graphicData uri="http://schemas.openxmlformats.org/drawingml/2006/picture">
                <pic:pic>
                  <pic:nvPicPr>
                    <pic:cNvPr id="0" name="10-pcb-layout.png"/>
                    <pic:cNvPicPr/>
                  </pic:nvPicPr>
                  <pic:blipFill>
                    <a:blip r:embed="rId27"/>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18" name="Picture 18"/>
            <wp:cNvGraphicFramePr>
              <a:graphicFrameLocks noChangeAspect="1"/>
            </wp:cNvGraphicFramePr>
            <a:graphic>
              <a:graphicData uri="http://schemas.openxmlformats.org/drawingml/2006/picture">
                <pic:pic>
                  <pic:nvPicPr>
                    <pic:cNvPr id="0" name="11-pcb-3d-render.png"/>
                    <pic:cNvPicPr/>
                  </pic:nvPicPr>
                  <pic:blipFill>
                    <a:blip r:embed="rId28"/>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19" name="Picture 19"/>
            <wp:cNvGraphicFramePr>
              <a:graphicFrameLocks noChangeAspect="1"/>
            </wp:cNvGraphicFramePr>
            <a:graphic>
              <a:graphicData uri="http://schemas.openxmlformats.org/drawingml/2006/picture">
                <pic:pic>
                  <pic:nvPicPr>
                    <pic:cNvPr id="0" name="bracket-mounting-drawing.png"/>
                    <pic:cNvPicPr/>
                  </pic:nvPicPr>
                  <pic:blipFill>
                    <a:blip r:embed="rId29"/>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p>
      <w:pPr>
        <w:jc w:val="center"/>
      </w:pPr>
      <w:r>
        <w:drawing>
          <wp:inline xmlns:a="http://schemas.openxmlformats.org/drawingml/2006/main" xmlns:pic="http://schemas.openxmlformats.org/drawingml/2006/picture">
            <wp:extent cx="5669280" cy="3188136"/>
            <wp:docPr id="20" name="Picture 20"/>
            <wp:cNvGraphicFramePr>
              <a:graphicFrameLocks noChangeAspect="1"/>
            </wp:cNvGraphicFramePr>
            <a:graphic>
              <a:graphicData uri="http://schemas.openxmlformats.org/drawingml/2006/picture">
                <pic:pic>
                  <pic:nvPicPr>
                    <pic:cNvPr id="0" name="gld_atex_case_v3_dimensioned.png"/>
                    <pic:cNvPicPr/>
                  </pic:nvPicPr>
                  <pic:blipFill>
                    <a:blip r:embed="rId30"/>
                    <a:stretch>
                      <a:fillRect/>
                    </a:stretch>
                  </pic:blipFill>
                  <pic:spPr>
                    <a:xfrm>
                      <a:off x="0" y="0"/>
                      <a:ext cx="5669280" cy="3188136"/>
                    </a:xfrm>
                    <a:prstGeom prst="rect"/>
                  </pic:spPr>
                </pic:pic>
              </a:graphicData>
            </a:graphic>
          </wp:inline>
        </w:drawing>
      </w:r>
    </w:p>
    <w:p>
      <w:pPr>
        <w:spacing w:after="240"/>
        <w:jc w:val="center"/>
      </w:pPr>
      <w:r>
        <w:rPr>
          <w:b/>
          <w:sz w:val="19"/>
        </w:rPr>
        <w:t>“GLD ATEX CASE v3” — dimensioned enclosure drawing sheet</w:t>
        <w:br/>
      </w:r>
      <w:r>
        <w:rPr>
          <w:color w:val="4A4A4A"/>
          <w:sz w:val="17"/>
        </w:rPr>
        <w:t>Internal contingency/alternate enclosure design (drafted 8 Sep 2026) with real dimensions. Shown as a dimensioned reference; not yet confirmed as the production enclosure.</w:t>
      </w:r>
    </w:p>
    <w:p>
      <w:pPr>
        <w:jc w:val="center"/>
      </w:pPr>
      <w:r>
        <w:drawing>
          <wp:inline xmlns:a="http://schemas.openxmlformats.org/drawingml/2006/main" xmlns:pic="http://schemas.openxmlformats.org/drawingml/2006/picture">
            <wp:extent cx="5669280" cy="4005179"/>
            <wp:docPr id="21" name="Picture 21"/>
            <wp:cNvGraphicFramePr>
              <a:graphicFrameLocks noChangeAspect="1"/>
            </wp:cNvGraphicFramePr>
            <a:graphic>
              <a:graphicData uri="http://schemas.openxmlformats.org/drawingml/2006/picture">
                <pic:pic>
                  <pic:nvPicPr>
                    <pic:cNvPr id="0" name="bp18-1z_common_base_reference.png"/>
                    <pic:cNvPicPr/>
                  </pic:nvPicPr>
                  <pic:blipFill>
                    <a:blip r:embed="rId31"/>
                    <a:stretch>
                      <a:fillRect/>
                    </a:stretch>
                  </pic:blipFill>
                  <pic:spPr>
                    <a:xfrm>
                      <a:off x="0" y="0"/>
                      <a:ext cx="5669280" cy="4005179"/>
                    </a:xfrm>
                    <a:prstGeom prst="rect"/>
                  </pic:spPr>
                </pic:pic>
              </a:graphicData>
            </a:graphic>
          </wp:inline>
        </w:drawing>
      </w:r>
    </w:p>
    <w:p>
      <w:pPr>
        <w:spacing w:after="240"/>
        <w:jc w:val="center"/>
      </w:pPr>
      <w:r>
        <w:rPr>
          <w:b/>
          <w:sz w:val="19"/>
        </w:rPr>
        <w:t>“Universal Base” BP18-1Z — supplier reference drawing</w:t>
        <w:br/>
      </w:r>
      <w:r>
        <w:rPr>
          <w:color w:val="4A4A4A"/>
          <w:sz w:val="17"/>
        </w:rPr>
        <w:t>Die-cast base from the casing partner's supply chain (ADC12, 0.6 kg, 2× M20×1.5-6H cable entries). Candidate junction-box/terminal sub-component under evaluation; footprint does not match the GLD main enclosure.</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main board</w:t>
            </w:r>
          </w:p>
        </w:tc>
        <w:tc>
          <w:tcPr>
            <w:tcW w:type="dxa" w:w="1872"/>
          </w:tcPr>
          <w:p>
            <w:pPr>
              <w:spacing w:after="40"/>
            </w:pPr>
            <w:r>
              <w:rPr>
                <w:b/>
                <w:color w:val="149174"/>
                <w:sz w:val="19"/>
              </w:rPr>
              <w:t>Available</w:t>
            </w:r>
          </w:p>
        </w:tc>
        <w:tc>
          <w:tcPr>
            <w:tcW w:type="dxa" w:w="4032"/>
          </w:tcPr>
          <w:p>
            <w:pPr>
              <w:spacing w:after="40"/>
            </w:pPr>
            <w:r>
              <w:rPr>
                <w:sz w:val="19"/>
              </w:rPr>
              <w:t>Actual component-level schematic issued as 26 sheets (drawing nos. PGLD-GLD-V4-MB-SCH-01 to -26, rev. 1.0, 19 Jul 2026), each with a sheet information table and component description table (Section 2.6.a.7). Drawing-number prefix to be aligned with the applicant's document control; verification items listed in 2.6.a.7 remain open. Sensor-module board schematic not yet included.</w:t>
            </w:r>
          </w:p>
        </w:tc>
      </w:tr>
      <w:tr>
        <w:trPr>
          <w:cantSplit/>
        </w:trPr>
        <w:tc>
          <w:tcPr>
            <w:tcW w:type="dxa" w:w="3744"/>
          </w:tcPr>
          <w:p>
            <w:pPr>
              <w:spacing w:after="40"/>
            </w:pPr>
            <w:r>
              <w:rPr>
                <w:b/>
                <w:sz w:val="19"/>
              </w:rPr>
              <w:t>PCB layout — main board</w:t>
            </w:r>
          </w:p>
        </w:tc>
        <w:tc>
          <w:tcPr>
            <w:tcW w:type="dxa" w:w="1872"/>
          </w:tcPr>
          <w:p>
            <w:pPr>
              <w:spacing w:after="40"/>
            </w:pPr>
            <w:r>
              <w:rPr>
                <w:b/>
                <w:color w:val="B56A1E"/>
                <w:sz w:val="19"/>
              </w:rPr>
              <w:t>Partially available</w:t>
            </w:r>
          </w:p>
        </w:tc>
        <w:tc>
          <w:tcPr>
            <w:tcW w:type="dxa" w:w="4032"/>
          </w:tcPr>
          <w:p>
            <w:pPr>
              <w:spacing w:after="40"/>
            </w:pPr>
            <w:r>
              <w:rPr>
                <w:sz w:val="19"/>
              </w:rPr>
              <w:t>Ten annotated layout views (top, bottom, placement, dimensions Ø84 mm, mounting holes, connectors, power area, sensor interface, grounding) issued as PGLD-GLD-V4-MB-PCB-01 to -10 (Section 2.6.a.8). Open: layout revision/date, laminate data (grade, UL 94, Tg, CTI, thickness, copper weight) and the sensor-module board layout.</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56A1E"/>
                <w:sz w:val="19"/>
              </w:rPr>
              <w:t>Candidate reference only</w:t>
            </w:r>
          </w:p>
        </w:tc>
        <w:tc>
          <w:tcPr>
            <w:tcW w:type="dxa" w:w="4032"/>
          </w:tcPr>
          <w:p>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junction-box/terminal sub-component under evaluation, not yet confirmed as part of GLD's design. A dedicated grounding connection drawing has not been provided.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22" name="Picture 22"/>
            <wp:cNvGraphicFramePr>
              <a:graphicFrameLocks noChangeAspect="1"/>
            </wp:cNvGraphicFramePr>
            <a:graphic>
              <a:graphicData uri="http://schemas.openxmlformats.org/drawingml/2006/picture">
                <pic:pic>
                  <pic:nvPicPr>
                    <pic:cNvPr id="0" name="casing_v2_sheet.jpg"/>
                    <pic:cNvPicPr/>
                  </pic:nvPicPr>
                  <pic:blipFill>
                    <a:blip r:embed="rId32"/>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23" name="Picture 23"/>
                  <wp:cNvGraphicFramePr>
                    <a:graphicFrameLocks noChangeAspect="1"/>
                  </wp:cNvGraphicFramePr>
                  <a:graphic>
                    <a:graphicData uri="http://schemas.openxmlformats.org/drawingml/2006/picture">
                      <pic:pic>
                        <pic:nvPicPr>
                          <pic:cNvPr id="0" name="casing_v2_front.jpg"/>
                          <pic:cNvPicPr/>
                        </pic:nvPicPr>
                        <pic:blipFill>
                          <a:blip r:embed="rId33"/>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24" name="Picture 24"/>
                  <wp:cNvGraphicFramePr>
                    <a:graphicFrameLocks noChangeAspect="1"/>
                  </wp:cNvGraphicFramePr>
                  <a:graphic>
                    <a:graphicData uri="http://schemas.openxmlformats.org/drawingml/2006/picture">
                      <pic:pic>
                        <pic:nvPicPr>
                          <pic:cNvPr id="0" name="casing_v2_rear.jpg"/>
                          <pic:cNvPicPr/>
                        </pic:nvPicPr>
                        <pic:blipFill>
                          <a:blip r:embed="rId34"/>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25" name="Picture 25"/>
                  <wp:cNvGraphicFramePr>
                    <a:graphicFrameLocks noChangeAspect="1"/>
                  </wp:cNvGraphicFramePr>
                  <a:graphic>
                    <a:graphicData uri="http://schemas.openxmlformats.org/drawingml/2006/picture">
                      <pic:pic>
                        <pic:nvPicPr>
                          <pic:cNvPr id="0" name="casing_v2_left.jpg"/>
                          <pic:cNvPicPr/>
                        </pic:nvPicPr>
                        <pic:blipFill>
                          <a:blip r:embed="rId35"/>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26" name="Picture 26"/>
                  <wp:cNvGraphicFramePr>
                    <a:graphicFrameLocks noChangeAspect="1"/>
                  </wp:cNvGraphicFramePr>
                  <a:graphic>
                    <a:graphicData uri="http://schemas.openxmlformats.org/drawingml/2006/picture">
                      <pic:pic>
                        <pic:nvPicPr>
                          <pic:cNvPr id="0" name="casing_v2_right.jpg"/>
                          <pic:cNvPicPr/>
                        </pic:nvPicPr>
                        <pic:blipFill>
                          <a:blip r:embed="rId36"/>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27" name="Picture 27"/>
                  <wp:cNvGraphicFramePr>
                    <a:graphicFrameLocks noChangeAspect="1"/>
                  </wp:cNvGraphicFramePr>
                  <a:graphic>
                    <a:graphicData uri="http://schemas.openxmlformats.org/drawingml/2006/picture">
                      <pic:pic>
                        <pic:nvPicPr>
                          <pic:cNvPr id="0" name="casing_v2_top.jpg"/>
                          <pic:cNvPicPr/>
                        </pic:nvPicPr>
                        <pic:blipFill>
                          <a:blip r:embed="rId37"/>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28" name="Picture 28"/>
                  <wp:cNvGraphicFramePr>
                    <a:graphicFrameLocks noChangeAspect="1"/>
                  </wp:cNvGraphicFramePr>
                  <a:graphic>
                    <a:graphicData uri="http://schemas.openxmlformats.org/drawingml/2006/picture">
                      <pic:pic>
                        <pic:nvPicPr>
                          <pic:cNvPr id="0" name="casing_v2_bottom.jpg"/>
                          <pic:cNvPicPr/>
                        </pic:nvPicPr>
                        <pic:blipFill>
                          <a:blip r:embed="rId38"/>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29" name="Picture 29"/>
            <wp:cNvGraphicFramePr>
              <a:graphicFrameLocks noChangeAspect="1"/>
            </wp:cNvGraphicFramePr>
            <a:graphic>
              <a:graphicData uri="http://schemas.openxmlformats.org/drawingml/2006/picture">
                <pic:pic>
                  <pic:nvPicPr>
                    <pic:cNvPr id="0" name="case_v3-1.jpg"/>
                    <pic:cNvPicPr/>
                  </pic:nvPicPr>
                  <pic:blipFill>
                    <a:blip r:embed="rId39"/>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30" name="Picture 30"/>
            <wp:cNvGraphicFramePr>
              <a:graphicFrameLocks noChangeAspect="1"/>
            </wp:cNvGraphicFramePr>
            <a:graphic>
              <a:graphicData uri="http://schemas.openxmlformats.org/drawingml/2006/picture">
                <pic:pic>
                  <pic:nvPicPr>
                    <pic:cNvPr id="0" name="case_v3-2.jpg"/>
                    <pic:cNvPicPr/>
                  </pic:nvPicPr>
                  <pic:blipFill>
                    <a:blip r:embed="rId40"/>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31" name="Picture 31"/>
            <wp:cNvGraphicFramePr>
              <a:graphicFrameLocks noChangeAspect="1"/>
            </wp:cNvGraphicFramePr>
            <a:graphic>
              <a:graphicData uri="http://schemas.openxmlformats.org/drawingml/2006/picture">
                <pic:pic>
                  <pic:nvPicPr>
                    <pic:cNvPr id="0" name="case_v3-3.jpg"/>
                    <pic:cNvPicPr/>
                  </pic:nvPicPr>
                  <pic:blipFill>
                    <a:blip r:embed="rId41"/>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32" name="Picture 32"/>
            <wp:cNvGraphicFramePr>
              <a:graphicFrameLocks noChangeAspect="1"/>
            </wp:cNvGraphicFramePr>
            <a:graphic>
              <a:graphicData uri="http://schemas.openxmlformats.org/drawingml/2006/picture">
                <pic:pic>
                  <pic:nvPicPr>
                    <pic:cNvPr id="0" name="case_v3-4.jpg"/>
                    <pic:cNvPicPr/>
                  </pic:nvPicPr>
                  <pic:blipFill>
                    <a:blip r:embed="rId42"/>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33" name="Picture 33"/>
            <wp:cNvGraphicFramePr>
              <a:graphicFrameLocks noChangeAspect="1"/>
            </wp:cNvGraphicFramePr>
            <a:graphic>
              <a:graphicData uri="http://schemas.openxmlformats.org/drawingml/2006/picture">
                <pic:pic>
                  <pic:nvPicPr>
                    <pic:cNvPr id="0" name="case_v3-5.jpg"/>
                    <pic:cNvPicPr/>
                  </pic:nvPicPr>
                  <pic:blipFill>
                    <a:blip r:embed="rId43"/>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34" name="Picture 34"/>
            <wp:cNvGraphicFramePr>
              <a:graphicFrameLocks noChangeAspect="1"/>
            </wp:cNvGraphicFramePr>
            <a:graphic>
              <a:graphicData uri="http://schemas.openxmlformats.org/drawingml/2006/picture">
                <pic:pic>
                  <pic:nvPicPr>
                    <pic:cNvPr id="0" name="case_v3-6.jpg"/>
                    <pic:cNvPicPr/>
                  </pic:nvPicPr>
                  <pic:blipFill>
                    <a:blip r:embed="rId44"/>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35" name="Picture 35"/>
            <wp:cNvGraphicFramePr>
              <a:graphicFrameLocks noChangeAspect="1"/>
            </wp:cNvGraphicFramePr>
            <a:graphic>
              <a:graphicData uri="http://schemas.openxmlformats.org/drawingml/2006/picture">
                <pic:pic>
                  <pic:nvPicPr>
                    <pic:cNvPr id="0" name="case_v3-7.jpg"/>
                    <pic:cNvPicPr/>
                  </pic:nvPicPr>
                  <pic:blipFill>
                    <a:blip r:embed="rId45"/>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36" name="Picture 36"/>
            <wp:cNvGraphicFramePr>
              <a:graphicFrameLocks noChangeAspect="1"/>
            </wp:cNvGraphicFramePr>
            <a:graphic>
              <a:graphicData uri="http://schemas.openxmlformats.org/drawingml/2006/picture">
                <pic:pic>
                  <pic:nvPicPr>
                    <pic:cNvPr id="0" name="bp18-1.jpg"/>
                    <pic:cNvPicPr/>
                  </pic:nvPicPr>
                  <pic:blipFill>
                    <a:blip r:embed="rId46"/>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37" name="Picture 37"/>
            <wp:cNvGraphicFramePr>
              <a:graphicFrameLocks noChangeAspect="1"/>
            </wp:cNvGraphicFramePr>
            <a:graphic>
              <a:graphicData uri="http://schemas.openxmlformats.org/drawingml/2006/picture">
                <pic:pic>
                  <pic:nvPicPr>
                    <pic:cNvPr id="0" name="pkg_17.jpg"/>
                    <pic:cNvPicPr/>
                  </pic:nvPicPr>
                  <pic:blipFill>
                    <a:blip r:embed="rId47"/>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38" name="Picture 38"/>
            <wp:cNvGraphicFramePr>
              <a:graphicFrameLocks noChangeAspect="1"/>
            </wp:cNvGraphicFramePr>
            <a:graphic>
              <a:graphicData uri="http://schemas.openxmlformats.org/drawingml/2006/picture">
                <pic:pic>
                  <pic:nvPicPr>
                    <pic:cNvPr id="0" name="pkg_18.jpg"/>
                    <pic:cNvPicPr/>
                  </pic:nvPicPr>
                  <pic:blipFill>
                    <a:blip r:embed="rId48"/>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39" name="Picture 39"/>
            <wp:cNvGraphicFramePr>
              <a:graphicFrameLocks noChangeAspect="1"/>
            </wp:cNvGraphicFramePr>
            <a:graphic>
              <a:graphicData uri="http://schemas.openxmlformats.org/drawingml/2006/picture">
                <pic:pic>
                  <pic:nvPicPr>
                    <pic:cNvPr id="0" name="pkg_19.jpg"/>
                    <pic:cNvPicPr/>
                  </pic:nvPicPr>
                  <pic:blipFill>
                    <a:blip r:embed="rId49"/>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40" name="Picture 40"/>
            <wp:cNvGraphicFramePr>
              <a:graphicFrameLocks noChangeAspect="1"/>
            </wp:cNvGraphicFramePr>
            <a:graphic>
              <a:graphicData uri="http://schemas.openxmlformats.org/drawingml/2006/picture">
                <pic:pic>
                  <pic:nvPicPr>
                    <pic:cNvPr id="0" name="pkg_20.jpg"/>
                    <pic:cNvPicPr/>
                  </pic:nvPicPr>
                  <pic:blipFill>
                    <a:blip r:embed="rId50"/>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41" name="Picture 41"/>
            <wp:cNvGraphicFramePr>
              <a:graphicFrameLocks noChangeAspect="1"/>
            </wp:cNvGraphicFramePr>
            <a:graphic>
              <a:graphicData uri="http://schemas.openxmlformats.org/drawingml/2006/picture">
                <pic:pic>
                  <pic:nvPicPr>
                    <pic:cNvPr id="0" name="pkg_21.jpg"/>
                    <pic:cNvPicPr/>
                  </pic:nvPicPr>
                  <pic:blipFill>
                    <a:blip r:embed="rId51"/>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42" name="Picture 42"/>
            <wp:cNvGraphicFramePr>
              <a:graphicFrameLocks noChangeAspect="1"/>
            </wp:cNvGraphicFramePr>
            <a:graphic>
              <a:graphicData uri="http://schemas.openxmlformats.org/drawingml/2006/picture">
                <pic:pic>
                  <pic:nvPicPr>
                    <pic:cNvPr id="0" name="pkg_22.jpg"/>
                    <pic:cNvPicPr/>
                  </pic:nvPicPr>
                  <pic:blipFill>
                    <a:blip r:embed="rId52"/>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43" name="Picture 43"/>
            <wp:cNvGraphicFramePr>
              <a:graphicFrameLocks noChangeAspect="1"/>
            </wp:cNvGraphicFramePr>
            <a:graphic>
              <a:graphicData uri="http://schemas.openxmlformats.org/drawingml/2006/picture">
                <pic:pic>
                  <pic:nvPicPr>
                    <pic:cNvPr id="0" name="pkg_24.jpg"/>
                    <pic:cNvPicPr/>
                  </pic:nvPicPr>
                  <pic:blipFill>
                    <a:blip r:embed="rId53"/>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44" name="Picture 44"/>
            <wp:cNvGraphicFramePr>
              <a:graphicFrameLocks noChangeAspect="1"/>
            </wp:cNvGraphicFramePr>
            <a:graphic>
              <a:graphicData uri="http://schemas.openxmlformats.org/drawingml/2006/picture">
                <pic:pic>
                  <pic:nvPicPr>
                    <pic:cNvPr id="0" name="pkg_25.jpg"/>
                    <pic:cNvPicPr/>
                  </pic:nvPicPr>
                  <pic:blipFill>
                    <a:blip r:embed="rId54"/>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45" name="Picture 45"/>
            <wp:cNvGraphicFramePr>
              <a:graphicFrameLocks noChangeAspect="1"/>
            </wp:cNvGraphicFramePr>
            <a:graphic>
              <a:graphicData uri="http://schemas.openxmlformats.org/drawingml/2006/picture">
                <pic:pic>
                  <pic:nvPicPr>
                    <pic:cNvPr id="0" name="pkg_26.jpg"/>
                    <pic:cNvPicPr/>
                  </pic:nvPicPr>
                  <pic:blipFill>
                    <a:blip r:embed="rId55"/>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46" name="Picture 46"/>
            <wp:cNvGraphicFramePr>
              <a:graphicFrameLocks noChangeAspect="1"/>
            </wp:cNvGraphicFramePr>
            <a:graphic>
              <a:graphicData uri="http://schemas.openxmlformats.org/drawingml/2006/picture">
                <pic:pic>
                  <pic:nvPicPr>
                    <pic:cNvPr id="0" name="pkg_27.jpg"/>
                    <pic:cNvPicPr/>
                  </pic:nvPicPr>
                  <pic:blipFill>
                    <a:blip r:embed="rId56"/>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47" name="Picture 47"/>
            <wp:cNvGraphicFramePr>
              <a:graphicFrameLocks noChangeAspect="1"/>
            </wp:cNvGraphicFramePr>
            <a:graphic>
              <a:graphicData uri="http://schemas.openxmlformats.org/drawingml/2006/picture">
                <pic:pic>
                  <pic:nvPicPr>
                    <pic:cNvPr id="0" name="pkg_28.jpg"/>
                    <pic:cNvPicPr/>
                  </pic:nvPicPr>
                  <pic:blipFill>
                    <a:blip r:embed="rId57"/>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48" name="Picture 48"/>
            <wp:cNvGraphicFramePr>
              <a:graphicFrameLocks noChangeAspect="1"/>
            </wp:cNvGraphicFramePr>
            <a:graphic>
              <a:graphicData uri="http://schemas.openxmlformats.org/drawingml/2006/picture">
                <pic:pic>
                  <pic:nvPicPr>
                    <pic:cNvPr id="0" name="pkg_42.jpg"/>
                    <pic:cNvPicPr/>
                  </pic:nvPicPr>
                  <pic:blipFill>
                    <a:blip r:embed="rId58"/>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49" name="Picture 49"/>
            <wp:cNvGraphicFramePr>
              <a:graphicFrameLocks noChangeAspect="1"/>
            </wp:cNvGraphicFramePr>
            <a:graphic>
              <a:graphicData uri="http://schemas.openxmlformats.org/drawingml/2006/picture">
                <pic:pic>
                  <pic:nvPicPr>
                    <pic:cNvPr id="0" name="pkg_43.jpg"/>
                    <pic:cNvPicPr/>
                  </pic:nvPicPr>
                  <pic:blipFill>
                    <a:blip r:embed="rId59"/>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50" name="Picture 50"/>
            <wp:cNvGraphicFramePr>
              <a:graphicFrameLocks noChangeAspect="1"/>
            </wp:cNvGraphicFramePr>
            <a:graphic>
              <a:graphicData uri="http://schemas.openxmlformats.org/drawingml/2006/picture">
                <pic:pic>
                  <pic:nvPicPr>
                    <pic:cNvPr id="0" name="pkg_44.jpg"/>
                    <pic:cNvPicPr/>
                  </pic:nvPicPr>
                  <pic:blipFill>
                    <a:blip r:embed="rId60"/>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51" name="Picture 51"/>
            <wp:cNvGraphicFramePr>
              <a:graphicFrameLocks noChangeAspect="1"/>
            </wp:cNvGraphicFramePr>
            <a:graphic>
              <a:graphicData uri="http://schemas.openxmlformats.org/drawingml/2006/picture">
                <pic:pic>
                  <pic:nvPicPr>
                    <pic:cNvPr id="0" name="pkg_45.jpg"/>
                    <pic:cNvPicPr/>
                  </pic:nvPicPr>
                  <pic:blipFill>
                    <a:blip r:embed="rId61"/>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52" name="Picture 52"/>
            <wp:cNvGraphicFramePr>
              <a:graphicFrameLocks noChangeAspect="1"/>
            </wp:cNvGraphicFramePr>
            <a:graphic>
              <a:graphicData uri="http://schemas.openxmlformats.org/drawingml/2006/picture">
                <pic:pic>
                  <pic:nvPicPr>
                    <pic:cNvPr id="0" name="pkg_33.jpg"/>
                    <pic:cNvPicPr/>
                  </pic:nvPicPr>
                  <pic:blipFill>
                    <a:blip r:embed="rId62"/>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53" name="Picture 53"/>
            <wp:cNvGraphicFramePr>
              <a:graphicFrameLocks noChangeAspect="1"/>
            </wp:cNvGraphicFramePr>
            <a:graphic>
              <a:graphicData uri="http://schemas.openxmlformats.org/drawingml/2006/picture">
                <pic:pic>
                  <pic:nvPicPr>
                    <pic:cNvPr id="0" name="pkg_34.jpg"/>
                    <pic:cNvPicPr/>
                  </pic:nvPicPr>
                  <pic:blipFill>
                    <a:blip r:embed="rId63"/>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54" name="Picture 54"/>
            <wp:cNvGraphicFramePr>
              <a:graphicFrameLocks noChangeAspect="1"/>
            </wp:cNvGraphicFramePr>
            <a:graphic>
              <a:graphicData uri="http://schemas.openxmlformats.org/drawingml/2006/picture">
                <pic:pic>
                  <pic:nvPicPr>
                    <pic:cNvPr id="0" name="pkg_35.jpg"/>
                    <pic:cNvPicPr/>
                  </pic:nvPicPr>
                  <pic:blipFill>
                    <a:blip r:embed="rId64"/>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55" name="Picture 55"/>
            <wp:cNvGraphicFramePr>
              <a:graphicFrameLocks noChangeAspect="1"/>
            </wp:cNvGraphicFramePr>
            <a:graphic>
              <a:graphicData uri="http://schemas.openxmlformats.org/drawingml/2006/picture">
                <pic:pic>
                  <pic:nvPicPr>
                    <pic:cNvPr id="0" name="pkg_36.jpg"/>
                    <pic:cNvPicPr/>
                  </pic:nvPicPr>
                  <pic:blipFill>
                    <a:blip r:embed="rId65"/>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56" name="Picture 56"/>
            <wp:cNvGraphicFramePr>
              <a:graphicFrameLocks noChangeAspect="1"/>
            </wp:cNvGraphicFramePr>
            <a:graphic>
              <a:graphicData uri="http://schemas.openxmlformats.org/drawingml/2006/picture">
                <pic:pic>
                  <pic:nvPicPr>
                    <pic:cNvPr id="0" name="pkg_37.jpg"/>
                    <pic:cNvPicPr/>
                  </pic:nvPicPr>
                  <pic:blipFill>
                    <a:blip r:embed="rId66"/>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57" name="Picture 57"/>
            <wp:cNvGraphicFramePr>
              <a:graphicFrameLocks noChangeAspect="1"/>
            </wp:cNvGraphicFramePr>
            <a:graphic>
              <a:graphicData uri="http://schemas.openxmlformats.org/drawingml/2006/picture">
                <pic:pic>
                  <pic:nvPicPr>
                    <pic:cNvPr id="0" name="pkg_38.jpg"/>
                    <pic:cNvPicPr/>
                  </pic:nvPicPr>
                  <pic:blipFill>
                    <a:blip r:embed="rId67"/>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58" name="Picture 58"/>
            <wp:cNvGraphicFramePr>
              <a:graphicFrameLocks noChangeAspect="1"/>
            </wp:cNvGraphicFramePr>
            <a:graphic>
              <a:graphicData uri="http://schemas.openxmlformats.org/drawingml/2006/picture">
                <pic:pic>
                  <pic:nvPicPr>
                    <pic:cNvPr id="0" name="pkg_39.jpg"/>
                    <pic:cNvPicPr/>
                  </pic:nvPicPr>
                  <pic:blipFill>
                    <a:blip r:embed="rId68"/>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59" name="Picture 59"/>
            <wp:cNvGraphicFramePr>
              <a:graphicFrameLocks noChangeAspect="1"/>
            </wp:cNvGraphicFramePr>
            <a:graphic>
              <a:graphicData uri="http://schemas.openxmlformats.org/drawingml/2006/picture">
                <pic:pic>
                  <pic:nvPicPr>
                    <pic:cNvPr id="0" name="pkg_40.jpg"/>
                    <pic:cNvPicPr/>
                  </pic:nvPicPr>
                  <pic:blipFill>
                    <a:blip r:embed="rId69"/>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60" name="Picture 60"/>
            <wp:cNvGraphicFramePr>
              <a:graphicFrameLocks noChangeAspect="1"/>
            </wp:cNvGraphicFramePr>
            <a:graphic>
              <a:graphicData uri="http://schemas.openxmlformats.org/drawingml/2006/picture">
                <pic:pic>
                  <pic:nvPicPr>
                    <pic:cNvPr id="0" name="pkg_41.jpg"/>
                    <pic:cNvPicPr/>
                  </pic:nvPicPr>
                  <pic:blipFill>
                    <a:blip r:embed="rId70"/>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61" name="Picture 61"/>
            <wp:cNvGraphicFramePr>
              <a:graphicFrameLocks noChangeAspect="1"/>
            </wp:cNvGraphicFramePr>
            <a:graphic>
              <a:graphicData uri="http://schemas.openxmlformats.org/drawingml/2006/picture">
                <pic:pic>
                  <pic:nvPicPr>
                    <pic:cNvPr id="0" name="pkg_29.jpg"/>
                    <pic:cNvPicPr/>
                  </pic:nvPicPr>
                  <pic:blipFill>
                    <a:blip r:embed="rId71"/>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62" name="Picture 62"/>
            <wp:cNvGraphicFramePr>
              <a:graphicFrameLocks noChangeAspect="1"/>
            </wp:cNvGraphicFramePr>
            <a:graphic>
              <a:graphicData uri="http://schemas.openxmlformats.org/drawingml/2006/picture">
                <pic:pic>
                  <pic:nvPicPr>
                    <pic:cNvPr id="0" name="pkg_30.jpg"/>
                    <pic:cNvPicPr/>
                  </pic:nvPicPr>
                  <pic:blipFill>
                    <a:blip r:embed="rId72"/>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63" name="Picture 63"/>
            <wp:cNvGraphicFramePr>
              <a:graphicFrameLocks noChangeAspect="1"/>
            </wp:cNvGraphicFramePr>
            <a:graphic>
              <a:graphicData uri="http://schemas.openxmlformats.org/drawingml/2006/picture">
                <pic:pic>
                  <pic:nvPicPr>
                    <pic:cNvPr id="0" name="pkg_31.jpg"/>
                    <pic:cNvPicPr/>
                  </pic:nvPicPr>
                  <pic:blipFill>
                    <a:blip r:embed="rId73"/>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64" name="Picture 64"/>
            <wp:cNvGraphicFramePr>
              <a:graphicFrameLocks noChangeAspect="1"/>
            </wp:cNvGraphicFramePr>
            <a:graphic>
              <a:graphicData uri="http://schemas.openxmlformats.org/drawingml/2006/picture">
                <pic:pic>
                  <pic:nvPicPr>
                    <pic:cNvPr id="0" name="pkg_32.jpg"/>
                    <pic:cNvPicPr/>
                  </pic:nvPicPr>
                  <pic:blipFill>
                    <a:blip r:embed="rId74"/>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65" name="Picture 65"/>
            <wp:cNvGraphicFramePr>
              <a:graphicFrameLocks noChangeAspect="1"/>
            </wp:cNvGraphicFramePr>
            <a:graphic>
              <a:graphicData uri="http://schemas.openxmlformats.org/drawingml/2006/picture">
                <pic:pic>
                  <pic:nvPicPr>
                    <pic:cNvPr id="0" name="sheet-02.png"/>
                    <pic:cNvPicPr/>
                  </pic:nvPicPr>
                  <pic:blipFill>
                    <a:blip r:embed="rId7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6" name="Picture 66"/>
            <wp:cNvGraphicFramePr>
              <a:graphicFrameLocks noChangeAspect="1"/>
            </wp:cNvGraphicFramePr>
            <a:graphic>
              <a:graphicData uri="http://schemas.openxmlformats.org/drawingml/2006/picture">
                <pic:pic>
                  <pic:nvPicPr>
                    <pic:cNvPr id="0" name="sheet-03.png"/>
                    <pic:cNvPicPr/>
                  </pic:nvPicPr>
                  <pic:blipFill>
                    <a:blip r:embed="rId7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7" name="Picture 67"/>
            <wp:cNvGraphicFramePr>
              <a:graphicFrameLocks noChangeAspect="1"/>
            </wp:cNvGraphicFramePr>
            <a:graphic>
              <a:graphicData uri="http://schemas.openxmlformats.org/drawingml/2006/picture">
                <pic:pic>
                  <pic:nvPicPr>
                    <pic:cNvPr id="0" name="sheet-04.png"/>
                    <pic:cNvPicPr/>
                  </pic:nvPicPr>
                  <pic:blipFill>
                    <a:blip r:embed="rId7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8" name="Picture 68"/>
            <wp:cNvGraphicFramePr>
              <a:graphicFrameLocks noChangeAspect="1"/>
            </wp:cNvGraphicFramePr>
            <a:graphic>
              <a:graphicData uri="http://schemas.openxmlformats.org/drawingml/2006/picture">
                <pic:pic>
                  <pic:nvPicPr>
                    <pic:cNvPr id="0" name="sheet-05.png"/>
                    <pic:cNvPicPr/>
                  </pic:nvPicPr>
                  <pic:blipFill>
                    <a:blip r:embed="rId7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9" name="Picture 69"/>
            <wp:cNvGraphicFramePr>
              <a:graphicFrameLocks noChangeAspect="1"/>
            </wp:cNvGraphicFramePr>
            <a:graphic>
              <a:graphicData uri="http://schemas.openxmlformats.org/drawingml/2006/picture">
                <pic:pic>
                  <pic:nvPicPr>
                    <pic:cNvPr id="0" name="sheet-06.png"/>
                    <pic:cNvPicPr/>
                  </pic:nvPicPr>
                  <pic:blipFill>
                    <a:blip r:embed="rId7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0" name="Picture 70"/>
            <wp:cNvGraphicFramePr>
              <a:graphicFrameLocks noChangeAspect="1"/>
            </wp:cNvGraphicFramePr>
            <a:graphic>
              <a:graphicData uri="http://schemas.openxmlformats.org/drawingml/2006/picture">
                <pic:pic>
                  <pic:nvPicPr>
                    <pic:cNvPr id="0" name="sheet-07.png"/>
                    <pic:cNvPicPr/>
                  </pic:nvPicPr>
                  <pic:blipFill>
                    <a:blip r:embed="rId8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1" name="Picture 71"/>
            <wp:cNvGraphicFramePr>
              <a:graphicFrameLocks noChangeAspect="1"/>
            </wp:cNvGraphicFramePr>
            <a:graphic>
              <a:graphicData uri="http://schemas.openxmlformats.org/drawingml/2006/picture">
                <pic:pic>
                  <pic:nvPicPr>
                    <pic:cNvPr id="0" name="sheet-08.png"/>
                    <pic:cNvPicPr/>
                  </pic:nvPicPr>
                  <pic:blipFill>
                    <a:blip r:embed="rId8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2" name="Picture 72"/>
            <wp:cNvGraphicFramePr>
              <a:graphicFrameLocks noChangeAspect="1"/>
            </wp:cNvGraphicFramePr>
            <a:graphic>
              <a:graphicData uri="http://schemas.openxmlformats.org/drawingml/2006/picture">
                <pic:pic>
                  <pic:nvPicPr>
                    <pic:cNvPr id="0" name="sheet-09.png"/>
                    <pic:cNvPicPr/>
                  </pic:nvPicPr>
                  <pic:blipFill>
                    <a:blip r:embed="rId8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3" name="Picture 73"/>
            <wp:cNvGraphicFramePr>
              <a:graphicFrameLocks noChangeAspect="1"/>
            </wp:cNvGraphicFramePr>
            <a:graphic>
              <a:graphicData uri="http://schemas.openxmlformats.org/drawingml/2006/picture">
                <pic:pic>
                  <pic:nvPicPr>
                    <pic:cNvPr id="0" name="sheet-10.png"/>
                    <pic:cNvPicPr/>
                  </pic:nvPicPr>
                  <pic:blipFill>
                    <a:blip r:embed="rId8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4" name="Picture 74"/>
            <wp:cNvGraphicFramePr>
              <a:graphicFrameLocks noChangeAspect="1"/>
            </wp:cNvGraphicFramePr>
            <a:graphic>
              <a:graphicData uri="http://schemas.openxmlformats.org/drawingml/2006/picture">
                <pic:pic>
                  <pic:nvPicPr>
                    <pic:cNvPr id="0" name="sheet-11.png"/>
                    <pic:cNvPicPr/>
                  </pic:nvPicPr>
                  <pic:blipFill>
                    <a:blip r:embed="rId8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5" name="Picture 75"/>
            <wp:cNvGraphicFramePr>
              <a:graphicFrameLocks noChangeAspect="1"/>
            </wp:cNvGraphicFramePr>
            <a:graphic>
              <a:graphicData uri="http://schemas.openxmlformats.org/drawingml/2006/picture">
                <pic:pic>
                  <pic:nvPicPr>
                    <pic:cNvPr id="0" name="sheet-12.png"/>
                    <pic:cNvPicPr/>
                  </pic:nvPicPr>
                  <pic:blipFill>
                    <a:blip r:embed="rId8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6" name="Picture 76"/>
            <wp:cNvGraphicFramePr>
              <a:graphicFrameLocks noChangeAspect="1"/>
            </wp:cNvGraphicFramePr>
            <a:graphic>
              <a:graphicData uri="http://schemas.openxmlformats.org/drawingml/2006/picture">
                <pic:pic>
                  <pic:nvPicPr>
                    <pic:cNvPr id="0" name="sheet-13.png"/>
                    <pic:cNvPicPr/>
                  </pic:nvPicPr>
                  <pic:blipFill>
                    <a:blip r:embed="rId8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7" name="Picture 77"/>
            <wp:cNvGraphicFramePr>
              <a:graphicFrameLocks noChangeAspect="1"/>
            </wp:cNvGraphicFramePr>
            <a:graphic>
              <a:graphicData uri="http://schemas.openxmlformats.org/drawingml/2006/picture">
                <pic:pic>
                  <pic:nvPicPr>
                    <pic:cNvPr id="0" name="sheet-14.png"/>
                    <pic:cNvPicPr/>
                  </pic:nvPicPr>
                  <pic:blipFill>
                    <a:blip r:embed="rId8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8" name="Picture 78"/>
            <wp:cNvGraphicFramePr>
              <a:graphicFrameLocks noChangeAspect="1"/>
            </wp:cNvGraphicFramePr>
            <a:graphic>
              <a:graphicData uri="http://schemas.openxmlformats.org/drawingml/2006/picture">
                <pic:pic>
                  <pic:nvPicPr>
                    <pic:cNvPr id="0" name="sheet-15.png"/>
                    <pic:cNvPicPr/>
                  </pic:nvPicPr>
                  <pic:blipFill>
                    <a:blip r:embed="rId8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9" name="Picture 79"/>
            <wp:cNvGraphicFramePr>
              <a:graphicFrameLocks noChangeAspect="1"/>
            </wp:cNvGraphicFramePr>
            <a:graphic>
              <a:graphicData uri="http://schemas.openxmlformats.org/drawingml/2006/picture">
                <pic:pic>
                  <pic:nvPicPr>
                    <pic:cNvPr id="0" name="sheet-16.png"/>
                    <pic:cNvPicPr/>
                  </pic:nvPicPr>
                  <pic:blipFill>
                    <a:blip r:embed="rId8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0" name="Picture 80"/>
            <wp:cNvGraphicFramePr>
              <a:graphicFrameLocks noChangeAspect="1"/>
            </wp:cNvGraphicFramePr>
            <a:graphic>
              <a:graphicData uri="http://schemas.openxmlformats.org/drawingml/2006/picture">
                <pic:pic>
                  <pic:nvPicPr>
                    <pic:cNvPr id="0" name="sheet-17.png"/>
                    <pic:cNvPicPr/>
                  </pic:nvPicPr>
                  <pic:blipFill>
                    <a:blip r:embed="rId9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1" name="Picture 81"/>
            <wp:cNvGraphicFramePr>
              <a:graphicFrameLocks noChangeAspect="1"/>
            </wp:cNvGraphicFramePr>
            <a:graphic>
              <a:graphicData uri="http://schemas.openxmlformats.org/drawingml/2006/picture">
                <pic:pic>
                  <pic:nvPicPr>
                    <pic:cNvPr id="0" name="sheet-18.png"/>
                    <pic:cNvPicPr/>
                  </pic:nvPicPr>
                  <pic:blipFill>
                    <a:blip r:embed="rId9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2" name="Picture 82"/>
            <wp:cNvGraphicFramePr>
              <a:graphicFrameLocks noChangeAspect="1"/>
            </wp:cNvGraphicFramePr>
            <a:graphic>
              <a:graphicData uri="http://schemas.openxmlformats.org/drawingml/2006/picture">
                <pic:pic>
                  <pic:nvPicPr>
                    <pic:cNvPr id="0" name="sheet-19.png"/>
                    <pic:cNvPicPr/>
                  </pic:nvPicPr>
                  <pic:blipFill>
                    <a:blip r:embed="rId9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3" name="Picture 83"/>
            <wp:cNvGraphicFramePr>
              <a:graphicFrameLocks noChangeAspect="1"/>
            </wp:cNvGraphicFramePr>
            <a:graphic>
              <a:graphicData uri="http://schemas.openxmlformats.org/drawingml/2006/picture">
                <pic:pic>
                  <pic:nvPicPr>
                    <pic:cNvPr id="0" name="sheet-20.png"/>
                    <pic:cNvPicPr/>
                  </pic:nvPicPr>
                  <pic:blipFill>
                    <a:blip r:embed="rId9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4" name="Picture 84"/>
            <wp:cNvGraphicFramePr>
              <a:graphicFrameLocks noChangeAspect="1"/>
            </wp:cNvGraphicFramePr>
            <a:graphic>
              <a:graphicData uri="http://schemas.openxmlformats.org/drawingml/2006/picture">
                <pic:pic>
                  <pic:nvPicPr>
                    <pic:cNvPr id="0" name="sheet-21.png"/>
                    <pic:cNvPicPr/>
                  </pic:nvPicPr>
                  <pic:blipFill>
                    <a:blip r:embed="rId9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5" name="Picture 85"/>
            <wp:cNvGraphicFramePr>
              <a:graphicFrameLocks noChangeAspect="1"/>
            </wp:cNvGraphicFramePr>
            <a:graphic>
              <a:graphicData uri="http://schemas.openxmlformats.org/drawingml/2006/picture">
                <pic:pic>
                  <pic:nvPicPr>
                    <pic:cNvPr id="0" name="sheet-22.png"/>
                    <pic:cNvPicPr/>
                  </pic:nvPicPr>
                  <pic:blipFill>
                    <a:blip r:embed="rId9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6" name="Picture 86"/>
            <wp:cNvGraphicFramePr>
              <a:graphicFrameLocks noChangeAspect="1"/>
            </wp:cNvGraphicFramePr>
            <a:graphic>
              <a:graphicData uri="http://schemas.openxmlformats.org/drawingml/2006/picture">
                <pic:pic>
                  <pic:nvPicPr>
                    <pic:cNvPr id="0" name="sheet-23.png"/>
                    <pic:cNvPicPr/>
                  </pic:nvPicPr>
                  <pic:blipFill>
                    <a:blip r:embed="rId96"/>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87" name="Picture 87"/>
            <wp:cNvGraphicFramePr>
              <a:graphicFrameLocks noChangeAspect="1"/>
            </wp:cNvGraphicFramePr>
            <a:graphic>
              <a:graphicData uri="http://schemas.openxmlformats.org/drawingml/2006/picture">
                <pic:pic>
                  <pic:nvPicPr>
                    <pic:cNvPr id="0" name="view01.jpg"/>
                    <pic:cNvPicPr/>
                  </pic:nvPicPr>
                  <pic:blipFill>
                    <a:blip r:embed="rId97"/>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88" name="Picture 88"/>
            <wp:cNvGraphicFramePr>
              <a:graphicFrameLocks noChangeAspect="1"/>
            </wp:cNvGraphicFramePr>
            <a:graphic>
              <a:graphicData uri="http://schemas.openxmlformats.org/drawingml/2006/picture">
                <pic:pic>
                  <pic:nvPicPr>
                    <pic:cNvPr id="0" name="view02.jpg"/>
                    <pic:cNvPicPr/>
                  </pic:nvPicPr>
                  <pic:blipFill>
                    <a:blip r:embed="rId9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89" name="Picture 89"/>
            <wp:cNvGraphicFramePr>
              <a:graphicFrameLocks noChangeAspect="1"/>
            </wp:cNvGraphicFramePr>
            <a:graphic>
              <a:graphicData uri="http://schemas.openxmlformats.org/drawingml/2006/picture">
                <pic:pic>
                  <pic:nvPicPr>
                    <pic:cNvPr id="0" name="view03.jpg"/>
                    <pic:cNvPicPr/>
                  </pic:nvPicPr>
                  <pic:blipFill>
                    <a:blip r:embed="rId99"/>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90" name="Picture 90"/>
            <wp:cNvGraphicFramePr>
              <a:graphicFrameLocks noChangeAspect="1"/>
            </wp:cNvGraphicFramePr>
            <a:graphic>
              <a:graphicData uri="http://schemas.openxmlformats.org/drawingml/2006/picture">
                <pic:pic>
                  <pic:nvPicPr>
                    <pic:cNvPr id="0" name="view04.jpg"/>
                    <pic:cNvPicPr/>
                  </pic:nvPicPr>
                  <pic:blipFill>
                    <a:blip r:embed="rId100"/>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1" name="Picture 91"/>
            <wp:cNvGraphicFramePr>
              <a:graphicFrameLocks noChangeAspect="1"/>
            </wp:cNvGraphicFramePr>
            <a:graphic>
              <a:graphicData uri="http://schemas.openxmlformats.org/drawingml/2006/picture">
                <pic:pic>
                  <pic:nvPicPr>
                    <pic:cNvPr id="0" name="view05.jpg"/>
                    <pic:cNvPicPr/>
                  </pic:nvPicPr>
                  <pic:blipFill>
                    <a:blip r:embed="rId10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2" name="Picture 92"/>
            <wp:cNvGraphicFramePr>
              <a:graphicFrameLocks noChangeAspect="1"/>
            </wp:cNvGraphicFramePr>
            <a:graphic>
              <a:graphicData uri="http://schemas.openxmlformats.org/drawingml/2006/picture">
                <pic:pic>
                  <pic:nvPicPr>
                    <pic:cNvPr id="0" name="view06.jpg"/>
                    <pic:cNvPicPr/>
                  </pic:nvPicPr>
                  <pic:blipFill>
                    <a:blip r:embed="rId102"/>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3" name="Picture 93"/>
            <wp:cNvGraphicFramePr>
              <a:graphicFrameLocks noChangeAspect="1"/>
            </wp:cNvGraphicFramePr>
            <a:graphic>
              <a:graphicData uri="http://schemas.openxmlformats.org/drawingml/2006/picture">
                <pic:pic>
                  <pic:nvPicPr>
                    <pic:cNvPr id="0" name="view07.jpg"/>
                    <pic:cNvPicPr/>
                  </pic:nvPicPr>
                  <pic:blipFill>
                    <a:blip r:embed="rId103"/>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4" name="Picture 94"/>
            <wp:cNvGraphicFramePr>
              <a:graphicFrameLocks noChangeAspect="1"/>
            </wp:cNvGraphicFramePr>
            <a:graphic>
              <a:graphicData uri="http://schemas.openxmlformats.org/drawingml/2006/picture">
                <pic:pic>
                  <pic:nvPicPr>
                    <pic:cNvPr id="0" name="view08.jpg"/>
                    <pic:cNvPicPr/>
                  </pic:nvPicPr>
                  <pic:blipFill>
                    <a:blip r:embed="rId104"/>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5" name="Picture 95"/>
            <wp:cNvGraphicFramePr>
              <a:graphicFrameLocks noChangeAspect="1"/>
            </wp:cNvGraphicFramePr>
            <a:graphic>
              <a:graphicData uri="http://schemas.openxmlformats.org/drawingml/2006/picture">
                <pic:pic>
                  <pic:nvPicPr>
                    <pic:cNvPr id="0" name="view09.jpg"/>
                    <pic:cNvPicPr/>
                  </pic:nvPicPr>
                  <pic:blipFill>
                    <a:blip r:embed="rId10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6" name="Picture 96"/>
            <wp:cNvGraphicFramePr>
              <a:graphicFrameLocks noChangeAspect="1"/>
            </wp:cNvGraphicFramePr>
            <a:graphic>
              <a:graphicData uri="http://schemas.openxmlformats.org/drawingml/2006/picture">
                <pic:pic>
                  <pic:nvPicPr>
                    <pic:cNvPr id="0" name="view10.jpg"/>
                    <pic:cNvPicPr/>
                  </pic:nvPicPr>
                  <pic:blipFill>
                    <a:blip r:embed="rId106"/>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w:t>
            </w:r>
          </w:p>
        </w:tc>
      </w:tr>
    </w:tbl>
    <w:p>
      <w:pPr>
        <w:spacing w:after="40"/>
      </w:pPr>
    </w:p>
    <w:p>
      <w:r>
        <w:br w:type="page"/>
      </w: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external mechanical/casing development partner (legal identity now confirmed as PT Galaksi Megatama Indonesia — see Section 1.4) and its bill of materials has not yet been provided to the authors.</w:t>
            </w:r>
          </w:p>
        </w:tc>
      </w:tr>
    </w:tbl>
    <w:p>
      <w:pPr>
        <w:spacing w:after="80"/>
      </w:pP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wall thickness TBC;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thread form, pitch and engagement TBC</w:t>
            </w:r>
          </w:p>
        </w:tc>
        <w:tc>
          <w:tcPr>
            <w:tcW w:type="dxa" w:w="1224"/>
          </w:tcPr>
          <w:p>
            <w:pPr>
              <w:spacing w:after="20"/>
            </w:pPr>
            <w:r>
              <w:rPr>
                <w:sz w:val="14"/>
              </w:rPr>
              <w:t>Flameproof joint</w:t>
            </w:r>
          </w:p>
        </w:tc>
        <w:tc>
          <w:tcPr>
            <w:tcW w:type="dxa" w:w="1080"/>
          </w:tcPr>
          <w:p>
            <w:pPr>
              <w:spacing w:after="20"/>
            </w:pPr>
            <w:r>
              <w:rPr>
                <w:sz w:val="14"/>
              </w:rPr>
              <w:t>Assembly M-E9 (closed by turning clockwise)</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TBC</w:t>
            </w:r>
          </w:p>
        </w:tc>
        <w:tc>
          <w:tcPr>
            <w:tcW w:type="dxa" w:w="1224"/>
          </w:tcPr>
          <w:p>
            <w:pPr>
              <w:spacing w:after="20"/>
            </w:pPr>
            <w:r>
              <w:rPr>
                <w:sz w:val="14"/>
              </w:rPr>
              <w:t>Model TBC</w:t>
            </w:r>
          </w:p>
        </w:tc>
        <w:tc>
          <w:tcPr>
            <w:tcW w:type="dxa" w:w="1800"/>
          </w:tcPr>
          <w:p>
            <w:pPr>
              <w:spacing w:after="20"/>
            </w:pPr>
            <w:r>
              <w:rPr>
                <w:sz w:val="14"/>
              </w:rPr>
              <w:t>5 V; current, power, motor type, max. temperature TBC</w:t>
            </w:r>
          </w:p>
        </w:tc>
        <w:tc>
          <w:tcPr>
            <w:tcW w:type="dxa" w:w="1224"/>
          </w:tcPr>
          <w:p>
            <w:pPr>
              <w:spacing w:after="20"/>
            </w:pPr>
            <w:r>
              <w:rPr>
                <w:sz w:val="14"/>
              </w:rPr>
              <w:t>Gas sampling; potential ignition source (IS-02)</w:t>
            </w:r>
          </w:p>
        </w:tc>
        <w:tc>
          <w:tcPr>
            <w:tcW w:type="dxa" w:w="1080"/>
          </w:tcPr>
          <w:p>
            <w:pPr>
              <w:spacing w:after="20"/>
            </w:pPr>
            <w:r>
              <w:rPr>
                <w:sz w:val="14"/>
              </w:rPr>
              <w:t>Driven by Q5 (sheet 24)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waterproof cable connector (M-D14), to be replaced/confirmed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for any unused entry (BP18-1Z has two entries)</w:t>
            </w:r>
          </w:p>
        </w:tc>
        <w:tc>
          <w:tcPr>
            <w:tcW w:type="dxa" w:w="1224"/>
          </w:tcPr>
          <w:p>
            <w:pPr>
              <w:spacing w:after="20"/>
            </w:pPr>
            <w:r>
              <w:rPr>
                <w:sz w:val="14"/>
              </w:rPr>
              <w:t>Closes unused entry</w:t>
            </w:r>
          </w:p>
        </w:tc>
        <w:tc>
          <w:tcPr>
            <w:tcW w:type="dxa" w:w="1080"/>
          </w:tcPr>
          <w:p>
            <w:pPr>
              <w:spacing w:after="20"/>
            </w:pPr>
            <w:r>
              <w:rPr>
                <w:sz w:val="14"/>
              </w:rPr>
              <w:t>—</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SMA; material and sealing TBC</w:t>
            </w:r>
          </w:p>
        </w:tc>
        <w:tc>
          <w:tcPr>
            <w:tcW w:type="dxa" w:w="1224"/>
          </w:tcPr>
          <w:p>
            <w:pPr>
              <w:spacing w:after="20"/>
            </w:pPr>
            <w:r>
              <w:rPr>
                <w:sz w:val="14"/>
              </w:rPr>
              <w:t>Enclosure penetration</w:t>
            </w:r>
          </w:p>
        </w:tc>
        <w:tc>
          <w:tcPr>
            <w:tcW w:type="dxa" w:w="1080"/>
          </w:tcPr>
          <w:p>
            <w:pPr>
              <w:spacing w:after="20"/>
            </w:pPr>
            <w:r>
              <w:rPr>
                <w:sz w:val="14"/>
              </w:rPr>
              <w:t>—</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2.3.c — identified as a rubber gasket in the casing partner's assembly drawing, specific compound/grade not yet specified); the integral seal of the candidate M20×1.5 cable gland — per project direction, specified together with the gland itself from the BP18-1Z reference (Section 2.3.c),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pPr>
        <w:spacing w:after="80"/>
      </w:pP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sealing ring</w:t>
            </w:r>
          </w:p>
        </w:tc>
        <w:tc>
          <w:tcPr>
            <w:tcW w:type="dxa" w:w="1656"/>
          </w:tcPr>
          <w:p>
            <w:pPr>
              <w:spacing w:after="20"/>
            </w:pPr>
            <w:r>
              <w:rPr>
                <w:sz w:val="15"/>
              </w:rPr>
              <w:t>Per gland supplier</w:t>
            </w:r>
          </w:p>
        </w:tc>
        <w:tc>
          <w:tcPr>
            <w:tcW w:type="dxa" w:w="1224"/>
          </w:tcPr>
          <w:p>
            <w:pPr>
              <w:spacing w:after="20"/>
            </w:pPr>
            <w:r>
              <w:rPr>
                <w:sz w:val="15"/>
              </w:rPr>
              <w:t>Gland supplier</w:t>
            </w:r>
          </w:p>
        </w:tc>
        <w:tc>
          <w:tcPr>
            <w:tcW w:type="dxa" w:w="1944"/>
          </w:tcPr>
          <w:p>
            <w:pPr>
              <w:spacing w:after="20"/>
            </w:pPr>
            <w:r>
              <w:rPr>
                <w:sz w:val="15"/>
              </w:rPr>
              <w:t>Temp., flame rating, UV/chemical</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pPr>
        <w:spacing w:after="80"/>
      </w:pP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from the casing development partner and a confirmed protection concept with the ExCB.</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 pending ExCB confirmation of the Ex d protection concept and final enclosure design.</w:t>
            </w:r>
          </w:p>
        </w:tc>
      </w:tr>
    </w:tbl>
    <w:p>
      <w:pPr>
        <w:spacing w:after="80"/>
      </w:pP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body measured 36.3 °C (normal and stalled); confirm fan type, ratings, fault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using thermocouples at eight locations (plus an ambient reference), under three conditions: normal operation, maximum load, and fan stalled (an expected malfunction of the internal DC cooling fan). Each condition was logged for 180 minutes at an ambient temperature of approximately 24–25°C.</w:t>
      </w:r>
    </w:p>
    <w:tbl>
      <w:tblPr>
        <w:tblStyle w:val="TableGrid"/>
        <w:tblW w:type="auto" w:w="0"/>
        <w:jc w:val="center"/>
        <w:tblLayout w:type="fixed"/>
        <w:tblLook w:firstColumn="1" w:firstRow="1" w:lastColumn="0" w:lastRow="0" w:noHBand="0" w:noVBand="1" w:val="04A0"/>
        <w:tblLayout w:type="fixed"/>
      </w:tblPr>
      <w:tblGrid>
        <w:gridCol w:w="1152"/>
        <w:gridCol w:w="3744"/>
        <w:gridCol w:w="4464"/>
      </w:tblGrid>
      <w:tr>
        <w:trPr>
          <w:tblHeader w:val="true"/>
        </w:trPr>
        <w:tc>
          <w:tcPr>
            <w:tcW w:type="dxa" w:w="1152"/>
            <w:shd w:val="clear" w:color="auto" w:fill="EFEFEF"/>
          </w:tcPr>
          <w:p>
            <w:pPr>
              <w:spacing w:after="40"/>
            </w:pPr>
            <w:r>
              <w:rPr>
                <w:b/>
                <w:color w:val="4A4A4A"/>
                <w:sz w:val="18"/>
              </w:rPr>
              <w:t>CHANNEL</w:t>
            </w:r>
          </w:p>
        </w:tc>
        <w:tc>
          <w:tcPr>
            <w:tcW w:type="dxa" w:w="3744"/>
            <w:shd w:val="clear" w:color="auto" w:fill="EFEFEF"/>
          </w:tcPr>
          <w:p>
            <w:pPr>
              <w:spacing w:after="40"/>
            </w:pPr>
            <w:r>
              <w:rPr>
                <w:b/>
                <w:color w:val="4A4A4A"/>
                <w:sz w:val="18"/>
              </w:rPr>
              <w:t>LOCATION</w:t>
            </w:r>
          </w:p>
        </w:tc>
        <w:tc>
          <w:tcPr>
            <w:tcW w:type="dxa" w:w="4464"/>
            <w:shd w:val="clear" w:color="auto" w:fill="EFEFEF"/>
          </w:tcPr>
          <w:p>
            <w:pPr>
              <w:spacing w:after="40"/>
            </w:pPr>
            <w:r>
              <w:rPr>
                <w:b/>
                <w:color w:val="4A4A4A"/>
                <w:sz w:val="18"/>
              </w:rPr>
              <w:t>RATIONALE</w:t>
            </w:r>
          </w:p>
        </w:tc>
      </w:tr>
      <w:tr>
        <w:trPr>
          <w:cantSplit/>
        </w:trPr>
        <w:tc>
          <w:tcPr>
            <w:tcW w:type="dxa" w:w="1152"/>
          </w:tcPr>
          <w:p>
            <w:pPr>
              <w:spacing w:after="40"/>
            </w:pPr>
            <w:r>
              <w:rPr>
                <w:b/>
                <w:sz w:val="19"/>
              </w:rPr>
              <w:t>T amb</w:t>
            </w:r>
          </w:p>
        </w:tc>
        <w:tc>
          <w:tcPr>
            <w:tcW w:type="dxa" w:w="3744"/>
          </w:tcPr>
          <w:p>
            <w:pPr>
              <w:spacing w:after="40"/>
            </w:pPr>
            <w:r>
              <w:rPr>
                <w:sz w:val="19"/>
              </w:rPr>
              <w:t>Air around the unit</w:t>
            </w:r>
          </w:p>
        </w:tc>
        <w:tc>
          <w:tcPr>
            <w:tcW w:type="dxa" w:w="4464"/>
          </w:tcPr>
          <w:p>
            <w:pPr>
              <w:spacing w:after="40"/>
            </w:pPr>
            <w:r>
              <w:rPr>
                <w:sz w:val="19"/>
              </w:rPr>
              <w:t>Reference temperature</w:t>
            </w:r>
          </w:p>
        </w:tc>
      </w:tr>
      <w:tr>
        <w:trPr>
          <w:cantSplit/>
        </w:trPr>
        <w:tc>
          <w:tcPr>
            <w:tcW w:type="dxa" w:w="1152"/>
          </w:tcPr>
          <w:p>
            <w:pPr>
              <w:spacing w:after="40"/>
            </w:pPr>
            <w:r>
              <w:rPr>
                <w:b/>
                <w:sz w:val="19"/>
              </w:rPr>
              <w:t>TC-1</w:t>
            </w:r>
          </w:p>
        </w:tc>
        <w:tc>
          <w:tcPr>
            <w:tcW w:type="dxa" w:w="3744"/>
          </w:tcPr>
          <w:p>
            <w:pPr>
              <w:spacing w:after="40"/>
            </w:pPr>
            <w:r>
              <w:rPr>
                <w:sz w:val="19"/>
              </w:rPr>
              <w:t>Hottest MQ sensor body</w:t>
            </w:r>
          </w:p>
        </w:tc>
        <w:tc>
          <w:tcPr>
            <w:tcW w:type="dxa" w:w="4464"/>
          </w:tcPr>
          <w:p>
            <w:pPr>
              <w:spacing w:after="40"/>
            </w:pPr>
            <w:r>
              <w:rPr>
                <w:sz w:val="19"/>
              </w:rPr>
              <w:t>The sensor heater is the main potential heat source</w:t>
            </w:r>
          </w:p>
        </w:tc>
      </w:tr>
      <w:tr>
        <w:trPr>
          <w:cantSplit/>
        </w:trPr>
        <w:tc>
          <w:tcPr>
            <w:tcW w:type="dxa" w:w="1152"/>
          </w:tcPr>
          <w:p>
            <w:pPr>
              <w:spacing w:after="40"/>
            </w:pPr>
            <w:r>
              <w:rPr>
                <w:b/>
                <w:sz w:val="19"/>
              </w:rPr>
              <w:t>TC-2</w:t>
            </w:r>
          </w:p>
        </w:tc>
        <w:tc>
          <w:tcPr>
            <w:tcW w:type="dxa" w:w="3744"/>
          </w:tcPr>
          <w:p>
            <w:pPr>
              <w:spacing w:after="40"/>
            </w:pPr>
            <w:r>
              <w:rPr>
                <w:sz w:val="19"/>
              </w:rPr>
              <w:t>DC fan motor/body</w:t>
            </w:r>
          </w:p>
        </w:tc>
        <w:tc>
          <w:tcPr>
            <w:tcW w:type="dxa" w:w="4464"/>
          </w:tcPr>
          <w:p>
            <w:pPr>
              <w:spacing w:after="40"/>
            </w:pPr>
            <w:r>
              <w:rPr>
                <w:sz w:val="19"/>
              </w:rPr>
              <w:t>Normal and stalled-fan heating</w:t>
            </w:r>
          </w:p>
        </w:tc>
      </w:tr>
      <w:tr>
        <w:trPr>
          <w:cantSplit/>
        </w:trPr>
        <w:tc>
          <w:tcPr>
            <w:tcW w:type="dxa" w:w="1152"/>
          </w:tcPr>
          <w:p>
            <w:pPr>
              <w:spacing w:after="40"/>
            </w:pPr>
            <w:r>
              <w:rPr>
                <w:b/>
                <w:sz w:val="19"/>
              </w:rPr>
              <w:t>TC-3</w:t>
            </w:r>
          </w:p>
        </w:tc>
        <w:tc>
          <w:tcPr>
            <w:tcW w:type="dxa" w:w="3744"/>
          </w:tcPr>
          <w:p>
            <w:pPr>
              <w:spacing w:after="40"/>
            </w:pPr>
            <w:r>
              <w:rPr>
                <w:sz w:val="19"/>
              </w:rPr>
              <w:t>DC/DC converter</w:t>
            </w:r>
          </w:p>
        </w:tc>
        <w:tc>
          <w:tcPr>
            <w:tcW w:type="dxa" w:w="4464"/>
          </w:tcPr>
          <w:p>
            <w:pPr>
              <w:spacing w:after="40"/>
            </w:pPr>
            <w:r>
              <w:rPr>
                <w:sz w:val="19"/>
              </w:rPr>
              <w:t>Power component — not yet measured</w:t>
            </w:r>
          </w:p>
        </w:tc>
      </w:tr>
      <w:tr>
        <w:trPr>
          <w:cantSplit/>
        </w:trPr>
        <w:tc>
          <w:tcPr>
            <w:tcW w:type="dxa" w:w="1152"/>
          </w:tcPr>
          <w:p>
            <w:pPr>
              <w:spacing w:after="40"/>
            </w:pPr>
            <w:r>
              <w:rPr>
                <w:b/>
                <w:sz w:val="19"/>
              </w:rPr>
              <w:t>TC-4</w:t>
            </w:r>
          </w:p>
        </w:tc>
        <w:tc>
          <w:tcPr>
            <w:tcW w:type="dxa" w:w="3744"/>
          </w:tcPr>
          <w:p>
            <w:pPr>
              <w:spacing w:after="40"/>
            </w:pPr>
            <w:r>
              <w:rPr>
                <w:sz w:val="19"/>
              </w:rPr>
              <w:t>Power inductor</w:t>
            </w:r>
          </w:p>
        </w:tc>
        <w:tc>
          <w:tcPr>
            <w:tcW w:type="dxa" w:w="4464"/>
          </w:tcPr>
          <w:p>
            <w:pPr>
              <w:spacing w:after="40"/>
            </w:pPr>
            <w:r>
              <w:rPr>
                <w:sz w:val="19"/>
              </w:rPr>
              <w:t>Potential hot spot — not yet measured</w:t>
            </w:r>
          </w:p>
        </w:tc>
      </w:tr>
      <w:tr>
        <w:trPr>
          <w:cantSplit/>
        </w:trPr>
        <w:tc>
          <w:tcPr>
            <w:tcW w:type="dxa" w:w="1152"/>
          </w:tcPr>
          <w:p>
            <w:pPr>
              <w:spacing w:after="40"/>
            </w:pPr>
            <w:r>
              <w:rPr>
                <w:b/>
                <w:sz w:val="19"/>
              </w:rPr>
              <w:t>TC-5</w:t>
            </w:r>
          </w:p>
        </w:tc>
        <w:tc>
          <w:tcPr>
            <w:tcW w:type="dxa" w:w="3744"/>
          </w:tcPr>
          <w:p>
            <w:pPr>
              <w:spacing w:after="40"/>
            </w:pPr>
            <w:r>
              <w:rPr>
                <w:sz w:val="19"/>
              </w:rPr>
              <w:t>MOSFET / power diode</w:t>
            </w:r>
          </w:p>
        </w:tc>
        <w:tc>
          <w:tcPr>
            <w:tcW w:type="dxa" w:w="4464"/>
          </w:tcPr>
          <w:p>
            <w:pPr>
              <w:spacing w:after="40"/>
            </w:pPr>
            <w:r>
              <w:rPr>
                <w:sz w:val="19"/>
              </w:rPr>
              <w:t>Potential local heating — not yet measured</w:t>
            </w:r>
          </w:p>
        </w:tc>
      </w:tr>
      <w:tr>
        <w:trPr>
          <w:cantSplit/>
        </w:trPr>
        <w:tc>
          <w:tcPr>
            <w:tcW w:type="dxa" w:w="1152"/>
          </w:tcPr>
          <w:p>
            <w:pPr>
              <w:spacing w:after="40"/>
            </w:pPr>
            <w:r>
              <w:rPr>
                <w:b/>
                <w:sz w:val="19"/>
              </w:rPr>
              <w:t>TC-6</w:t>
            </w:r>
          </w:p>
        </w:tc>
        <w:tc>
          <w:tcPr>
            <w:tcW w:type="dxa" w:w="3744"/>
          </w:tcPr>
          <w:p>
            <w:pPr>
              <w:spacing w:after="40"/>
            </w:pPr>
            <w:r>
              <w:rPr>
                <w:sz w:val="19"/>
              </w:rPr>
              <w:t>Hottest PCB area</w:t>
            </w:r>
          </w:p>
        </w:tc>
        <w:tc>
          <w:tcPr>
            <w:tcW w:type="dxa" w:w="4464"/>
          </w:tcPr>
          <w:p>
            <w:pPr>
              <w:spacing w:after="40"/>
            </w:pPr>
            <w:r>
              <w:rPr>
                <w:sz w:val="19"/>
              </w:rPr>
              <w:t>PCB temperature verification</w:t>
            </w:r>
          </w:p>
        </w:tc>
      </w:tr>
      <w:tr>
        <w:trPr>
          <w:cantSplit/>
        </w:trPr>
        <w:tc>
          <w:tcPr>
            <w:tcW w:type="dxa" w:w="1152"/>
          </w:tcPr>
          <w:p>
            <w:pPr>
              <w:spacing w:after="40"/>
            </w:pPr>
            <w:r>
              <w:rPr>
                <w:b/>
                <w:sz w:val="19"/>
              </w:rPr>
              <w:t>TC-7</w:t>
            </w:r>
          </w:p>
        </w:tc>
        <w:tc>
          <w:tcPr>
            <w:tcW w:type="dxa" w:w="3744"/>
          </w:tcPr>
          <w:p>
            <w:pPr>
              <w:spacing w:after="40"/>
            </w:pPr>
            <w:r>
              <w:rPr>
                <w:sz w:val="19"/>
              </w:rPr>
              <w:t>External enclosure surface near the heat source</w:t>
            </w:r>
          </w:p>
        </w:tc>
        <w:tc>
          <w:tcPr>
            <w:tcW w:type="dxa" w:w="4464"/>
          </w:tcPr>
          <w:p>
            <w:pPr>
              <w:spacing w:after="40"/>
            </w:pPr>
            <w:r>
              <w:rPr>
                <w:sz w:val="19"/>
              </w:rPr>
              <w:t>Candidate external maximum</w:t>
            </w:r>
          </w:p>
        </w:tc>
      </w:tr>
      <w:tr>
        <w:trPr>
          <w:cantSplit/>
        </w:trPr>
        <w:tc>
          <w:tcPr>
            <w:tcW w:type="dxa" w:w="1152"/>
          </w:tcPr>
          <w:p>
            <w:pPr>
              <w:spacing w:after="40"/>
            </w:pPr>
            <w:r>
              <w:rPr>
                <w:b/>
                <w:sz w:val="19"/>
              </w:rPr>
              <w:t>TC-8</w:t>
            </w:r>
          </w:p>
        </w:tc>
        <w:tc>
          <w:tcPr>
            <w:tcW w:type="dxa" w:w="3744"/>
          </w:tcPr>
          <w:p>
            <w:pPr>
              <w:spacing w:after="40"/>
            </w:pPr>
            <w:r>
              <w:rPr>
                <w:sz w:val="19"/>
              </w:rPr>
              <w:t>Other external enclosure surface</w:t>
            </w:r>
          </w:p>
        </w:tc>
        <w:tc>
          <w:tcPr>
            <w:tcW w:type="dxa" w:w="4464"/>
          </w:tcPr>
          <w:p>
            <w:pPr>
              <w:spacing w:after="40"/>
            </w:pPr>
            <w:r>
              <w:rPr>
                <w:sz w:val="19"/>
              </w:rPr>
              <w:t>Confirms the external maximum is not missed</w:t>
            </w:r>
          </w:p>
        </w:tc>
      </w:tr>
    </w:tbl>
    <w:p>
      <w:pPr>
        <w:spacing w:after="40"/>
      </w:pPr>
    </w:p>
    <w:p>
      <w:pPr>
        <w:spacing w:after="160"/>
      </w:pPr>
      <w:r>
        <w:rPr>
          <w:b w:val="0"/>
          <w:i w:val="0"/>
          <w:sz w:val="21"/>
        </w:rPr>
        <w:t>Maximum values recorded over the 180-minute runs, and the same values extrapolated to the +60°C maximum rated ambient (Section 2.5) by adding the measured temperature rise above ambient:</w:t>
      </w:r>
    </w:p>
    <w:tbl>
      <w:tblPr>
        <w:tblStyle w:val="TableGrid"/>
        <w:tblW w:type="auto" w:w="0"/>
        <w:jc w:val="center"/>
        <w:tblLayout w:type="fixed"/>
        <w:tblLook w:firstColumn="1" w:firstRow="1" w:lastColumn="0" w:lastRow="0" w:noHBand="0" w:noVBand="1" w:val="04A0"/>
        <w:tblLayout w:type="fixed"/>
      </w:tblPr>
      <w:tblGrid>
        <w:gridCol w:w="2015"/>
        <w:gridCol w:w="1152"/>
        <w:gridCol w:w="1728"/>
        <w:gridCol w:w="1584"/>
        <w:gridCol w:w="1152"/>
        <w:gridCol w:w="1728"/>
      </w:tblGrid>
      <w:tr>
        <w:trPr>
          <w:tblHeader w:val="true"/>
        </w:trPr>
        <w:tc>
          <w:tcPr>
            <w:tcW w:type="dxa" w:w="2016"/>
            <w:shd w:val="clear" w:color="auto" w:fill="EFEFEF"/>
          </w:tcPr>
          <w:p>
            <w:pPr>
              <w:spacing w:after="40"/>
            </w:pPr>
            <w:r>
              <w:rPr>
                <w:b/>
                <w:color w:val="4A4A4A"/>
                <w:sz w:val="18"/>
              </w:rPr>
              <w:t>CONDITION</w:t>
            </w:r>
          </w:p>
        </w:tc>
        <w:tc>
          <w:tcPr>
            <w:tcW w:type="dxa" w:w="1152"/>
            <w:shd w:val="clear" w:color="auto" w:fill="EFEFEF"/>
          </w:tcPr>
          <w:p>
            <w:pPr>
              <w:spacing w:after="40"/>
            </w:pPr>
            <w:r>
              <w:rPr>
                <w:b/>
                <w:color w:val="4A4A4A"/>
                <w:sz w:val="18"/>
              </w:rPr>
              <w:t>MEAN T AMB</w:t>
            </w:r>
          </w:p>
        </w:tc>
        <w:tc>
          <w:tcPr>
            <w:tcW w:type="dxa" w:w="1728"/>
            <w:shd w:val="clear" w:color="auto" w:fill="EFEFEF"/>
          </w:tcPr>
          <w:p>
            <w:pPr>
              <w:spacing w:after="40"/>
            </w:pPr>
            <w:r>
              <w:rPr>
                <w:b/>
                <w:color w:val="4A4A4A"/>
                <w:sz w:val="18"/>
              </w:rPr>
              <w:t>MQ SENSOR BODY (TC-1)</w:t>
            </w:r>
          </w:p>
        </w:tc>
        <w:tc>
          <w:tcPr>
            <w:tcW w:type="dxa" w:w="1584"/>
            <w:shd w:val="clear" w:color="auto" w:fill="EFEFEF"/>
          </w:tcPr>
          <w:p>
            <w:pPr>
              <w:spacing w:after="40"/>
            </w:pPr>
            <w:r>
              <w:rPr>
                <w:b/>
                <w:color w:val="4A4A4A"/>
                <w:sz w:val="18"/>
              </w:rPr>
              <w:t>PCB (TC-6)</w:t>
            </w:r>
          </w:p>
        </w:tc>
        <w:tc>
          <w:tcPr>
            <w:tcW w:type="dxa" w:w="1152"/>
            <w:shd w:val="clear" w:color="auto" w:fill="EFEFEF"/>
          </w:tcPr>
          <w:p>
            <w:pPr>
              <w:spacing w:after="40"/>
            </w:pPr>
            <w:r>
              <w:rPr>
                <w:b/>
                <w:color w:val="4A4A4A"/>
                <w:sz w:val="18"/>
              </w:rPr>
              <w:t>FAN (TC-2)</w:t>
            </w:r>
          </w:p>
        </w:tc>
        <w:tc>
          <w:tcPr>
            <w:tcW w:type="dxa" w:w="1728"/>
            <w:shd w:val="clear" w:color="auto" w:fill="EFEFEF"/>
          </w:tcPr>
          <w:p>
            <w:pPr>
              <w:spacing w:after="40"/>
            </w:pPr>
            <w:r>
              <w:rPr>
                <w:b/>
                <w:color w:val="4A4A4A"/>
                <w:sz w:val="18"/>
              </w:rPr>
              <w:t>EXTERNAL ENCLOSURE (TC-7/8)</w:t>
            </w:r>
          </w:p>
        </w:tc>
      </w:tr>
      <w:tr>
        <w:trPr>
          <w:cantSplit/>
        </w:trPr>
        <w:tc>
          <w:tcPr>
            <w:tcW w:type="dxa" w:w="2016"/>
          </w:tcPr>
          <w:p>
            <w:pPr>
              <w:spacing w:after="40"/>
            </w:pPr>
            <w:r>
              <w:rPr>
                <w:b/>
                <w:sz w:val="19"/>
              </w:rPr>
              <w:t>Normal operation</w:t>
            </w:r>
          </w:p>
        </w:tc>
        <w:tc>
          <w:tcPr>
            <w:tcW w:type="dxa" w:w="1152"/>
          </w:tcPr>
          <w:p>
            <w:pPr>
              <w:spacing w:after="40"/>
            </w:pPr>
            <w:r>
              <w:rPr>
                <w:sz w:val="19"/>
              </w:rPr>
              <w:t>24.9°C</w:t>
            </w:r>
          </w:p>
        </w:tc>
        <w:tc>
          <w:tcPr>
            <w:tcW w:type="dxa" w:w="1728"/>
          </w:tcPr>
          <w:p>
            <w:pPr>
              <w:spacing w:after="40"/>
            </w:pPr>
            <w:r>
              <w:rPr>
                <w:sz w:val="19"/>
              </w:rPr>
              <w:t>44.2 → ≈79°C</w:t>
            </w:r>
          </w:p>
        </w:tc>
        <w:tc>
          <w:tcPr>
            <w:tcW w:type="dxa" w:w="1584"/>
          </w:tcPr>
          <w:p>
            <w:pPr>
              <w:spacing w:after="40"/>
            </w:pPr>
            <w:r>
              <w:rPr>
                <w:sz w:val="19"/>
              </w:rPr>
              <w:t>52.4 → ≈88°C</w:t>
            </w:r>
          </w:p>
        </w:tc>
        <w:tc>
          <w:tcPr>
            <w:tcW w:type="dxa" w:w="1152"/>
          </w:tcPr>
          <w:p>
            <w:pPr>
              <w:spacing w:after="40"/>
            </w:pPr>
            <w:r>
              <w:rPr>
                <w:sz w:val="19"/>
              </w:rPr>
              <w:t>36.3°C</w:t>
            </w:r>
          </w:p>
        </w:tc>
        <w:tc>
          <w:tcPr>
            <w:tcW w:type="dxa" w:w="1728"/>
          </w:tcPr>
          <w:p>
            <w:pPr>
              <w:spacing w:after="40"/>
            </w:pPr>
            <w:r>
              <w:rPr>
                <w:sz w:val="19"/>
              </w:rPr>
              <w:t>32.1 → ≈67°C</w:t>
            </w:r>
          </w:p>
        </w:tc>
      </w:tr>
      <w:tr>
        <w:trPr>
          <w:cantSplit/>
        </w:trPr>
        <w:tc>
          <w:tcPr>
            <w:tcW w:type="dxa" w:w="2016"/>
          </w:tcPr>
          <w:p>
            <w:pPr>
              <w:spacing w:after="40"/>
            </w:pPr>
            <w:r>
              <w:rPr>
                <w:b/>
                <w:sz w:val="19"/>
              </w:rPr>
              <w:t>Maximum load</w:t>
            </w:r>
          </w:p>
        </w:tc>
        <w:tc>
          <w:tcPr>
            <w:tcW w:type="dxa" w:w="1152"/>
          </w:tcPr>
          <w:p>
            <w:pPr>
              <w:spacing w:after="40"/>
            </w:pPr>
            <w:r>
              <w:rPr>
                <w:sz w:val="19"/>
              </w:rPr>
              <w:t>24.2°C</w:t>
            </w:r>
          </w:p>
        </w:tc>
        <w:tc>
          <w:tcPr>
            <w:tcW w:type="dxa" w:w="1728"/>
          </w:tcPr>
          <w:p>
            <w:pPr>
              <w:spacing w:after="40"/>
            </w:pPr>
            <w:r>
              <w:rPr>
                <w:sz w:val="19"/>
              </w:rPr>
              <w:t>55.0 → ≈91°C</w:t>
            </w:r>
          </w:p>
        </w:tc>
        <w:tc>
          <w:tcPr>
            <w:tcW w:type="dxa" w:w="1584"/>
          </w:tcPr>
          <w:p>
            <w:pPr>
              <w:spacing w:after="40"/>
            </w:pPr>
            <w:r>
              <w:rPr>
                <w:sz w:val="19"/>
              </w:rPr>
              <w:t>58.3 → ≈94°C</w:t>
            </w:r>
          </w:p>
        </w:tc>
        <w:tc>
          <w:tcPr>
            <w:tcW w:type="dxa" w:w="1152"/>
          </w:tcPr>
          <w:p>
            <w:pPr>
              <w:spacing w:after="40"/>
            </w:pPr>
            <w:r>
              <w:rPr>
                <w:sz w:val="19"/>
              </w:rPr>
              <w:t>30.2°C</w:t>
            </w:r>
          </w:p>
        </w:tc>
        <w:tc>
          <w:tcPr>
            <w:tcW w:type="dxa" w:w="1728"/>
          </w:tcPr>
          <w:p>
            <w:pPr>
              <w:spacing w:after="40"/>
            </w:pPr>
            <w:r>
              <w:rPr>
                <w:sz w:val="19"/>
              </w:rPr>
              <w:t>34.8 → ≈71°C</w:t>
            </w:r>
          </w:p>
        </w:tc>
      </w:tr>
      <w:tr>
        <w:trPr>
          <w:cantSplit/>
        </w:trPr>
        <w:tc>
          <w:tcPr>
            <w:tcW w:type="dxa" w:w="2016"/>
          </w:tcPr>
          <w:p>
            <w:pPr>
              <w:spacing w:after="40"/>
            </w:pPr>
            <w:r>
              <w:rPr>
                <w:b/>
                <w:sz w:val="19"/>
              </w:rPr>
              <w:t>Fan stalled (malfunction)</w:t>
            </w:r>
          </w:p>
        </w:tc>
        <w:tc>
          <w:tcPr>
            <w:tcW w:type="dxa" w:w="1152"/>
          </w:tcPr>
          <w:p>
            <w:pPr>
              <w:spacing w:after="40"/>
            </w:pPr>
            <w:r>
              <w:rPr>
                <w:sz w:val="19"/>
              </w:rPr>
              <w:t>24.8°C</w:t>
            </w:r>
          </w:p>
        </w:tc>
        <w:tc>
          <w:tcPr>
            <w:tcW w:type="dxa" w:w="1728"/>
          </w:tcPr>
          <w:p>
            <w:pPr>
              <w:spacing w:after="40"/>
            </w:pPr>
            <w:r>
              <w:rPr>
                <w:sz w:val="19"/>
              </w:rPr>
              <w:t>78.4 → ≈114°C</w:t>
            </w:r>
          </w:p>
        </w:tc>
        <w:tc>
          <w:tcPr>
            <w:tcW w:type="dxa" w:w="1584"/>
          </w:tcPr>
          <w:p>
            <w:pPr>
              <w:spacing w:after="40"/>
            </w:pPr>
            <w:r>
              <w:rPr>
                <w:sz w:val="19"/>
              </w:rPr>
              <w:t>63.4 → ≈99°C</w:t>
            </w:r>
          </w:p>
        </w:tc>
        <w:tc>
          <w:tcPr>
            <w:tcW w:type="dxa" w:w="1152"/>
          </w:tcPr>
          <w:p>
            <w:pPr>
              <w:spacing w:after="40"/>
            </w:pPr>
            <w:r>
              <w:rPr>
                <w:sz w:val="19"/>
              </w:rPr>
              <w:t>36.3°C</w:t>
            </w:r>
          </w:p>
        </w:tc>
        <w:tc>
          <w:tcPr>
            <w:tcW w:type="dxa" w:w="1728"/>
          </w:tcPr>
          <w:p>
            <w:pPr>
              <w:spacing w:after="40"/>
            </w:pPr>
            <w:r>
              <w:rPr>
                <w:sz w:val="19"/>
              </w:rPr>
              <w:t>43.9 → ≈79°C</w:t>
            </w:r>
          </w:p>
        </w:tc>
      </w:tr>
    </w:tbl>
    <w:p>
      <w:pPr>
        <w:spacing w:after="40"/>
      </w:pPr>
    </w:p>
    <w:p>
      <w:pPr>
        <w:spacing w:after="160"/>
      </w:pPr>
      <w:r>
        <w:rPr>
          <w:b w:val="0"/>
          <w:i w:val="0"/>
          <w:sz w:val="21"/>
        </w:rPr>
        <w:t>Preliminary reading against T4. The T4 limit is 135°C; with the 5 K margin applied for temperature classes T3–T6 under IEC 60079-0, the effective limit is 130°C. The highest extrapolated value, ≈114°C on the MQ sensor body in the fan-stalled condition, leaves a margin of about 16 K. The heater element itself (in the approximate 200–400°C range typical of this sensor class) sits inside the sensor can and was not measured directly; the measured sensor-body surface is 44–78°C. Under the recommended flameproof concept (Ex d, Section 2.5), the temperature class is governed by the external surfaces of the flameproof enclosure, whose extrapolated maximum is ≈79°C.</w:t>
      </w:r>
    </w:p>
    <w:p>
      <w:pPr>
        <w:spacing w:after="160"/>
      </w:pPr>
      <w:r>
        <w:rPr>
          <w:b/>
          <w:i w:val="0"/>
          <w:sz w:val="21"/>
        </w:rPr>
        <w:t>Open items before this can be treated as a temperature-class verification:</w:t>
      </w:r>
    </w:p>
    <w:p>
      <w:pPr>
        <w:spacing w:after="160"/>
      </w:pPr>
      <w:r>
        <w:rPr>
          <w:b w:val="0"/>
          <w:i w:val="0"/>
          <w:sz w:val="21"/>
        </w:rPr>
        <w:t>•  TC-3, TC-4 and TC-5 (DC/DC converter, power inductor, MOSFET/power diode) have not been measured; no independent hot-spot location check has been recorded.</w:t>
      </w:r>
    </w:p>
    <w:p>
      <w:pPr>
        <w:spacing w:after="160"/>
      </w:pPr>
      <w:r>
        <w:rPr>
          <w:b w:val="0"/>
          <w:i w:val="0"/>
          <w:sz w:val="21"/>
        </w:rPr>
        <w:t>•  The alarm/transmit condition has not been measured.</w:t>
      </w:r>
    </w:p>
    <w:p>
      <w:pPr>
        <w:spacing w:after="160"/>
      </w:pPr>
      <w:r>
        <w:rPr>
          <w:b w:val="0"/>
          <w:i w:val="0"/>
          <w:sz w:val="21"/>
        </w:rPr>
        <w:t>•  Thermal equilibrium was not demonstrated in every run: the PCB reading under maximum load was still rising in the final hour (46.4 → 55.8 → 58.3°C), above the 2 K/h stability criterion.</w:t>
      </w:r>
    </w:p>
    <w:p>
      <w:pPr>
        <w:spacing w:after="160"/>
      </w:pPr>
      <w:r>
        <w:rPr>
          <w:b w:val="0"/>
          <w:i w:val="0"/>
          <w:sz w:val="21"/>
        </w:rPr>
        <w:t>•  Two short excursions on TC-7 (43.4 and 43.9°C) in the fan-stalled run, with neighbouring readings near 30°C, should be checked for thermocouple contact before the external maximum is finalised.</w:t>
      </w:r>
    </w:p>
    <w:p>
      <w:pPr>
        <w:spacing w:after="160"/>
      </w:pPr>
      <w:r>
        <w:rPr>
          <w:b w:val="0"/>
          <w:i w:val="0"/>
          <w:sz w:val="21"/>
        </w:rPr>
        <w:t>•  Test metadata is not yet recorded: date, operator, unit identification, thermocouple type, supply voltage (the most unfavourable voltage within the rated range should be used), and whether the enclosure was fully closed.</w:t>
      </w:r>
    </w:p>
    <w:p>
      <w:pPr>
        <w:spacing w:after="160"/>
      </w:pPr>
      <w:r>
        <w:rPr>
          <w:b w:val="0"/>
          <w:i w:val="0"/>
          <w:sz w:val="21"/>
        </w:rPr>
        <w:t>•  Extrapolation to +60°C assumes a constant temperature rise above ambient; confirmation requires testing at maximum ambient as part of ExCB type testing.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 preliminary internal measurement. Indicates T4 is achievable with margin; not a substitute for type testing, and the open items above must be closed first.</w:t>
            </w:r>
          </w:p>
        </w:tc>
      </w:tr>
    </w:tbl>
    <w:p>
      <w:pPr>
        <w:spacing w:after="80"/>
      </w:pP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56A1E"/>
                <w:sz w:val="19"/>
              </w:rPr>
              <w:t>Draft available</w:t>
            </w:r>
          </w:p>
        </w:tc>
        <w:tc>
          <w:tcPr>
            <w:tcW w:type="dxa" w:w="4320"/>
          </w:tcPr>
          <w:p>
            <w:pPr>
              <w:spacing w:after="40"/>
            </w:pPr>
            <w:r>
              <w:rPr>
                <w:sz w:val="19"/>
              </w:rPr>
              <w:t>Drafted below (18 Sep 2026); not yet reviewed against a selected explosion-protection concept.</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Draft available</w:t>
            </w:r>
          </w:p>
        </w:tc>
        <w:tc>
          <w:tcPr>
            <w:tcW w:type="dxa" w:w="4320"/>
          </w:tcPr>
          <w:p>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Draft available</w:t>
            </w:r>
          </w:p>
        </w:tc>
        <w:tc>
          <w:tcPr>
            <w:tcW w:type="dxa" w:w="4320"/>
          </w:tcPr>
          <w:p>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pPr>
        <w:spacing w:after="80"/>
      </w:pPr>
    </w:p>
    <w:p>
      <w:pPr>
        <w:spacing w:after="40"/>
      </w:pPr>
      <w:r>
        <w:rPr>
          <w:b/>
          <w:i w:val="0"/>
          <w:color w:val="1A2B3D"/>
          <w:sz w:val="21"/>
        </w:rPr>
        <w:t>2.6.g.a · Safety Warnings (Draft)</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40"/>
      </w:pPr>
      <w:r>
        <w:rPr>
          <w:b/>
          <w:i w:val="0"/>
          <w:color w:val="1A2B3D"/>
          <w:sz w:val="21"/>
        </w:rPr>
        <w:t>2.6.g.b · Detailed Installation Requirements (Draft)</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are not yet available —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40"/>
      </w:pPr>
      <w:r>
        <w:rPr>
          <w:b/>
          <w:i w:val="0"/>
          <w:color w:val="1A2B3D"/>
          <w:sz w:val="21"/>
        </w:rPr>
        <w:t>2.6.g.c · Operating Instructions and Maintenance Requirements (Draft)</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without controlled approval and a documented rollback path.</w:t>
      </w:r>
    </w:p>
    <w:p>
      <w:pPr>
        <w:spacing w:after="160"/>
      </w:pPr>
      <w:r>
        <w:rPr>
          <w:b w:val="0"/>
          <w:i w:val="0"/>
          <w:sz w:val="20"/>
        </w:rPr>
        <w:t>Three operating modes are distinguished:</w:t>
      </w:r>
    </w:p>
    <w:tbl>
      <w:tblPr>
        <w:tblStyle w:val="TableGrid"/>
        <w:tblW w:type="auto" w:w="0"/>
        <w:jc w:val="center"/>
        <w:tblLayout w:type="fixed"/>
        <w:tblLook w:firstColumn="1" w:firstRow="1" w:lastColumn="0" w:lastRow="0" w:noHBand="0" w:noVBand="1" w:val="04A0"/>
        <w:tblLayout w:type="fixed"/>
      </w:tblPr>
      <w:tblGrid>
        <w:gridCol w:w="1872"/>
        <w:gridCol w:w="4320"/>
        <w:gridCol w:w="3456"/>
      </w:tblGrid>
      <w:tr>
        <w:trPr>
          <w:tblHeader w:val="true"/>
        </w:trPr>
        <w:tc>
          <w:tcPr>
            <w:tcW w:type="dxa" w:w="1872"/>
            <w:shd w:val="clear" w:color="auto" w:fill="EFEFEF"/>
          </w:tcPr>
          <w:p>
            <w:pPr>
              <w:spacing w:after="40"/>
            </w:pPr>
            <w:r>
              <w:rPr>
                <w:b/>
                <w:color w:val="4A4A4A"/>
                <w:sz w:val="18"/>
              </w:rPr>
              <w:t>MODE</w:t>
            </w:r>
          </w:p>
        </w:tc>
        <w:tc>
          <w:tcPr>
            <w:tcW w:type="dxa" w:w="4320"/>
            <w:shd w:val="clear" w:color="auto" w:fill="EFEFEF"/>
          </w:tcPr>
          <w:p>
            <w:pPr>
              <w:spacing w:after="40"/>
            </w:pPr>
            <w:r>
              <w:rPr>
                <w:b/>
                <w:color w:val="4A4A4A"/>
                <w:sz w:val="18"/>
              </w:rPr>
              <w:t>PURPOSE</w:t>
            </w:r>
          </w:p>
        </w:tc>
        <w:tc>
          <w:tcPr>
            <w:tcW w:type="dxa" w:w="3456"/>
            <w:shd w:val="clear" w:color="auto" w:fill="EFEFEF"/>
          </w:tcPr>
          <w:p>
            <w:pPr>
              <w:spacing w:after="40"/>
            </w:pPr>
            <w:r>
              <w:rPr>
                <w:b/>
                <w:color w:val="4A4A4A"/>
                <w:sz w:val="18"/>
              </w:rPr>
              <w:t>USE RESTRICTION</w:t>
            </w:r>
          </w:p>
        </w:tc>
      </w:tr>
      <w:tr>
        <w:trPr>
          <w:cantSplit/>
        </w:trPr>
        <w:tc>
          <w:tcPr>
            <w:tcW w:type="dxa" w:w="1872"/>
          </w:tcPr>
          <w:p>
            <w:pPr>
              <w:spacing w:after="40"/>
            </w:pPr>
            <w:r>
              <w:rPr>
                <w:b/>
                <w:sz w:val="19"/>
              </w:rPr>
              <w:t>Inference</w:t>
            </w:r>
          </w:p>
        </w:tc>
        <w:tc>
          <w:tcPr>
            <w:tcW w:type="dxa" w:w="4320"/>
          </w:tcPr>
          <w:p>
            <w:pPr>
              <w:spacing w:after="40"/>
            </w:pPr>
            <w:r>
              <w:rPr>
                <w:sz w:val="19"/>
              </w:rPr>
              <w:t>Normal gas-class inference and alarm operation</w:t>
            </w:r>
          </w:p>
        </w:tc>
        <w:tc>
          <w:tcPr>
            <w:tcW w:type="dxa" w:w="3456"/>
          </w:tcPr>
          <w:p>
            <w:pPr>
              <w:spacing w:after="40"/>
            </w:pPr>
            <w:r>
              <w:rPr>
                <w:sz w:val="19"/>
              </w:rPr>
              <w:t>Production operating mode after commissioning</w:t>
            </w:r>
          </w:p>
        </w:tc>
      </w:tr>
      <w:tr>
        <w:trPr>
          <w:cantSplit/>
        </w:trPr>
        <w:tc>
          <w:tcPr>
            <w:tcW w:type="dxa" w:w="1872"/>
          </w:tcPr>
          <w:p>
            <w:pPr>
              <w:spacing w:after="40"/>
            </w:pPr>
            <w:r>
              <w:rPr>
                <w:b/>
                <w:sz w:val="19"/>
              </w:rPr>
              <w:t>Dataset</w:t>
            </w:r>
          </w:p>
        </w:tc>
        <w:tc>
          <w:tcPr>
            <w:tcW w:type="dxa" w:w="4320"/>
          </w:tcPr>
          <w:p>
            <w:pPr>
              <w:spacing w:after="40"/>
            </w:pPr>
            <w:r>
              <w:rPr>
                <w:sz w:val="19"/>
              </w:rPr>
              <w:t>Engineering / data-collection activity</w:t>
            </w:r>
          </w:p>
        </w:tc>
        <w:tc>
          <w:tcPr>
            <w:tcW w:type="dxa" w:w="3456"/>
          </w:tcPr>
          <w:p>
            <w:pPr>
              <w:spacing w:after="40"/>
            </w:pPr>
            <w:r>
              <w:rPr>
                <w:sz w:val="19"/>
              </w:rPr>
              <w:t>Not a substitute for approved detection operation</w:t>
            </w:r>
          </w:p>
        </w:tc>
      </w:tr>
      <w:tr>
        <w:trPr>
          <w:cantSplit/>
        </w:trPr>
        <w:tc>
          <w:tcPr>
            <w:tcW w:type="dxa" w:w="1872"/>
          </w:tcPr>
          <w:p>
            <w:pPr>
              <w:spacing w:after="40"/>
            </w:pPr>
            <w:r>
              <w:rPr>
                <w:b/>
                <w:sz w:val="19"/>
              </w:rPr>
              <w:t>Nulling</w:t>
            </w:r>
          </w:p>
        </w:tc>
        <w:tc>
          <w:tcPr>
            <w:tcW w:type="dxa" w:w="4320"/>
          </w:tcPr>
          <w:p>
            <w:pPr>
              <w:spacing w:after="40"/>
            </w:pPr>
            <w:r>
              <w:rPr>
                <w:sz w:val="19"/>
              </w:rPr>
              <w:t>Sensor baseline / calibration activity</w:t>
            </w:r>
          </w:p>
        </w:tc>
        <w:tc>
          <w:tcPr>
            <w:tcW w:type="dxa" w:w="3456"/>
          </w:tcPr>
          <w:p>
            <w:pPr>
              <w:spacing w:after="40"/>
            </w:pPr>
            <w:r>
              <w:rPr>
                <w:sz w:val="19"/>
              </w:rPr>
              <w:t>Clean air only; perform under approved procedure; require complete 8/8 result</w:t>
            </w:r>
          </w:p>
        </w:tc>
      </w:tr>
    </w:tbl>
    <w:p>
      <w:pPr>
        <w:spacing w:after="40"/>
      </w:pP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3"/>
      </w:pPr>
      <w:r>
        <w:t>2.6.h · Nameplate Information</w:t>
      </w:r>
    </w:p>
    <w:p>
      <w:pPr>
        <w:spacing w:after="160"/>
      </w:pPr>
      <w:r>
        <w:rPr>
          <w:b w:val="0"/>
          <w:i w:val="0"/>
          <w:sz w:val="21"/>
        </w:rPr>
        <w:t>Nameplate artwork cannot yet be finalized: it depends on the certificate number, protection marking, temperature class, ambient range, IP rating, and serialization scheme — none of which has been assigned yet.</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Sample submitted: model GLD V2 (GLD_V2), serial number GLD2-0x1001. The sample powers on and runs in Inference (normal operation) mode. The full sample register is given in Section 3.3.</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Available — sample identified (GLD2-0x1001). Firmware and AI-model version still to be recorded on the sample label and test record.</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an applicable battery source, multimeter, and oscilloscope/logic analyzer</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after="160"/>
      </w:pPr>
      <w:r>
        <w:rPr>
          <w:b w:val="0"/>
          <w:i w:val="0"/>
          <w:sz w:val="21"/>
        </w:rPr>
        <w:t>A second, commissioning-oriented equipment list is drafted separately (source: internal working draft, Rev. 18 Sep 2026), organized by physical test apparatus rather than by test group:</w:t>
      </w:r>
    </w:p>
    <w:tbl>
      <w:tblPr>
        <w:tblStyle w:val="TableGrid"/>
        <w:tblW w:type="auto" w:w="0"/>
        <w:jc w:val="center"/>
        <w:tblLayout w:type="fixed"/>
        <w:tblLook w:firstColumn="1" w:firstRow="1" w:lastColumn="0" w:lastRow="0" w:noHBand="0" w:noVBand="1" w:val="04A0"/>
        <w:tblLayout w:type="fixed"/>
      </w:tblPr>
      <w:tblGrid>
        <w:gridCol w:w="2880"/>
        <w:gridCol w:w="6768"/>
      </w:tblGrid>
      <w:tr>
        <w:trPr>
          <w:tblHeader w:val="true"/>
        </w:trPr>
        <w:tc>
          <w:tcPr>
            <w:tcW w:type="dxa" w:w="2880"/>
            <w:shd w:val="clear" w:color="auto" w:fill="EFEFEF"/>
          </w:tcPr>
          <w:p>
            <w:pPr>
              <w:spacing w:after="40"/>
            </w:pPr>
            <w:r>
              <w:rPr>
                <w:b/>
                <w:color w:val="4A4A4A"/>
                <w:sz w:val="18"/>
              </w:rPr>
              <w:t>EQUIPMENT</w:t>
            </w:r>
          </w:p>
        </w:tc>
        <w:tc>
          <w:tcPr>
            <w:tcW w:type="dxa" w:w="6768"/>
            <w:shd w:val="clear" w:color="auto" w:fill="EFEFEF"/>
          </w:tcPr>
          <w:p>
            <w:pPr>
              <w:spacing w:after="40"/>
            </w:pPr>
            <w:r>
              <w:rPr>
                <w:b/>
                <w:color w:val="4A4A4A"/>
                <w:sz w:val="18"/>
              </w:rPr>
              <w:t>PURPOSE</w:t>
            </w:r>
          </w:p>
        </w:tc>
      </w:tr>
      <w:tr>
        <w:trPr>
          <w:cantSplit/>
        </w:trPr>
        <w:tc>
          <w:tcPr>
            <w:tcW w:type="dxa" w:w="2880"/>
          </w:tcPr>
          <w:p>
            <w:pPr>
              <w:spacing w:after="40"/>
            </w:pPr>
            <w:r>
              <w:rPr>
                <w:b/>
                <w:sz w:val="19"/>
              </w:rPr>
              <w:t>Regulated 24 VDC power supply</w:t>
            </w:r>
          </w:p>
        </w:tc>
        <w:tc>
          <w:tcPr>
            <w:tcW w:type="dxa" w:w="6768"/>
          </w:tcPr>
          <w:p>
            <w:pPr>
              <w:spacing w:after="40"/>
            </w:pPr>
            <w:r>
              <w:rPr>
                <w:sz w:val="19"/>
              </w:rPr>
              <w:t>Provides a stable 24 VDC supply to the GLD during commissioning and functional testing.</w:t>
            </w:r>
          </w:p>
        </w:tc>
      </w:tr>
      <w:tr>
        <w:trPr>
          <w:cantSplit/>
        </w:trPr>
        <w:tc>
          <w:tcPr>
            <w:tcW w:type="dxa" w:w="2880"/>
          </w:tcPr>
          <w:p>
            <w:pPr>
              <w:spacing w:after="40"/>
            </w:pPr>
            <w:r>
              <w:rPr>
                <w:b/>
                <w:sz w:val="19"/>
              </w:rPr>
              <w:t>Digital multimeter</w:t>
            </w:r>
          </w:p>
        </w:tc>
        <w:tc>
          <w:tcPr>
            <w:tcW w:type="dxa" w:w="6768"/>
          </w:tcPr>
          <w:p>
            <w:pPr>
              <w:spacing w:after="40"/>
            </w:pPr>
            <w:r>
              <w:rPr>
                <w:sz w:val="19"/>
              </w:rPr>
              <w:t>Measures the actual voltage, verifies polarity and continuity, and supports grounding/bonding verification.</w:t>
            </w:r>
          </w:p>
        </w:tc>
      </w:tr>
      <w:tr>
        <w:trPr>
          <w:cantSplit/>
        </w:trPr>
        <w:tc>
          <w:tcPr>
            <w:tcW w:type="dxa" w:w="2880"/>
          </w:tcPr>
          <w:p>
            <w:pPr>
              <w:spacing w:after="40"/>
            </w:pPr>
            <w:r>
              <w:rPr>
                <w:b/>
                <w:sz w:val="19"/>
              </w:rPr>
              <w:t>Calibrated gas source / gas test kit</w:t>
            </w:r>
          </w:p>
        </w:tc>
        <w:tc>
          <w:tcPr>
            <w:tcW w:type="dxa" w:w="6768"/>
          </w:tcPr>
          <w:p>
            <w:pPr>
              <w:spacing w:after="40"/>
            </w:pPr>
            <w:r>
              <w:rPr>
                <w:sz w:val="19"/>
              </w:rPr>
              <w:t>Provides the required gas types to verify that the sensors respond correctly when exposed to the target gases.</w:t>
            </w:r>
          </w:p>
        </w:tc>
      </w:tr>
      <w:tr>
        <w:trPr>
          <w:cantSplit/>
        </w:trPr>
        <w:tc>
          <w:tcPr>
            <w:tcW w:type="dxa" w:w="2880"/>
          </w:tcPr>
          <w:p>
            <w:pPr>
              <w:spacing w:after="40"/>
            </w:pPr>
            <w:r>
              <w:rPr>
                <w:b/>
                <w:sz w:val="19"/>
              </w:rPr>
              <w:t>Gas test chamber</w:t>
            </w:r>
          </w:p>
        </w:tc>
        <w:tc>
          <w:tcPr>
            <w:tcW w:type="dxa" w:w="6768"/>
          </w:tcPr>
          <w:p>
            <w:pPr>
              <w:spacing w:after="40"/>
            </w:pPr>
            <w:r>
              <w:rPr>
                <w:sz w:val="19"/>
              </w:rPr>
              <w:t>Provides a controlled gas-exposure environment so that gas concentration, exposure time, and test conditions can be reproduced.</w:t>
            </w:r>
          </w:p>
        </w:tc>
      </w:tr>
      <w:tr>
        <w:trPr>
          <w:cantSplit/>
        </w:trPr>
        <w:tc>
          <w:tcPr>
            <w:tcW w:type="dxa" w:w="2880"/>
          </w:tcPr>
          <w:p>
            <w:pPr>
              <w:spacing w:after="40"/>
            </w:pPr>
            <w:r>
              <w:rPr>
                <w:b/>
                <w:sz w:val="19"/>
              </w:rPr>
              <w:t>Alarm load / relay simulator</w:t>
            </w:r>
          </w:p>
        </w:tc>
        <w:tc>
          <w:tcPr>
            <w:tcW w:type="dxa" w:w="6768"/>
          </w:tcPr>
          <w:p>
            <w:pPr>
              <w:spacing w:after="40"/>
            </w:pPr>
            <w:r>
              <w:rPr>
                <w:sz w:val="19"/>
              </w:rPr>
              <w:t>Physically verifies that the alarm output and connected electrical load operate correctly.</w:t>
            </w:r>
          </w:p>
        </w:tc>
      </w:tr>
      <w:tr>
        <w:trPr>
          <w:cantSplit/>
        </w:trPr>
        <w:tc>
          <w:tcPr>
            <w:tcW w:type="dxa" w:w="2880"/>
          </w:tcPr>
          <w:p>
            <w:pPr>
              <w:spacing w:after="40"/>
            </w:pPr>
            <w:r>
              <w:rPr>
                <w:b/>
                <w:sz w:val="19"/>
              </w:rPr>
              <w:t>LoRa peer / gateway</w:t>
            </w:r>
          </w:p>
        </w:tc>
        <w:tc>
          <w:tcPr>
            <w:tcW w:type="dxa" w:w="6768"/>
          </w:tcPr>
          <w:p>
            <w:pPr>
              <w:spacing w:after="40"/>
            </w:pPr>
            <w:r>
              <w:rPr>
                <w:sz w:val="19"/>
              </w:rPr>
              <w:t>Verifies that data transmitted by the GLD is successfully received by the intended system.</w:t>
            </w:r>
          </w:p>
        </w:tc>
      </w:tr>
      <w:tr>
        <w:trPr>
          <w:cantSplit/>
        </w:trPr>
        <w:tc>
          <w:tcPr>
            <w:tcW w:type="dxa" w:w="2880"/>
          </w:tcPr>
          <w:p>
            <w:pPr>
              <w:spacing w:after="40"/>
            </w:pPr>
            <w:r>
              <w:rPr>
                <w:b/>
                <w:sz w:val="19"/>
              </w:rPr>
              <w:t>Laptop and approved software</w:t>
            </w:r>
          </w:p>
        </w:tc>
        <w:tc>
          <w:tcPr>
            <w:tcW w:type="dxa" w:w="6768"/>
          </w:tcPr>
          <w:p>
            <w:pPr>
              <w:spacing w:after="40"/>
            </w:pPr>
            <w:r>
              <w:rPr>
                <w:sz w:val="19"/>
              </w:rPr>
              <w:t>Used to review diagnostic information, configuration, logging, firmware identification, and to store commissioning and test evidence.</w:t>
            </w:r>
          </w:p>
        </w:tc>
      </w:tr>
      <w:tr>
        <w:trPr>
          <w:cantSplit/>
        </w:trPr>
        <w:tc>
          <w:tcPr>
            <w:tcW w:type="dxa" w:w="2880"/>
          </w:tcPr>
          <w:p>
            <w:pPr>
              <w:spacing w:after="40"/>
            </w:pPr>
            <w:r>
              <w:rPr>
                <w:b/>
                <w:sz w:val="19"/>
              </w:rPr>
              <w:t>Calibrated torque screwdriver</w:t>
            </w:r>
          </w:p>
        </w:tc>
        <w:tc>
          <w:tcPr>
            <w:tcW w:type="dxa" w:w="6768"/>
          </w:tcPr>
          <w:p>
            <w:pPr>
              <w:spacing w:after="40"/>
            </w:pPr>
            <w:r>
              <w:rPr>
                <w:sz w:val="19"/>
              </w:rPr>
              <w:t>Ensures that glands, terminals, enclosure fasteners, and grounding connections are tightened to the approved torque values.</w:t>
            </w:r>
          </w:p>
        </w:tc>
      </w:tr>
    </w:tbl>
    <w:p>
      <w:pPr>
        <w:spacing w:after="40"/>
      </w:pP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w:t>
            </w:r>
          </w:p>
        </w:tc>
        <w:tc>
          <w:tcPr>
            <w:tcW w:type="dxa" w:w="2304"/>
            <w:shd w:val="clear" w:fill="FFF4D6"/>
          </w:tcPr>
          <w:p>
            <w:pPr>
              <w:spacing w:after="20"/>
            </w:pPr>
            <w:r>
              <w:rPr>
                <w:b/>
                <w:sz w:val="16"/>
              </w:rPr>
              <w:t>Partial — current-unit photos to add</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“Pending confirmation”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GMI/GLD/IECEX-TDF/2026-001  ·  Rev. 1.7</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pPr>
    <w:rPr>
      <w:rFonts w:ascii="Calibri" w:hAnsi="Calibri"/>
      <w:sz w:val="19"/>
    </w:rPr>
  </w:style>
  <w:style w:type="paragraph" w:customStyle="1" w:styleId="TOC2">
    <w:name w:val="TOC 2"/>
    <w:pPr>
      <w:spacing w:before="0" w:after="0" w:line="240" w:lineRule="auto"/>
    </w:pPr>
    <w:rPr>
      <w:rFonts w:ascii="Calibri" w:hAnsi="Calibri"/>
      <w:sz w:val="18"/>
    </w:rPr>
  </w:style>
  <w:style w:type="paragraph" w:customStyle="1" w:styleId="TOC3">
    <w:name w:val="TOC 3"/>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