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LAPI GANESHA UTAMA</w:t>
            </w:r>
          </w:p>
          <w:p>
            <w:pPr>
              <w:spacing w:after="60"/>
            </w:pPr>
            <w:r>
              <w:rPr>
                <w:color w:val="C7D2E0"/>
                <w:sz w:val="19"/>
              </w:rPr>
              <w:t>In technical partnership with the Institute of Technology Bandung</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LGU/GLD/IECEX-TDF/2026-001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0.2</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17 September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Manufacturer</w:t>
            </w:r>
          </w:p>
        </w:tc>
        <w:tc>
          <w:tcPr>
            <w:tcW w:type="dxa" w:w="6480"/>
          </w:tcPr>
          <w:p>
            <w:pPr>
              <w:spacing w:after="40"/>
            </w:pPr>
            <w:r>
              <w:rPr>
                <w:sz w:val="20"/>
              </w:rPr>
              <w:t>PT LAPI Ganesha Utama</w:t>
            </w:r>
          </w:p>
        </w:tc>
      </w:tr>
      <w:tr>
        <w:tc>
          <w:tcPr>
            <w:tcW w:type="dxa" w:w="2880"/>
            <w:shd w:val="clear" w:color="auto" w:fill="EFEFEF"/>
          </w:tcPr>
          <w:p>
            <w:pPr>
              <w:spacing w:after="40"/>
            </w:pPr>
            <w:r>
              <w:rPr>
                <w:b/>
                <w:color w:val="4A4A4A"/>
                <w:sz w:val="19"/>
              </w:rPr>
              <w:t>Technical partner</w:t>
            </w:r>
          </w:p>
        </w:tc>
        <w:tc>
          <w:tcPr>
            <w:tcW w:type="dxa" w:w="6480"/>
          </w:tcPr>
          <w:p>
            <w:pPr>
              <w:spacing w:after="40"/>
            </w:pPr>
            <w:r>
              <w:rPr>
                <w:sz w:val="20"/>
              </w:rPr>
              <w:t>Institute of Technology Bandung</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02A37"/>
                <w:sz w:val="19"/>
              </w:rPr>
              <w:t>To be provided</w:t>
            </w:r>
          </w:p>
        </w:tc>
        <w:tc>
          <w:tcPr>
            <w:tcW w:type="dxa" w:w="2880"/>
          </w:tcPr>
          <w:p>
            <w:pPr>
              <w:spacing w:after="40"/>
            </w:pPr>
            <w:r>
              <w:rPr>
                <w:sz w:val="19"/>
              </w:rPr>
              <w:t>Manufacturer — legal/administration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02A37"/>
                <w:sz w:val="19"/>
              </w:rPr>
              <w:t>To be provided</w:t>
            </w:r>
          </w:p>
        </w:tc>
        <w:tc>
          <w:tcPr>
            <w:tcW w:type="dxa" w:w="2880"/>
          </w:tcPr>
          <w:p>
            <w:pPr>
              <w:spacing w:after="40"/>
            </w:pPr>
            <w:r>
              <w:rPr>
                <w:sz w:val="19"/>
              </w:rPr>
              <w:t>Manufacturer — management</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 + external casing partner</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LAPI Ganesha Utama</w:t>
            </w:r>
          </w:p>
        </w:tc>
        <w:tc>
          <w:tcPr>
            <w:tcW w:type="dxa" w:w="2160"/>
          </w:tcPr>
          <w:p>
            <w:pPr>
              <w:spacing w:after="40"/>
            </w:pPr>
            <w:r>
              <w:rPr>
                <w:b/>
                <w:color w:val="149174"/>
                <w:sz w:val="19"/>
              </w:rPr>
              <w:t>Confirmed</w:t>
            </w:r>
          </w:p>
        </w:tc>
        <w:tc>
          <w:tcPr>
            <w:tcW w:type="dxa" w:w="2304"/>
          </w:tcPr>
          <w:p>
            <w:pPr>
              <w:spacing w:after="40"/>
            </w:pPr>
            <w:r>
              <w:rPr>
                <w:sz w:val="19"/>
              </w:rPr>
            </w:r>
          </w:p>
        </w:tc>
      </w:tr>
      <w:tr>
        <w:trPr>
          <w:cantSplit/>
        </w:trPr>
        <w:tc>
          <w:tcPr>
            <w:tcW w:type="dxa" w:w="2160"/>
          </w:tcPr>
          <w:p>
            <w:pPr>
              <w:spacing w:after="40"/>
            </w:pPr>
            <w:r>
              <w:rPr>
                <w:b/>
                <w:sz w:val="19"/>
              </w:rPr>
              <w:t>Technical development partner</w:t>
            </w:r>
          </w:p>
        </w:tc>
        <w:tc>
          <w:tcPr>
            <w:tcW w:type="dxa" w:w="2736"/>
          </w:tcPr>
          <w:p>
            <w:pPr>
              <w:spacing w:after="40"/>
            </w:pPr>
            <w:r>
              <w:rPr>
                <w:sz w:val="19"/>
              </w:rPr>
              <w:t>Institute of Technology Bandung — IoT Laboratory &amp; Physics Laboratory</w:t>
            </w:r>
          </w:p>
        </w:tc>
        <w:tc>
          <w:tcPr>
            <w:tcW w:type="dxa" w:w="2160"/>
          </w:tcPr>
          <w:p>
            <w:pPr>
              <w:spacing w:after="40"/>
            </w:pPr>
            <w:r>
              <w:rPr>
                <w:b/>
                <w:color w:val="149174"/>
                <w:sz w:val="19"/>
              </w:rPr>
              <w:t>Confirmed</w:t>
            </w:r>
          </w:p>
        </w:tc>
        <w:tc>
          <w:tcPr>
            <w:tcW w:type="dxa" w:w="2304"/>
          </w:tcPr>
          <w:p>
            <w:pPr>
              <w:spacing w:after="40"/>
            </w:pPr>
            <w:r>
              <w:rPr>
                <w:sz w:val="19"/>
              </w:rPr>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Not yet selected — Ex d, Ex e, and Ex i under evaluation</w:t>
            </w:r>
          </w:p>
        </w:tc>
        <w:tc>
          <w:tcPr>
            <w:tcW w:type="dxa" w:w="2160"/>
          </w:tcPr>
          <w:p>
            <w:pPr>
              <w:spacing w:after="40"/>
            </w:pPr>
            <w:r>
              <w:rPr>
                <w:b/>
                <w:color w:val="B02A37"/>
                <w:sz w:val="19"/>
              </w:rPr>
              <w:t>Open</w:t>
            </w:r>
          </w:p>
        </w:tc>
        <w:tc>
          <w:tcPr>
            <w:tcW w:type="dxa" w:w="2304"/>
          </w:tcPr>
          <w:p>
            <w:pPr>
              <w:spacing w:after="40"/>
            </w:pPr>
            <w:r>
              <w:rPr>
                <w:sz w:val="19"/>
              </w:rPr>
              <w:t>Section 2.6.e</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the standard corresponding to the type of protection once selected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LAPI Ganesha Utama.</w:t>
            </w:r>
          </w:p>
        </w:tc>
      </w:tr>
      <w:tr>
        <w:trPr>
          <w:cantSplit/>
        </w:trPr>
        <w:tc>
          <w:tcPr>
            <w:tcW w:type="dxa" w:w="3024"/>
          </w:tcPr>
          <w:p>
            <w:pPr>
              <w:spacing w:after="40"/>
            </w:pPr>
            <w:r>
              <w:rPr>
                <w:b/>
                <w:sz w:val="19"/>
              </w:rPr>
              <w:t>Legal form and shareholding status</w:t>
            </w:r>
          </w:p>
        </w:tc>
        <w:tc>
          <w:tcPr>
            <w:tcW w:type="dxa" w:w="1872"/>
          </w:tcPr>
          <w:p>
            <w:pPr>
              <w:spacing w:after="40"/>
            </w:pPr>
            <w:r>
              <w:rPr>
                <w:b/>
                <w:color w:val="B02A37"/>
                <w:sz w:val="19"/>
              </w:rPr>
              <w:t>To be provided</w:t>
            </w:r>
          </w:p>
        </w:tc>
        <w:tc>
          <w:tcPr>
            <w:tcW w:type="dxa" w:w="4464"/>
          </w:tcPr>
          <w:p>
            <w:pPr>
              <w:spacing w:after="40"/>
            </w:pPr>
            <w:r>
              <w:rPr>
                <w:sz w:val="19"/>
              </w:rPr>
              <w:t>As stated in the deed of establishment.</w:t>
            </w:r>
          </w:p>
        </w:tc>
      </w:tr>
      <w:tr>
        <w:trPr>
          <w:cantSplit/>
        </w:trPr>
        <w:tc>
          <w:tcPr>
            <w:tcW w:type="dxa" w:w="3024"/>
          </w:tcPr>
          <w:p>
            <w:pPr>
              <w:spacing w:after="40"/>
            </w:pPr>
            <w:r>
              <w:rPr>
                <w:b/>
                <w:sz w:val="19"/>
              </w:rPr>
              <w:t>Business registration number</w:t>
            </w:r>
          </w:p>
        </w:tc>
        <w:tc>
          <w:tcPr>
            <w:tcW w:type="dxa" w:w="1872"/>
          </w:tcPr>
          <w:p>
            <w:pPr>
              <w:spacing w:after="40"/>
            </w:pPr>
            <w:r>
              <w:rPr>
                <w:b/>
                <w:color w:val="B02A37"/>
                <w:sz w:val="19"/>
              </w:rPr>
              <w:t>To be provided</w:t>
            </w:r>
          </w:p>
        </w:tc>
        <w:tc>
          <w:tcPr>
            <w:tcW w:type="dxa" w:w="4464"/>
          </w:tcPr>
          <w:p>
            <w:pPr>
              <w:spacing w:after="40"/>
            </w:pPr>
            <w:r>
              <w:rPr>
                <w:sz w:val="19"/>
              </w:rPr>
              <w:t>Business identification number issued under Indonesian company registration.</w:t>
            </w:r>
          </w:p>
        </w:tc>
      </w:tr>
      <w:tr>
        <w:trPr>
          <w:cantSplit/>
        </w:trPr>
        <w:tc>
          <w:tcPr>
            <w:tcW w:type="dxa" w:w="3024"/>
          </w:tcPr>
          <w:p>
            <w:pPr>
              <w:spacing w:after="40"/>
            </w:pPr>
            <w:r>
              <w:rPr>
                <w:b/>
                <w:sz w:val="19"/>
              </w:rPr>
              <w:t>Taxpayer identification number</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02A37"/>
                <w:sz w:val="19"/>
              </w:rPr>
              <w:t>To be provided</w:t>
            </w:r>
          </w:p>
        </w:tc>
        <w:tc>
          <w:tcPr>
            <w:tcW w:type="dxa" w:w="4464"/>
          </w:tcPr>
          <w:p>
            <w:pPr>
              <w:spacing w:after="40"/>
            </w:pPr>
            <w:r>
              <w:rPr>
                <w:sz w:val="19"/>
              </w:rPr>
              <w:t>Including the ministerial approval/registration record.</w:t>
            </w:r>
          </w:p>
        </w:tc>
      </w:tr>
      <w:tr>
        <w:trPr>
          <w:cantSplit/>
        </w:trPr>
        <w:tc>
          <w:tcPr>
            <w:tcW w:type="dxa" w:w="3024"/>
          </w:tcPr>
          <w:p>
            <w:pPr>
              <w:spacing w:after="40"/>
            </w:pPr>
            <w:r>
              <w:rPr>
                <w:b/>
                <w:sz w:val="19"/>
              </w:rPr>
              <w:t>Registered (domicile) address</w:t>
            </w:r>
          </w:p>
        </w:tc>
        <w:tc>
          <w:tcPr>
            <w:tcW w:type="dxa" w:w="1872"/>
          </w:tcPr>
          <w:p>
            <w:pPr>
              <w:spacing w:after="40"/>
            </w:pPr>
            <w:r>
              <w:rPr>
                <w:b/>
                <w:color w:val="B02A37"/>
                <w:sz w:val="19"/>
              </w:rPr>
              <w:t>To be provided</w:t>
            </w:r>
          </w:p>
        </w:tc>
        <w:tc>
          <w:tcPr>
            <w:tcW w:type="dxa" w:w="4464"/>
          </w:tcPr>
          <w:p>
            <w:pPr>
              <w:spacing w:after="40"/>
            </w:pPr>
            <w:r>
              <w:rPr>
                <w:sz w:val="19"/>
              </w:rPr>
              <w:t>Registered address as it appears on the certificate; required even where it differs from the manufacturing address in 1.4.</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02A37"/>
                <w:sz w:val="19"/>
              </w:rPr>
              <w:t>To be provided</w:t>
            </w:r>
          </w:p>
        </w:tc>
        <w:tc>
          <w:tcPr>
            <w:tcW w:type="dxa" w:w="4464"/>
          </w:tcPr>
          <w:p>
            <w:pPr>
              <w:spacing w:after="40"/>
            </w:pPr>
            <w:r>
              <w:rPr>
                <w:sz w:val="19"/>
              </w:rPr>
              <w:t>The registered activity classification should be consistent with manufacture of the equipment being certified.</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B02A37"/>
                <w:sz w:val="19"/>
              </w:rPr>
              <w:t>To be provided</w:t>
            </w:r>
          </w:p>
        </w:tc>
        <w:tc>
          <w:tcPr>
            <w:tcW w:type="dxa" w:w="4464"/>
          </w:tcPr>
          <w:p>
            <w:pPr>
              <w:spacing w:after="40"/>
            </w:pPr>
            <w:r>
              <w:rPr>
                <w:sz w:val="19"/>
              </w:rPr>
              <w:t>Certification bodies commonly accept a scanned copy; some require a translation or a notarized copy. To be confirmed with the ExCB.</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02A37"/>
                <w:sz w:val="19"/>
              </w:rPr>
              <w:t>To be provided</w:t>
            </w:r>
          </w:p>
        </w:tc>
        <w:tc>
          <w:tcPr>
            <w:tcW w:type="dxa" w:w="4464"/>
          </w:tcPr>
          <w:p>
            <w:pPr>
              <w:spacing w:after="40"/>
            </w:pPr>
            <w:r>
              <w:rPr>
                <w:sz w:val="19"/>
              </w:rPr>
              <w:t>Should show the units responsible for design, production, and quality, and the reporting line between them.</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02A37"/>
                <w:sz w:val="19"/>
              </w:rPr>
              <w:t>To be provided</w:t>
            </w:r>
          </w:p>
        </w:tc>
        <w:tc>
          <w:tcPr>
            <w:tcW w:type="dxa" w:w="4464"/>
          </w:tcPr>
          <w:p>
            <w:pPr>
              <w:spacing w:after="40"/>
            </w:pPr>
            <w:r>
              <w:rPr>
                <w:sz w:val="19"/>
              </w:rPr>
              <w:t>Name and position of the officer empowered to sign on behalf of the manufacturer.</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Technical partner contact</w:t>
            </w:r>
          </w:p>
        </w:tc>
        <w:tc>
          <w:tcPr>
            <w:tcW w:type="dxa" w:w="1872"/>
          </w:tcPr>
          <w:p>
            <w:pPr>
              <w:spacing w:after="40"/>
            </w:pPr>
            <w:r>
              <w:rPr>
                <w:b/>
                <w:color w:val="B56A1E"/>
                <w:sz w:val="19"/>
              </w:rPr>
              <w:t>Organization identified; contact to be confirmed</w:t>
            </w:r>
          </w:p>
        </w:tc>
        <w:tc>
          <w:tcPr>
            <w:tcW w:type="dxa" w:w="4464"/>
          </w:tcPr>
          <w:p>
            <w:pPr>
              <w:spacing w:after="40"/>
            </w:pPr>
            <w:r>
              <w:rPr>
                <w:sz w:val="19"/>
              </w:rPr>
              <w:t>Institute of Technology Bandung — IoT Laboratory / Physics Laboratory.</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structure of the supply chain is known and is stated below; the addresses and the facility profile itself are not yet documented. The product is at prototype stage, and the location for serial production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02A37"/>
                <w:sz w:val="19"/>
              </w:rPr>
              <w:t>To be provided</w:t>
            </w:r>
          </w:p>
        </w:tc>
        <w:tc>
          <w:tcPr>
            <w:tcW w:type="dxa" w:w="4464"/>
          </w:tcPr>
          <w:p>
            <w:pPr>
              <w:spacing w:after="40"/>
            </w:pPr>
            <w:r>
              <w:rPr>
                <w:sz w:val="19"/>
              </w:rPr>
              <w:t>Developed and manufactured by an external mechanical partner (see “About this document”). That partner's identity, plant address, and process capability are to be supplied by the partner and are prerequisites for Sections 2.6.c and 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 no plastic or PVC) and mounted via an L-bracket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 (Version 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LAPI Ganesha Utama</w:t>
            </w:r>
          </w:p>
        </w:tc>
      </w:tr>
      <w:tr>
        <w:tc>
          <w:tcPr>
            <w:tcW w:type="dxa" w:w="3168"/>
            <w:shd w:val="clear" w:color="auto" w:fill="EFEFEF"/>
          </w:tcPr>
          <w:p>
            <w:pPr>
              <w:spacing w:after="40"/>
            </w:pPr>
            <w:r>
              <w:rPr>
                <w:b/>
                <w:color w:val="4A4A4A"/>
                <w:sz w:val="19"/>
              </w:rPr>
              <w:t>Technical development partner</w:t>
            </w:r>
          </w:p>
        </w:tc>
        <w:tc>
          <w:tcPr>
            <w:tcW w:type="dxa" w:w="6192"/>
          </w:tcPr>
          <w:p>
            <w:pPr>
              <w:spacing w:after="40"/>
            </w:pPr>
            <w:r>
              <w:rPr>
                <w:sz w:val="20"/>
              </w:rPr>
              <w:t>Institute of Technology Bandung — IoT Laboratory &amp; Physics Laboratory</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 stainless steel</w:t>
            </w:r>
          </w:p>
        </w:tc>
      </w:tr>
    </w:tbl>
    <w:p>
      <w:pPr>
        <w:spacing w:after="120"/>
      </w:pPr>
    </w:p>
    <w:p>
      <w:pPr>
        <w:spacing w:after="160"/>
      </w:pPr>
      <w:r>
        <w:rPr>
          <w:b w:val="0"/>
          <w:i/>
          <w:color w:val="4A4A4A"/>
          <w:sz w:val="18"/>
        </w:rPr>
        <w:t>Source: official product technical datasheet (Institute of Technology Bandung,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Backup battery path (R&amp;D, not in production)</w:t>
            </w:r>
          </w:p>
        </w:tc>
        <w:tc>
          <w:tcPr>
            <w:tcW w:type="dxa" w:w="2160"/>
          </w:tcPr>
          <w:p>
            <w:pPr>
              <w:spacing w:after="40"/>
            </w:pPr>
            <w:r>
              <w:rPr>
                <w:sz w:val="19"/>
              </w:rPr>
              <w:t>Li-ion 18650 cells, 7 in parallel, 4.2 V/cell, ≈28,000 mAh total</w:t>
            </w:r>
          </w:p>
        </w:tc>
        <w:tc>
          <w:tcPr>
            <w:tcW w:type="dxa" w:w="1584"/>
          </w:tcPr>
          <w:p>
            <w:pPr>
              <w:spacing w:after="40"/>
            </w:pPr>
            <w:r>
              <w:rPr>
                <w:b/>
                <w:color w:val="B56A1E"/>
                <w:sz w:val="19"/>
              </w:rPr>
              <w:t>Development pathway</w:t>
            </w:r>
          </w:p>
        </w:tc>
        <w:tc>
          <w:tcPr>
            <w:tcW w:type="dxa" w:w="3312"/>
          </w:tcPr>
          <w:p>
            <w:pPr>
              <w:spacing w:after="40"/>
            </w:pPr>
            <w:r>
              <w:rPr>
                <w:sz w:val="19"/>
              </w:rPr>
              <w:t>Not yet a deployed production configuration. Cell/BMS safety certification (e.g., UN 38.3, IEC 62133) not yet obtained. Firmware-reported diagnostic thresholds: low battery at 3.50 V, critical at 3.30 V (status/flag only, not an active power cutoff).</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w:t>
            </w:r>
          </w:p>
        </w:tc>
        <w:tc>
          <w:tcPr>
            <w:tcW w:type="dxa" w:w="1584"/>
          </w:tcPr>
          <w:p>
            <w:pPr>
              <w:spacing w:after="40"/>
            </w:pPr>
            <w:r>
              <w:rPr>
                <w:b/>
                <w:color w:val="B02A37"/>
                <w:sz w:val="19"/>
              </w:rPr>
              <w:t>Pending confirmation</w:t>
            </w:r>
          </w:p>
        </w:tc>
        <w:tc>
          <w:tcPr>
            <w:tcW w:type="dxa" w:w="3312"/>
          </w:tcPr>
          <w:p>
            <w:pPr>
              <w:spacing w:after="40"/>
            </w:pPr>
            <w:r>
              <w:rPr>
                <w:sz w:val="19"/>
              </w:rPr>
              <w:t>Scope of electrical protection not yet defined/documented.</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 stainless steel</w:t>
            </w:r>
          </w:p>
        </w:tc>
        <w:tc>
          <w:tcPr>
            <w:tcW w:type="dxa" w:w="1584"/>
          </w:tcPr>
          <w:p>
            <w:pPr>
              <w:spacing w:after="40"/>
            </w:pPr>
            <w:r>
              <w:rPr>
                <w:b/>
                <w:color w:val="B56A1E"/>
                <w:sz w:val="19"/>
              </w:rPr>
              <w:t>Specific grade pending</w:t>
            </w:r>
          </w:p>
        </w:tc>
        <w:tc>
          <w:tcPr>
            <w:tcW w:type="dxa" w:w="2880"/>
          </w:tcPr>
          <w:p>
            <w:pPr>
              <w:spacing w:after="40"/>
            </w:pPr>
            <w:r>
              <w:rPr>
                <w:sz w:val="19"/>
              </w:rPr>
              <w:t>PVC is not used in any housing or bracket component. Specific grade still under determination.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t>Not yet weighed/documented.</w:t>
            </w:r>
          </w:p>
        </w:tc>
      </w:tr>
      <w:tr>
        <w:trPr>
          <w:cantSplit/>
        </w:trPr>
        <w:tc>
          <w:tcPr>
            <w:tcW w:type="dxa" w:w="2160"/>
          </w:tcPr>
          <w:p>
            <w:pPr>
              <w:spacing w:after="40"/>
            </w:pPr>
            <w:r>
              <w:rPr>
                <w:b/>
                <w:sz w:val="19"/>
              </w:rPr>
              <w:t>Mounting method</w:t>
            </w:r>
          </w:p>
        </w:tc>
        <w:tc>
          <w:tcPr>
            <w:tcW w:type="dxa" w:w="2736"/>
          </w:tcPr>
          <w:p>
            <w:pPr>
              <w:spacing w:after="40"/>
            </w:pPr>
            <w:r>
              <w:rPr>
                <w:sz w:val="19"/>
              </w:rPr>
              <w:t>L-bracket,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t>Not yet tested/determined.</w:t>
            </w:r>
          </w:p>
        </w:tc>
      </w:tr>
      <w:tr>
        <w:trPr>
          <w:cantSplit/>
        </w:trPr>
        <w:tc>
          <w:tcPr>
            <w:tcW w:type="dxa" w:w="2160"/>
          </w:tcPr>
          <w:p>
            <w:pPr>
              <w:spacing w:after="40"/>
            </w:pPr>
            <w:r>
              <w:rPr>
                <w:b/>
                <w:sz w:val="19"/>
              </w:rPr>
              <w:t>Cable entry (gland)</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t>Cable gland specification not yet determined.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t>Ambient operating temperature range not yet determined — key parameter for temperature class (T1–T6) determination in Section 2.5.</w:t>
            </w:r>
          </w:p>
        </w:tc>
      </w:tr>
      <w:tr>
        <w:trPr>
          <w:cantSplit/>
        </w:trPr>
        <w:tc>
          <w:tcPr>
            <w:tcW w:type="dxa" w:w="2160"/>
          </w:tcPr>
          <w:p>
            <w:pPr>
              <w:spacing w:after="40"/>
            </w:pPr>
            <w:r>
              <w:rPr>
                <w:b/>
                <w:sz w:val="19"/>
              </w:rPr>
              <w:t>Operating humidity</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Not yet substantiated by measurement. MQ-series metal-oxide sensors rely on an internal heating element as their normal operating principle; a hot-spot measurement specific to the sensor models and enclosure configuration used here has not yet been performed (see 2.6.f).</w:t>
            </w:r>
          </w:p>
        </w:tc>
      </w:tr>
      <w:tr>
        <w:trPr>
          <w:cantSplit/>
        </w:trPr>
        <w:tc>
          <w:tcPr>
            <w:tcW w:type="dxa" w:w="1872"/>
          </w:tcPr>
          <w:p>
            <w:pPr>
              <w:spacing w:after="40"/>
            </w:pPr>
            <w:r>
              <w:rPr>
                <w:b/>
                <w:sz w:val="19"/>
              </w:rPr>
              <w:t>Ambient temperature range</w:t>
            </w:r>
          </w:p>
        </w:tc>
        <w:tc>
          <w:tcPr>
            <w:tcW w:type="dxa" w:w="1584"/>
          </w:tcPr>
          <w:p>
            <w:pPr>
              <w:spacing w:after="40"/>
            </w:pPr>
            <w:r>
              <w:rPr>
                <w:sz w:val="19"/>
              </w:rPr>
              <w:t>—</w:t>
            </w:r>
          </w:p>
        </w:tc>
        <w:tc>
          <w:tcPr>
            <w:tcW w:type="dxa" w:w="2736"/>
          </w:tcPr>
          <w:p>
            <w:pPr>
              <w:spacing w:after="40"/>
            </w:pPr>
            <w:r>
              <w:rPr>
                <w:b/>
                <w:color w:val="B02A37"/>
                <w:sz w:val="19"/>
              </w:rPr>
              <w:t>Pending confirmation</w:t>
            </w:r>
          </w:p>
        </w:tc>
        <w:tc>
          <w:tcPr>
            <w:tcW w:type="dxa" w:w="3456"/>
          </w:tcPr>
          <w:p>
            <w:pPr>
              <w:spacing w:after="40"/>
            </w:pPr>
            <w:r>
              <w:rPr>
                <w:sz w:val="19"/>
              </w:rPr>
              <w:t>Not yet measured or specified.</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and zone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8" name="Picture 8"/>
            <wp:cNvGraphicFramePr>
              <a:graphicFrameLocks noChangeAspect="1"/>
            </wp:cNvGraphicFramePr>
            <a:graphic>
              <a:graphicData uri="http://schemas.openxmlformats.org/drawingml/2006/picture">
                <pic:pic>
                  <pic:nvPicPr>
                    <pic:cNvPr id="0" name="01-diagram.png"/>
                    <pic:cNvPicPr/>
                  </pic:nvPicPr>
                  <pic:blipFill>
                    <a:blip r:embed="rId18"/>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9" name="Picture 9"/>
            <wp:cNvGraphicFramePr>
              <a:graphicFrameLocks noChangeAspect="1"/>
            </wp:cNvGraphicFramePr>
            <a:graphic>
              <a:graphicData uri="http://schemas.openxmlformats.org/drawingml/2006/picture">
                <pic:pic>
                  <pic:nvPicPr>
                    <pic:cNvPr id="0" name="02-diagram.png"/>
                    <pic:cNvPicPr/>
                  </pic:nvPicPr>
                  <pic:blipFill>
                    <a:blip r:embed="rId19"/>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10" name="Picture 10"/>
            <wp:cNvGraphicFramePr>
              <a:graphicFrameLocks noChangeAspect="1"/>
            </wp:cNvGraphicFramePr>
            <a:graphic>
              <a:graphicData uri="http://schemas.openxmlformats.org/drawingml/2006/picture">
                <pic:pic>
                  <pic:nvPicPr>
                    <pic:cNvPr id="0" name="03-diagram.png"/>
                    <pic:cNvPicPr/>
                  </pic:nvPicPr>
                  <pic:blipFill>
                    <a:blip r:embed="rId20"/>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11" name="Picture 11"/>
            <wp:cNvGraphicFramePr>
              <a:graphicFrameLocks noChangeAspect="1"/>
            </wp:cNvGraphicFramePr>
            <a:graphic>
              <a:graphicData uri="http://schemas.openxmlformats.org/drawingml/2006/picture">
                <pic:pic>
                  <pic:nvPicPr>
                    <pic:cNvPr id="0" name="04-diagram.png"/>
                    <pic:cNvPicPr/>
                  </pic:nvPicPr>
                  <pic:blipFill>
                    <a:blip r:embed="rId21"/>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05-diagram.png"/>
                    <pic:cNvPicPr/>
                  </pic:nvPicPr>
                  <pic:blipFill>
                    <a:blip r:embed="rId22"/>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13" name="Picture 13"/>
            <wp:cNvGraphicFramePr>
              <a:graphicFrameLocks noChangeAspect="1"/>
            </wp:cNvGraphicFramePr>
            <a:graphic>
              <a:graphicData uri="http://schemas.openxmlformats.org/drawingml/2006/picture">
                <pic:pic>
                  <pic:nvPicPr>
                    <pic:cNvPr id="0" name="06-diagram.png"/>
                    <pic:cNvPicPr/>
                  </pic:nvPicPr>
                  <pic:blipFill>
                    <a:blip r:embed="rId23"/>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14" name="Picture 14"/>
            <wp:cNvGraphicFramePr>
              <a:graphicFrameLocks noChangeAspect="1"/>
            </wp:cNvGraphicFramePr>
            <a:graphic>
              <a:graphicData uri="http://schemas.openxmlformats.org/drawingml/2006/picture">
                <pic:pic>
                  <pic:nvPicPr>
                    <pic:cNvPr id="0" name="07-diagram.png"/>
                    <pic:cNvPicPr/>
                  </pic:nvPicPr>
                  <pic:blipFill>
                    <a:blip r:embed="rId24"/>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15" name="Picture 15"/>
            <wp:cNvGraphicFramePr>
              <a:graphicFrameLocks noChangeAspect="1"/>
            </wp:cNvGraphicFramePr>
            <a:graphic>
              <a:graphicData uri="http://schemas.openxmlformats.org/drawingml/2006/picture">
                <pic:pic>
                  <pic:nvPicPr>
                    <pic:cNvPr id="0" name="08-diagram.png"/>
                    <pic:cNvPicPr/>
                  </pic:nvPicPr>
                  <pic:blipFill>
                    <a:blip r:embed="rId25"/>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16" name="Picture 16"/>
            <wp:cNvGraphicFramePr>
              <a:graphicFrameLocks noChangeAspect="1"/>
            </wp:cNvGraphicFramePr>
            <a:graphic>
              <a:graphicData uri="http://schemas.openxmlformats.org/drawingml/2006/picture">
                <pic:pic>
                  <pic:nvPicPr>
                    <pic:cNvPr id="0" name="09-diagram.png"/>
                    <pic:cNvPicPr/>
                  </pic:nvPicPr>
                  <pic:blipFill>
                    <a:blip r:embed="rId26"/>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17" name="Picture 17"/>
            <wp:cNvGraphicFramePr>
              <a:graphicFrameLocks noChangeAspect="1"/>
            </wp:cNvGraphicFramePr>
            <a:graphic>
              <a:graphicData uri="http://schemas.openxmlformats.org/drawingml/2006/picture">
                <pic:pic>
                  <pic:nvPicPr>
                    <pic:cNvPr id="0" name="10-pcb-layout.png"/>
                    <pic:cNvPicPr/>
                  </pic:nvPicPr>
                  <pic:blipFill>
                    <a:blip r:embed="rId27"/>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18" name="Picture 18"/>
            <wp:cNvGraphicFramePr>
              <a:graphicFrameLocks noChangeAspect="1"/>
            </wp:cNvGraphicFramePr>
            <a:graphic>
              <a:graphicData uri="http://schemas.openxmlformats.org/drawingml/2006/picture">
                <pic:pic>
                  <pic:nvPicPr>
                    <pic:cNvPr id="0" name="11-pcb-3d-render.png"/>
                    <pic:cNvPicPr/>
                  </pic:nvPicPr>
                  <pic:blipFill>
                    <a:blip r:embed="rId28"/>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19" name="Picture 19"/>
            <wp:cNvGraphicFramePr>
              <a:graphicFrameLocks noChangeAspect="1"/>
            </wp:cNvGraphicFramePr>
            <a:graphic>
              <a:graphicData uri="http://schemas.openxmlformats.org/drawingml/2006/picture">
                <pic:pic>
                  <pic:nvPicPr>
                    <pic:cNvPr id="0" name="bracket-mounting-drawing.png"/>
                    <pic:cNvPicPr/>
                  </pic:nvPicPr>
                  <pic:blipFill>
                    <a:blip r:embed="rId29"/>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block diagram</w:t>
            </w:r>
          </w:p>
        </w:tc>
        <w:tc>
          <w:tcPr>
            <w:tcW w:type="dxa" w:w="1872"/>
          </w:tcPr>
          <w:p>
            <w:pPr>
              <w:spacing w:after="40"/>
            </w:pPr>
            <w:r>
              <w:rPr>
                <w:b/>
                <w:color w:val="B56A1E"/>
                <w:sz w:val="19"/>
              </w:rPr>
              <w:t>Partially available</w:t>
            </w:r>
          </w:p>
        </w:tc>
        <w:tc>
          <w:tcPr>
            <w:tcW w:type="dxa" w:w="4032"/>
          </w:tcPr>
          <w:p>
            <w:pPr>
              <w:spacing w:after="40"/>
            </w:pPr>
            <w:r>
              <w:rPr>
                <w:sz w:val="19"/>
              </w:rPr>
              <w:t>Schematic capture and a derived 9-sheet block-diagram set exist with traceability evidence (pin-to-net mapping). Not yet issued in a released, revision-controlled drawing format with a formal drawing number.</w:t>
            </w:r>
          </w:p>
        </w:tc>
      </w:tr>
      <w:tr>
        <w:trPr>
          <w:cantSplit/>
        </w:trPr>
        <w:tc>
          <w:tcPr>
            <w:tcW w:type="dxa" w:w="3744"/>
          </w:tcPr>
          <w:p>
            <w:pPr>
              <w:spacing w:after="40"/>
            </w:pPr>
            <w:r>
              <w:rPr>
                <w:b/>
                <w:sz w:val="19"/>
              </w:rPr>
              <w:t>PCB layout</w:t>
            </w:r>
          </w:p>
        </w:tc>
        <w:tc>
          <w:tcPr>
            <w:tcW w:type="dxa" w:w="1872"/>
          </w:tcPr>
          <w:p>
            <w:pPr>
              <w:spacing w:after="40"/>
            </w:pPr>
            <w:r>
              <w:rPr>
                <w:b/>
                <w:color w:val="B56A1E"/>
                <w:sz w:val="19"/>
              </w:rPr>
              <w:t>Partially available</w:t>
            </w:r>
          </w:p>
        </w:tc>
        <w:tc>
          <w:tcPr>
            <w:tcW w:type="dxa" w:w="4032"/>
          </w:tcPr>
          <w:p>
            <w:pPr>
              <w:spacing w:after="40"/>
            </w:pPr>
            <w:r>
              <w:rPr>
                <w:sz w:val="19"/>
              </w:rPr>
              <w:t>Native EasyEDA/JLCPCB layout export (routed copper) and a 3D solid model exist for the same board revision. Not yet issued as a dimensioned, toleranced, released drawing with a formal drawing number.</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02A37"/>
                <w:sz w:val="19"/>
              </w:rPr>
              <w:t>Not yet available</w:t>
            </w:r>
          </w:p>
        </w:tc>
        <w:tc>
          <w:tcPr>
            <w:tcW w:type="dxa" w:w="4032"/>
          </w:tcPr>
          <w:p>
            <w:pPr>
              <w:spacing w:after="40"/>
            </w:pPr>
            <w:r>
              <w:rPr>
                <w:sz w:val="19"/>
              </w:rPr>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and its bill of materials has not yet been provided to the authors.</w:t>
            </w:r>
          </w:p>
        </w:tc>
      </w:tr>
    </w:tbl>
    <w:p>
      <w:pPr>
        <w:spacing w:after="8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rather than the authors.</w:t>
            </w:r>
          </w:p>
        </w:tc>
      </w:tr>
    </w:tbl>
    <w:p>
      <w:pPr>
        <w:spacing w:after="8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manufacturing process, not an internal electronics process — it will need to be obtained from that partner once their process is finalized.</w:t>
            </w:r>
          </w:p>
        </w:tc>
      </w:tr>
    </w:tbl>
    <w:p>
      <w:pPr>
        <w:spacing w:after="80"/>
      </w:pPr>
    </w:p>
    <w:p>
      <w:pPr>
        <w:pStyle w:val="Heading3"/>
      </w:pPr>
      <w:r>
        <w:t>2.6.e · Explosion-Protection Calculations and Explanations (if applicable)</w:t>
      </w:r>
    </w:p>
    <w:p>
      <w:pPr>
        <w:spacing w:after="160"/>
      </w:pPr>
      <w:r>
        <w:rPr>
          <w:b w:val="0"/>
          <w:i w:val="0"/>
          <w:sz w:val="21"/>
        </w:rPr>
        <w:t>Calculations depend on the explosion-protection concept selected (e.g., Ex d, Ex e, Ex i), which has not yet been confirmed with the ExCB, and on final enclosure geometry from the casing development partner. No calculations have been performed.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protection-concept confirmation and final enclosure design.</w:t>
            </w:r>
          </w:p>
        </w:tc>
      </w:tr>
    </w:tbl>
    <w:p>
      <w:pPr>
        <w:spacing w:after="80"/>
      </w:pPr>
    </w:p>
    <w:p>
      <w:pPr>
        <w:pStyle w:val="Heading3"/>
      </w:pPr>
      <w:r>
        <w:t>2.6.f · Temperature Group Calculation (Hottest-Point Temperature Estimation)</w:t>
      </w:r>
    </w:p>
    <w:p>
      <w:pPr>
        <w:spacing w:after="160"/>
      </w:pPr>
      <w:r>
        <w:rPr>
          <w:b w:val="0"/>
          <w:i w:val="0"/>
          <w:sz w:val="21"/>
        </w:rP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 A worst-case hot-spot measurement is identified as the top-priority action required to substantiate the recommended T4 classification in Section 2.5.</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02A37"/>
                <w:sz w:val="19"/>
              </w:rPr>
              <w:t>Not yet available</w:t>
            </w:r>
          </w:p>
        </w:tc>
        <w:tc>
          <w:tcPr>
            <w:tcW w:type="dxa" w:w="4320"/>
          </w:tcPr>
          <w:p>
            <w:pPr>
              <w:spacing w:after="40"/>
            </w:pPr>
            <w:r>
              <w:rPr>
                <w:sz w:val="19"/>
              </w:rPr>
              <w:t>No Ex-specific safety warnings have been drafted.</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Partially available</w:t>
            </w:r>
          </w:p>
        </w:tc>
        <w:tc>
          <w:tcPr>
            <w:tcW w:type="dxa" w:w="4320"/>
          </w:tcPr>
          <w:p>
            <w:pPr>
              <w:spacing w:after="40"/>
            </w:pPr>
            <w:r>
              <w:rPr>
                <w:sz w:val="19"/>
              </w:rPr>
              <w:t>A mechanical mounting method exists separately (L-bracket, installed to existing structures without drilling or welding — see Section 2.3.c), but cable-entry method, torque values, grounding requirements, and cleaning requirements have not yet been formally specified.</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Partially available</w:t>
            </w:r>
          </w:p>
        </w:tc>
        <w:tc>
          <w:tcPr>
            <w:tcW w:type="dxa" w:w="4320"/>
          </w:tcPr>
          <w:p>
            <w:pPr>
              <w:spacing w:after="40"/>
            </w:pPr>
            <w:r>
              <w:rPr>
                <w:sz w:val="19"/>
              </w:rPr>
              <w:t>A firmware command/operation reference exists (Serial, MQTT, and LoRa command protocol for engineering use), but it covers software operation and commissioning — not Ex-specific maintenance or inspection requirements (frequency, content, precautions).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not yet consolidated into an Ex-specific installation and operation manual for ExCB review.</w:t>
            </w:r>
          </w:p>
        </w:tc>
      </w:tr>
    </w:tbl>
    <w:p>
      <w:pPr>
        <w:spacing w:after="80"/>
      </w:pP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(Institute of Technology Bandung,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LGU/GLD/IECEX-TDF/2026-001  ·  Rev. 0.2</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