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RU IV menyatakan bersedia mendukung penuh pelaksanaan instalasi; dokumen ini disusun agar tim RU IV dapat mulai menyiapkan material dan pekerjaan sipil/elektrikal.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1.5</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2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bahan rapat koordinasi 2 Oktober 2026,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(pelaksana instalasi, termasuk kontraktor yang ditunjuk RU IV)</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1,6 m (1,0 m di atas tanah),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Mast antena Gateway</w:t>
            </w:r>
          </w:p>
        </w:tc>
        <w:tc>
          <w:tcPr>
            <w:tcW w:type="dxa" w:w="4824"/>
          </w:tcPr>
          <w:p>
            <w:pPr>
              <w:spacing w:after="20"/>
            </w:pPr>
            <w:r>
              <w:rPr>
                <w:b w:val="0"/>
                <w:i w:val="0"/>
                <w:sz w:val="18"/>
              </w:rPr>
              <w:t>Pipa baja galvanis 2" Sch40, panjang 6 m (± 4,8 m di atas tanah), ditanam &amp; dicor di dekat ruang Gateway</w:t>
            </w:r>
          </w:p>
        </w:tc>
        <w:tc>
          <w:tcPr>
            <w:tcW w:type="dxa" w:w="1800"/>
          </w:tcPr>
          <w:p>
            <w:pPr>
              <w:spacing w:after="20"/>
            </w:pPr>
            <w:r>
              <w:rPr>
                <w:b w:val="0"/>
                <w:i w:val="0"/>
                <w:sz w:val="18"/>
              </w:rPr>
              <w:t>1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Pondasi cor</w:t>
            </w:r>
          </w:p>
        </w:tc>
        <w:tc>
          <w:tcPr>
            <w:tcW w:type="dxa" w:w="4824"/>
            <w:shd w:val="clear" w:color="auto" w:fill="FAFAF8"/>
          </w:tcPr>
          <w:p>
            <w:pPr>
              <w:spacing w:after="20"/>
            </w:pPr>
            <w:r>
              <w:rPr>
                <w:b w:val="0"/>
                <w:i w:val="0"/>
                <w:sz w:val="18"/>
              </w:rPr>
              <w:t>GLD 40×40×60 cm · CH 50×50×100 cm · mast GW 50×50×120 cm, beton fc' ≥ 20 MPa</w:t>
            </w:r>
          </w:p>
        </w:tc>
        <w:tc>
          <w:tcPr>
            <w:tcW w:type="dxa" w:w="1800"/>
            <w:shd w:val="clear" w:color="auto" w:fill="FAFAF8"/>
          </w:tcPr>
          <w:p>
            <w:pPr>
              <w:spacing w:after="20"/>
            </w:pPr>
            <w:r>
              <w:rPr>
                <w:b w:val="0"/>
                <w:i w:val="0"/>
                <w:sz w:val="18"/>
              </w:rPr>
              <w:t>10 titik*</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Catu daya GLD</w:t>
            </w:r>
          </w:p>
        </w:tc>
        <w:tc>
          <w:tcPr>
            <w:tcW w:type="dxa" w:w="4824"/>
          </w:tcPr>
          <w:p>
            <w:pPr>
              <w:spacing w:after="20"/>
            </w:pPr>
            <w:r>
              <w:rPr>
                <w:b w:val="0"/>
                <w:i w:val="0"/>
                <w:sz w:val="18"/>
              </w:rPr>
              <w:t>24 VDC, kapasitas ≥ 1 A per unit (konsumsi aktual ≈ 0,33 A)</w:t>
            </w:r>
          </w:p>
        </w:tc>
        <w:tc>
          <w:tcPr>
            <w:tcW w:type="dxa" w:w="1800"/>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Kabel daya 24 VDC</w:t>
            </w:r>
          </w:p>
        </w:tc>
        <w:tc>
          <w:tcPr>
            <w:tcW w:type="dxa" w:w="4824"/>
            <w:shd w:val="clear" w:color="auto" w:fill="FAFAF8"/>
          </w:tcPr>
          <w:p>
            <w:pPr>
              <w:spacing w:after="20"/>
            </w:pPr>
            <w:r>
              <w:rPr>
                <w:b w:val="0"/>
                <w:i w:val="0"/>
                <w:sz w:val="18"/>
              </w:rPr>
              <w:t>2 inti tembaga; ukuran mengikuti jarak (Tabel 4.2): 1,5–6 mm²</w:t>
            </w:r>
          </w:p>
        </w:tc>
        <w:tc>
          <w:tcPr>
            <w:tcW w:type="dxa" w:w="1800"/>
            <w:shd w:val="clear" w:color="auto" w:fill="FAFAF8"/>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tcPr>
          <w:p>
            <w:pPr>
              <w:spacing w:after="20"/>
            </w:pPr>
            <w:r>
              <w:rPr>
                <w:b w:val="0"/>
                <w:i w:val="0"/>
                <w:sz w:val="18"/>
              </w:rPr>
              <w:t>Kabel antena Gateway</w:t>
            </w:r>
          </w:p>
        </w:tc>
        <w:tc>
          <w:tcPr>
            <w:tcW w:type="dxa" w:w="4824"/>
          </w:tcPr>
          <w:p>
            <w:pPr>
              <w:spacing w:after="20"/>
            </w:pPr>
            <w:r>
              <w:rPr>
                <w:b w:val="0"/>
                <w:i w:val="0"/>
                <w:sz w:val="18"/>
              </w:rPr>
              <w:t>Koaksial 50 Ω low-loss (LMR-400 atau setara), ≤ 15 m, + penangkal petir koaksial</w:t>
            </w:r>
          </w:p>
        </w:tc>
        <w:tc>
          <w:tcPr>
            <w:tcW w:type="dxa" w:w="1800"/>
          </w:tcPr>
          <w:p>
            <w:pPr>
              <w:spacing w:after="20"/>
            </w:pPr>
            <w:r>
              <w:rPr>
                <w:b w:val="0"/>
                <w:i w:val="0"/>
                <w:sz w:val="18"/>
              </w:rPr>
              <w:t>1 jalur</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(router ↔ PC server,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di ruang server lokal (bersebelahan dengan ruang Gateway), 2 port LAN</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 untuk GLD</w:t>
            </w:r>
          </w:p>
        </w:tc>
        <w:tc>
          <w:tcPr>
            <w:tcW w:type="dxa" w:w="1800"/>
            <w:shd w:val="clear" w:color="auto" w:fill="FAFAF8"/>
          </w:tcPr>
          <w:p>
            <w:pPr>
              <w:spacing w:after="20"/>
            </w:pPr>
            <w:r>
              <w:rPr>
                <w:b w:val="0"/>
                <w:i w:val="0"/>
                <w:sz w:val="18"/>
              </w:rPr>
              <w:t>2 U-bolt per titik GLD</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Bracket panel surya CH</w:t>
            </w:r>
          </w:p>
        </w:tc>
        <w:tc>
          <w:tcPr>
            <w:tcW w:type="dxa" w:w="4824"/>
          </w:tcPr>
          <w:p>
            <w:pPr>
              <w:spacing w:after="20"/>
            </w:pPr>
            <w:r>
              <w:rPr>
                <w:b w:val="0"/>
                <w:i w:val="0"/>
                <w:sz w:val="18"/>
              </w:rPr>
              <w:t>Bracket baja 2 panel (milik LGU), diklem ke tiang 2", tanpa las/bor — dibawa LGU</w:t>
            </w:r>
          </w:p>
        </w:tc>
        <w:tc>
          <w:tcPr>
            <w:tcW w:type="dxa" w:w="1800"/>
          </w:tcPr>
          <w:p>
            <w:pPr>
              <w:spacing w:after="20"/>
            </w:pPr>
            <w:r>
              <w:rPr>
                <w:b w:val="0"/>
                <w:i w:val="0"/>
                <w:sz w:val="18"/>
              </w:rPr>
              <w:t>1 set per CH</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Grounding tiang</w:t>
            </w:r>
          </w:p>
        </w:tc>
        <w:tc>
          <w:tcPr>
            <w:tcW w:type="dxa" w:w="4824"/>
            <w:shd w:val="clear" w:color="auto" w:fill="FAFAF8"/>
          </w:tcPr>
          <w:p>
            <w:pPr>
              <w:spacing w:after="20"/>
            </w:pPr>
            <w:r>
              <w:rPr>
                <w:b w:val="0"/>
                <w:i w:val="0"/>
                <w:sz w:val="18"/>
              </w:rPr>
              <w:t>Bonding ke sistem grounding RU IV</w:t>
            </w:r>
          </w:p>
        </w:tc>
        <w:tc>
          <w:tcPr>
            <w:tcW w:type="dxa" w:w="1800"/>
            <w:shd w:val="clear" w:color="auto" w:fill="FAFAF8"/>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220 VAC via adaptor (rating dari tim LGU, lihat §5)</w:t>
            </w:r>
          </w:p>
        </w:tc>
        <w:tc>
          <w:tcPr>
            <w:tcW w:type="dxa" w:w="3168"/>
          </w:tcPr>
          <w:p>
            <w:pPr>
              <w:spacing w:after="20"/>
            </w:pPr>
            <w:r>
              <w:rPr>
                <w:b w:val="0"/>
                <w:i w:val="0"/>
                <w:sz w:val="18"/>
              </w:rPr>
              <w:t>Di dalam ruangan, dekat ruang server lokal; antena di luar pada mast tinggi</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w:t>
            </w:r>
          </w:p>
        </w:tc>
        <w:tc>
          <w:tcPr>
            <w:tcW w:type="dxa" w:w="3168"/>
            <w:shd w:val="clear" w:color="auto" w:fill="FAFAF8"/>
          </w:tcPr>
          <w:p>
            <w:pPr>
              <w:spacing w:after="20"/>
            </w:pPr>
            <w:r>
              <w:rPr>
                <w:b w:val="0"/>
                <w:i w:val="0"/>
                <w:sz w:val="18"/>
              </w:rPr>
              <w:t>Ruang server lokal; disediakan Pertamina, dikonfigurasi LGU</w:t>
            </w:r>
          </w:p>
        </w:tc>
      </w:tr>
      <w:tr>
        <w:tc>
          <w:tcPr>
            <w:tcW w:type="dxa" w:w="2016"/>
          </w:tcPr>
          <w:p>
            <w:pPr>
              <w:spacing w:after="20"/>
            </w:pPr>
            <w:r>
              <w:rPr>
                <w:b w:val="0"/>
                <w:i w:val="0"/>
                <w:sz w:val="18"/>
              </w:rPr>
              <w:t>Router lapangan</w:t>
            </w:r>
          </w:p>
        </w:tc>
        <w:tc>
          <w:tcPr>
            <w:tcW w:type="dxa" w:w="1944"/>
          </w:tcPr>
          <w:p>
            <w:pPr>
              <w:spacing w:after="20"/>
            </w:pPr>
            <w:r>
              <w:rPr>
                <w:b w:val="0"/>
                <w:i w:val="0"/>
                <w:sz w:val="18"/>
              </w:rPr>
              <w:t>1 unit</w:t>
            </w:r>
          </w:p>
        </w:tc>
        <w:tc>
          <w:tcPr>
            <w:tcW w:type="dxa" w:w="2808"/>
          </w:tcPr>
          <w:p>
            <w:pPr>
              <w:spacing w:after="20"/>
            </w:pPr>
            <w:r>
              <w:rPr>
                <w:b w:val="0"/>
                <w:i w:val="0"/>
                <w:sz w:val="18"/>
              </w:rPr>
              <w:t>220 VAC</w:t>
            </w:r>
          </w:p>
        </w:tc>
        <w:tc>
          <w:tcPr>
            <w:tcW w:type="dxa" w:w="3168"/>
          </w:tcPr>
          <w:p>
            <w:pPr>
              <w:spacing w:after="20"/>
            </w:pPr>
            <w:r>
              <w:rPr>
                <w:b w:val="0"/>
                <w:i w:val="0"/>
                <w:sz w:val="18"/>
              </w:rPr>
              <w:t>Satu ruangan dengan Gateway; disediakan LGU</w:t>
            </w:r>
          </w:p>
        </w:tc>
      </w:tr>
    </w:tbl>
    <w:p>
      <w:pPr>
        <w:spacing w:after="40"/>
      </w:pPr>
    </w:p>
    <w:p>
      <w:pPr>
        <w:spacing w:after="120"/>
      </w:pPr>
      <w:r>
        <w:rPr>
          <w:b w:val="0"/>
          <w:i w:val="0"/>
          <w:sz w:val="19"/>
        </w:rPr>
        <w:t>Alur data: GLD → (LoRa) → CH → (LoRa mesh) → antena Gateway di mast → (kabel koaksial) → Gateway di dalam ruangan → (Wi-Fi) → router LGU → (kabel Cat6) → PC server (MQTT broker + dashboard). PC server juga tersambung ke intranet kantor kilang lewat port LAN kedua agar dashboard dapat diakses dari kantor.</w:t>
      </w: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1,6 m = 1,0 m di atas tanah + 0,6 m tertanam di cor. Satu batang pipa standar 6 m cukup untuk ketiga tiang GLD (3 × 1,6 m = 4,8 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Rekomendasi: titik tengah sensor ± 0,5 m dari tanah (unit 290 mm berada ± 0,35–0,65 m). Sisa tiang di atas unit memberi ruang geser bila HSE RU IV menetapkan tinggi lain</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60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pelaksana RU IV)</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p>
      <w:pPr>
        <w:spacing w:after="60"/>
      </w:pPr>
      <w:r>
        <w:rPr>
          <w:b/>
          <w:i w:val="0"/>
          <w:color w:val="1B2A4A"/>
          <w:sz w:val="20"/>
        </w:rPr>
        <w:t>Tinggi sensor menurut jenis gas</w:t>
      </w:r>
    </w:p>
    <w:p>
      <w:pPr>
        <w:spacing w:after="120"/>
      </w:pPr>
      <w:r>
        <w:rPr>
          <w:b w:val="0"/>
          <w:i w:val="0"/>
          <w:sz w:val="19"/>
        </w:rPr>
        <w:t>Tidak ada satu tinggi yang ideal untuk semua gas. Panduan umum industri (IEC 60079-29-2, ISA RP12.13 Part II) menentukan tinggi berdasarkan berat jenis gas dan letak sumber bocor:</w:t>
      </w:r>
    </w:p>
    <w:tbl>
      <w:tblPr>
        <w:tblStyle w:val="TableGrid"/>
        <w:tblW w:type="auto" w:w="0"/>
        <w:tblLook w:firstColumn="1" w:firstRow="1" w:lastColumn="0" w:lastRow="0" w:noHBand="0" w:noVBand="1" w:val="04A0"/>
        <w:tblLayout w:type="fixed"/>
      </w:tblPr>
      <w:tblGrid>
        <w:gridCol w:w="2448"/>
        <w:gridCol w:w="3456"/>
        <w:gridCol w:w="4031"/>
      </w:tblGrid>
      <w:tr>
        <w:tc>
          <w:tcPr>
            <w:tcW w:type="dxa" w:w="2448"/>
            <w:shd w:val="clear" w:color="auto" w:fill="1B2A4A"/>
          </w:tcPr>
          <w:p>
            <w:pPr>
              <w:spacing w:after="20"/>
            </w:pPr>
            <w:r>
              <w:rPr>
                <w:b/>
                <w:color w:val="FFFFFF"/>
                <w:sz w:val="18"/>
              </w:rPr>
              <w:t>Jenis gas</w:t>
            </w:r>
          </w:p>
        </w:tc>
        <w:tc>
          <w:tcPr>
            <w:tcW w:type="dxa" w:w="3456"/>
            <w:shd w:val="clear" w:color="auto" w:fill="1B2A4A"/>
          </w:tcPr>
          <w:p>
            <w:pPr>
              <w:spacing w:after="20"/>
            </w:pPr>
            <w:r>
              <w:rPr>
                <w:b/>
                <w:color w:val="FFFFFF"/>
                <w:sz w:val="18"/>
              </w:rPr>
              <w:t>Sifat</w:t>
            </w:r>
          </w:p>
        </w:tc>
        <w:tc>
          <w:tcPr>
            <w:tcW w:type="dxa" w:w="4032"/>
            <w:shd w:val="clear" w:color="auto" w:fill="1B2A4A"/>
          </w:tcPr>
          <w:p>
            <w:pPr>
              <w:spacing w:after="20"/>
            </w:pPr>
            <w:r>
              <w:rPr>
                <w:b/>
                <w:color w:val="FFFFFF"/>
                <w:sz w:val="18"/>
              </w:rPr>
              <w:t>Tinggi sensor ideal</w:t>
            </w:r>
          </w:p>
        </w:tc>
      </w:tr>
      <w:tr>
        <w:tc>
          <w:tcPr>
            <w:tcW w:type="dxa" w:w="2448"/>
          </w:tcPr>
          <w:p>
            <w:pPr>
              <w:spacing w:after="20"/>
            </w:pPr>
            <w:r>
              <w:rPr>
                <w:b w:val="0"/>
                <w:i w:val="0"/>
                <w:sz w:val="18"/>
              </w:rPr>
              <w:t>LPG (propana/butana), CO₂</w:t>
            </w:r>
          </w:p>
        </w:tc>
        <w:tc>
          <w:tcPr>
            <w:tcW w:type="dxa" w:w="3456"/>
          </w:tcPr>
          <w:p>
            <w:pPr>
              <w:spacing w:after="20"/>
            </w:pPr>
            <w:r>
              <w:rPr>
                <w:b w:val="0"/>
                <w:i w:val="0"/>
                <w:sz w:val="18"/>
              </w:rPr>
              <w:t>Jauh lebih berat dari udara, mengendap di tanah/parit</w:t>
            </w:r>
          </w:p>
        </w:tc>
        <w:tc>
          <w:tcPr>
            <w:tcW w:type="dxa" w:w="4032"/>
          </w:tcPr>
          <w:p>
            <w:pPr>
              <w:spacing w:after="20"/>
            </w:pPr>
            <w:r>
              <w:rPr>
                <w:b w:val="0"/>
                <w:i w:val="0"/>
                <w:sz w:val="18"/>
              </w:rPr>
              <w:t>0,3–0,5 m dari tanah</w:t>
            </w:r>
          </w:p>
        </w:tc>
      </w:tr>
      <w:tr>
        <w:tc>
          <w:tcPr>
            <w:tcW w:type="dxa" w:w="2448"/>
            <w:shd w:val="clear" w:color="auto" w:fill="FAFAF8"/>
          </w:tcPr>
          <w:p>
            <w:pPr>
              <w:spacing w:after="20"/>
            </w:pPr>
            <w:r>
              <w:rPr>
                <w:b w:val="0"/>
                <w:i w:val="0"/>
                <w:sz w:val="18"/>
              </w:rPr>
              <w:t>H₂S</w:t>
            </w:r>
          </w:p>
        </w:tc>
        <w:tc>
          <w:tcPr>
            <w:tcW w:type="dxa" w:w="3456"/>
            <w:shd w:val="clear" w:color="auto" w:fill="FAFAF8"/>
          </w:tcPr>
          <w:p>
            <w:pPr>
              <w:spacing w:after="20"/>
            </w:pPr>
            <w:r>
              <w:rPr>
                <w:b w:val="0"/>
                <w:i w:val="0"/>
                <w:sz w:val="18"/>
              </w:rPr>
              <w:t>Sedikit lebih berat dari udara, toksik</w:t>
            </w:r>
          </w:p>
        </w:tc>
        <w:tc>
          <w:tcPr>
            <w:tcW w:type="dxa" w:w="4032"/>
            <w:shd w:val="clear" w:color="auto" w:fill="FAFAF8"/>
          </w:tcPr>
          <w:p>
            <w:pPr>
              <w:spacing w:after="20"/>
            </w:pPr>
            <w:r>
              <w:rPr>
                <w:b w:val="0"/>
                <w:i w:val="0"/>
                <w:sz w:val="18"/>
              </w:rPr>
              <w:t>0,3–0,6 m untuk deteksi kebocoran; zona napas 1,2–1,8 m untuk proteksi pekerja</w:t>
            </w:r>
          </w:p>
        </w:tc>
      </w:tr>
      <w:tr>
        <w:tc>
          <w:tcPr>
            <w:tcW w:type="dxa" w:w="2448"/>
          </w:tcPr>
          <w:p>
            <w:pPr>
              <w:spacing w:after="20"/>
            </w:pPr>
            <w:r>
              <w:rPr>
                <w:b w:val="0"/>
                <w:i w:val="0"/>
                <w:sz w:val="18"/>
              </w:rPr>
              <w:t>CO</w:t>
            </w:r>
          </w:p>
        </w:tc>
        <w:tc>
          <w:tcPr>
            <w:tcW w:type="dxa" w:w="3456"/>
          </w:tcPr>
          <w:p>
            <w:pPr>
              <w:spacing w:after="20"/>
            </w:pPr>
            <w:r>
              <w:rPr>
                <w:b w:val="0"/>
                <w:i w:val="0"/>
                <w:sz w:val="18"/>
              </w:rPr>
              <w:t>Hampir sama dengan udara</w:t>
            </w:r>
          </w:p>
        </w:tc>
        <w:tc>
          <w:tcPr>
            <w:tcW w:type="dxa" w:w="4032"/>
          </w:tcPr>
          <w:p>
            <w:pPr>
              <w:spacing w:after="20"/>
            </w:pPr>
            <w:r>
              <w:rPr>
                <w:b w:val="0"/>
                <w:i w:val="0"/>
                <w:sz w:val="18"/>
              </w:rPr>
              <w:t>Zona napas 1,5–1,8 m</w:t>
            </w:r>
          </w:p>
        </w:tc>
      </w:tr>
      <w:tr>
        <w:tc>
          <w:tcPr>
            <w:tcW w:type="dxa" w:w="2448"/>
            <w:shd w:val="clear" w:color="auto" w:fill="FAFAF8"/>
          </w:tcPr>
          <w:p>
            <w:pPr>
              <w:spacing w:after="20"/>
            </w:pPr>
            <w:r>
              <w:rPr>
                <w:b w:val="0"/>
                <w:i w:val="0"/>
                <w:sz w:val="18"/>
              </w:rPr>
              <w:t>Metana</w:t>
            </w:r>
          </w:p>
        </w:tc>
        <w:tc>
          <w:tcPr>
            <w:tcW w:type="dxa" w:w="3456"/>
            <w:shd w:val="clear" w:color="auto" w:fill="FAFAF8"/>
          </w:tcPr>
          <w:p>
            <w:pPr>
              <w:spacing w:after="20"/>
            </w:pPr>
            <w:r>
              <w:rPr>
                <w:b w:val="0"/>
                <w:i w:val="0"/>
                <w:sz w:val="18"/>
              </w:rPr>
              <w:t>Lebih ringan, naik</w:t>
            </w:r>
          </w:p>
        </w:tc>
        <w:tc>
          <w:tcPr>
            <w:tcW w:type="dxa" w:w="4032"/>
            <w:shd w:val="clear" w:color="auto" w:fill="FAFAF8"/>
          </w:tcPr>
          <w:p>
            <w:pPr>
              <w:spacing w:after="20"/>
            </w:pPr>
            <w:r>
              <w:rPr>
                <w:b w:val="0"/>
                <w:i w:val="0"/>
                <w:sz w:val="18"/>
              </w:rPr>
              <w:t>± 0,5–1 m di atas sumber bocor</w:t>
            </w:r>
          </w:p>
        </w:tc>
      </w:tr>
      <w:tr>
        <w:tc>
          <w:tcPr>
            <w:tcW w:type="dxa" w:w="2448"/>
          </w:tcPr>
          <w:p>
            <w:pPr>
              <w:spacing w:after="20"/>
            </w:pPr>
            <w:r>
              <w:rPr>
                <w:b w:val="0"/>
                <w:i w:val="0"/>
                <w:sz w:val="18"/>
              </w:rPr>
              <w:t>H₂</w:t>
            </w:r>
          </w:p>
        </w:tc>
        <w:tc>
          <w:tcPr>
            <w:tcW w:type="dxa" w:w="3456"/>
          </w:tcPr>
          <w:p>
            <w:pPr>
              <w:spacing w:after="20"/>
            </w:pPr>
            <w:r>
              <w:rPr>
                <w:b w:val="0"/>
                <w:i w:val="0"/>
                <w:sz w:val="18"/>
              </w:rPr>
              <w:t>Sangat ringan, naik cepat</w:t>
            </w:r>
          </w:p>
        </w:tc>
        <w:tc>
          <w:tcPr>
            <w:tcW w:type="dxa" w:w="4032"/>
          </w:tcPr>
          <w:p>
            <w:pPr>
              <w:spacing w:after="20"/>
            </w:pPr>
            <w:r>
              <w:rPr>
                <w:b w:val="0"/>
                <w:i w:val="0"/>
                <w:sz w:val="18"/>
              </w:rPr>
              <w:t>Di atas sumber bocor / titik tertinggi tempat gas bisa terperangkap</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Rekomendasi untuk perimeter SRU: titik tengah sensor ± 0,5 m dari tanah</w:t>
            </w:r>
          </w:p>
          <w:p>
            <w:pPr>
              <w:spacing w:after="40"/>
            </w:pPr>
            <w:r>
              <w:rPr>
                <w:b w:val="0"/>
                <w:i w:val="0"/>
                <w:sz w:val="18"/>
              </w:rPr>
              <w:t>Satu unit GLD membaca beberapa gas sekaligus, sehingga tingginya selalu kompromi. Di perimeter SRU, gas yang paling relevan (H₂S, LPG) cenderung turun, sehingga posisi rendah paling efektif — sekaligus tanpa pekerjaan ketinggian. Jangan di bawah ± 0,3 m karena sensor bermesh terbuka bisa terkena cipratan air, lumpur, dan genangan. Untuk titik yang terutama menyasar H₂/metana, tinggi ditentukan dari posisi sumber bocor (flange/valve), bukan dari tanah; tiang titik tersebut dibuat lebih panjang. Tinggi final per titik disepakati bersama HSE RU IV saat penentuan titik (letak sumber bocor &amp; arah angin).</w:t>
            </w:r>
          </w:p>
        </w:tc>
      </w:tr>
    </w:tbl>
    <w:p>
      <w:pPr>
        <w:spacing w:after="40"/>
      </w:pPr>
    </w:p>
    <w:p>
      <w:pPr>
        <w:pStyle w:val="Heading2"/>
      </w:pPr>
      <w:r>
        <w:rPr>
          <w:color w:val="1B2A4A"/>
        </w:rPr>
        <w:t>3.2 Tiang Cluster Head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Bracket panel surya</w:t>
            </w:r>
          </w:p>
        </w:tc>
        <w:tc>
          <w:tcPr>
            <w:tcW w:type="dxa" w:w="6192"/>
          </w:tcPr>
          <w:p>
            <w:pPr>
              <w:spacing w:after="20"/>
            </w:pPr>
            <w:r>
              <w:rPr>
                <w:b w:val="0"/>
                <w:i w:val="0"/>
                <w:sz w:val="18"/>
              </w:rPr>
              <w:t xml:space="preserve">Bracket baja 2 panel </w:t>
            </w:r>
            <w:r>
              <w:rPr>
                <w:b/>
                <w:i w:val="0"/>
                <w:sz w:val="18"/>
              </w:rPr>
              <w:t>disediakan dan dibawa LGU</w:t>
            </w:r>
            <w:r>
              <w:rPr>
                <w:b w:val="0"/>
                <w:i w:val="0"/>
                <w:sz w:val="18"/>
              </w:rPr>
              <w:t>, diklem ke tiang 2" (OD 60,3 mm) tanpa las/bor; dua panel dipasang berlawanan arah seperti Gambar 3.1</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Mounting CH &amp; antena</w:t>
            </w:r>
          </w:p>
        </w:tc>
        <w:tc>
          <w:tcPr>
            <w:tcW w:type="dxa" w:w="6192"/>
            <w:shd w:val="clear" w:color="auto" w:fill="FAFAF8"/>
          </w:tcPr>
          <w:p>
            <w:pPr>
              <w:spacing w:after="20"/>
            </w:pPr>
            <w:r>
              <w:rPr>
                <w:b w:val="0"/>
                <w:i w:val="0"/>
                <w:sz w:val="18"/>
              </w:rPr>
              <w:t>Unit CH dan antena dipasang di bagian atas tiang (perangkat &amp; klem dari LGU); tiang CH tidak memakai pelat U-bolt 250×250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Ujung atas tiang</w:t>
            </w:r>
          </w:p>
        </w:tc>
        <w:tc>
          <w:tcPr>
            <w:tcW w:type="dxa" w:w="6192"/>
          </w:tcPr>
          <w:p>
            <w:pPr>
              <w:spacing w:after="20"/>
            </w:pPr>
            <w:r>
              <w:rPr>
                <w:b w:val="0"/>
                <w:i w:val="0"/>
                <w:sz w:val="18"/>
              </w:rPr>
              <w:t>Tertutup oleh dudukan CH/antena (bukan pipe cap); sambungan dibuat rapat agar air hujan tidak masuk</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Tinggi final per titik</w:t>
            </w:r>
          </w:p>
        </w:tc>
        <w:tc>
          <w:tcPr>
            <w:tcW w:type="dxa" w:w="6192"/>
            <w:shd w:val="clear" w:color="auto" w:fill="FAFAF8"/>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keepNext/>
        <w:jc w:val="center"/>
      </w:pPr>
      <w:r>
        <w:drawing>
          <wp:inline xmlns:a="http://schemas.openxmlformats.org/drawingml/2006/main" xmlns:pic="http://schemas.openxmlformats.org/drawingml/2006/picture">
            <wp:extent cx="1988820" cy="2651760"/>
            <wp:docPr id="1" name="Picture 1"/>
            <wp:cNvGraphicFramePr>
              <a:graphicFrameLocks noChangeAspect="1"/>
            </wp:cNvGraphicFramePr>
            <a:graphic>
              <a:graphicData uri="http://schemas.openxmlformats.org/drawingml/2006/picture">
                <pic:pic>
                  <pic:nvPicPr>
                    <pic:cNvPr id="0" name="ch_bracket_solar_detail.jpg"/>
                    <pic:cNvPicPr/>
                  </pic:nvPicPr>
                  <pic:blipFill>
                    <a:blip r:embed="rId11"/>
                    <a:stretch>
                      <a:fillRect/>
                    </a:stretch>
                  </pic:blipFill>
                  <pic:spPr>
                    <a:xfrm>
                      <a:off x="0" y="0"/>
                      <a:ext cx="1988820" cy="2651760"/>
                    </a:xfrm>
                    <a:prstGeom prst="rect"/>
                  </pic:spPr>
                </pic:pic>
              </a:graphicData>
            </a:graphic>
          </wp:inline>
        </w:drawing>
      </w:r>
      <w:r>
        <w:t xml:space="preserve">    </w:t>
      </w:r>
      <w:r>
        <w:drawing>
          <wp:inline xmlns:a="http://schemas.openxmlformats.org/drawingml/2006/main" xmlns:pic="http://schemas.openxmlformats.org/drawingml/2006/picture">
            <wp:extent cx="1988820" cy="2651760"/>
            <wp:docPr id="2" name="Picture 2"/>
            <wp:cNvGraphicFramePr>
              <a:graphicFrameLocks noChangeAspect="1"/>
            </wp:cNvGraphicFramePr>
            <a:graphic>
              <a:graphicData uri="http://schemas.openxmlformats.org/drawingml/2006/picture">
                <pic:pic>
                  <pic:nvPicPr>
                    <pic:cNvPr id="0" name="ch_mast_antena_atap.jpg"/>
                    <pic:cNvPicPr/>
                  </pic:nvPicPr>
                  <pic:blipFill>
                    <a:blip r:embed="rId12"/>
                    <a:stretch>
                      <a:fillRect/>
                    </a:stretch>
                  </pic:blipFill>
                  <pic:spPr>
                    <a:xfrm>
                      <a:off x="0" y="0"/>
                      <a:ext cx="1988820" cy="2651760"/>
                    </a:xfrm>
                    <a:prstGeom prst="rect"/>
                  </pic:spPr>
                </pic:pic>
              </a:graphicData>
            </a:graphic>
          </wp:inline>
        </w:drawing>
      </w:r>
      <w:r>
        <w:t xml:space="preserve">    </w:t>
      </w:r>
    </w:p>
    <w:p>
      <w:pPr>
        <w:spacing w:after="120"/>
      </w:pPr>
      <w:r>
        <w:rPr>
          <w:b w:val="0"/>
          <w:i/>
          <w:color w:val="5B5B5B"/>
          <w:sz w:val="17"/>
        </w:rPr>
        <w:t>Gambar 3.1 Konfigurasi Cluster Head: bracket 2 panel surya diklem ke tiang (kiri), unit CH &amp; antena di bagian atas tiang (kanan). Foto uji LGU &amp; ITB; drum hanya dudukan sementara — di RU IV tiang ditanam &amp; dicor.</w:t>
      </w:r>
    </w:p>
    <w:p>
      <w:pPr>
        <w:pStyle w:val="Heading2"/>
      </w:pPr>
      <w:r>
        <w:rPr>
          <w:color w:val="1B2A4A"/>
        </w:rPr>
        <w:t>3.3 Mast antena Gateway</w:t>
      </w:r>
    </w:p>
    <w:p>
      <w:pPr>
        <w:spacing w:after="120"/>
      </w:pPr>
      <w:r>
        <w:rPr>
          <w:b w:val="0"/>
          <w:i w:val="0"/>
          <w:sz w:val="19"/>
        </w:rPr>
        <w:t xml:space="preserve">Gateway ditempatkan </w:t>
      </w:r>
      <w:r>
        <w:rPr>
          <w:b/>
          <w:i w:val="0"/>
          <w:sz w:val="19"/>
        </w:rPr>
        <w:t>di dalam ruangan</w:t>
      </w:r>
      <w:r>
        <w:rPr>
          <w:b w:val="0"/>
          <w:i w:val="0"/>
          <w:sz w:val="19"/>
        </w:rPr>
        <w:t xml:space="preserve"> di dekat ruang server lokal, tetapi antenanya harus tinggi karena Gateway adalah titik pusat jaringan mesh: semua CH mengirim data ke antena ini. Antena dipasang di luar gedung pada mast, lalu disambung ke Gateway dengan kabel koaksial.</w:t>
      </w:r>
    </w:p>
    <w:tbl>
      <w:tblPr>
        <w:tblStyle w:val="TableGrid"/>
        <w:tblW w:type="auto" w:w="0"/>
        <w:tblLook w:firstColumn="1" w:firstRow="1" w:lastColumn="0" w:lastRow="0" w:noHBand="0" w:noVBand="1" w:val="04A0"/>
        <w:tblLayout w:type="fixed"/>
      </w:tblPr>
      <w:tblGrid>
        <w:gridCol w:w="2520"/>
        <w:gridCol w:w="5976"/>
        <w:gridCol w:w="1440"/>
      </w:tblGrid>
      <w:tr>
        <w:tc>
          <w:tcPr>
            <w:tcW w:type="dxa" w:w="2520"/>
            <w:shd w:val="clear" w:color="auto" w:fill="1B2A4A"/>
          </w:tcPr>
          <w:p>
            <w:pPr>
              <w:spacing w:after="20"/>
            </w:pPr>
            <w:r>
              <w:rPr>
                <w:b/>
                <w:color w:val="FFFFFF"/>
                <w:sz w:val="18"/>
              </w:rPr>
              <w:t>Parameter</w:t>
            </w:r>
          </w:p>
        </w:tc>
        <w:tc>
          <w:tcPr>
            <w:tcW w:type="dxa" w:w="597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520"/>
          </w:tcPr>
          <w:p>
            <w:pPr>
              <w:spacing w:after="20"/>
            </w:pPr>
            <w:r>
              <w:rPr>
                <w:b w:val="0"/>
                <w:i w:val="0"/>
                <w:sz w:val="18"/>
              </w:rPr>
              <w:t>Antena</w:t>
            </w:r>
          </w:p>
        </w:tc>
        <w:tc>
          <w:tcPr>
            <w:tcW w:type="dxa" w:w="5976"/>
          </w:tcPr>
          <w:p>
            <w:pPr>
              <w:spacing w:after="20"/>
            </w:pPr>
            <w:r>
              <w:rPr>
                <w:b w:val="0"/>
                <w:i w:val="0"/>
                <w:sz w:val="18"/>
              </w:rPr>
              <w:t>Antena fiber omni 8 dBi, 920–923 MHz (bawaan perangkat Gateway, disediakan LGU)</w:t>
            </w:r>
          </w:p>
        </w:tc>
        <w:tc>
          <w:tcPr>
            <w:tcW w:type="dxa" w:w="1440"/>
            <w:shd w:val="clear" w:color="auto" w:fill="EAF4EC"/>
          </w:tcPr>
          <w:p>
            <w:pPr>
              <w:spacing w:after="20"/>
            </w:pPr>
            <w:r>
              <w:rPr>
                <w:b/>
                <w:color w:val="2C6B33"/>
                <w:sz w:val="17"/>
              </w:rPr>
              <w:t>FINAL</w:t>
            </w:r>
          </w:p>
        </w:tc>
      </w:tr>
      <w:tr>
        <w:tc>
          <w:tcPr>
            <w:tcW w:type="dxa" w:w="2520"/>
            <w:shd w:val="clear" w:color="auto" w:fill="FAFAF8"/>
          </w:tcPr>
          <w:p>
            <w:pPr>
              <w:spacing w:after="20"/>
            </w:pPr>
            <w:r>
              <w:rPr>
                <w:b w:val="0"/>
                <w:i w:val="0"/>
                <w:sz w:val="18"/>
              </w:rPr>
              <w:t>Tinggi antena</w:t>
            </w:r>
          </w:p>
        </w:tc>
        <w:tc>
          <w:tcPr>
            <w:tcW w:type="dxa" w:w="5976"/>
            <w:shd w:val="clear" w:color="auto" w:fill="FAFAF8"/>
          </w:tcPr>
          <w:p>
            <w:pPr>
              <w:spacing w:after="20"/>
            </w:pPr>
            <w:r>
              <w:rPr>
                <w:b w:val="0"/>
                <w:i w:val="0"/>
                <w:sz w:val="18"/>
              </w:rPr>
              <w:t>Puncak antena ≥ 2 m di atas atap gedung terdekat dan lebih tinggi dari antena CH (3 m). Target perencanaan ± 5–6 m dari tanah</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Opsi 1 (disarankan): mast berdiri sendiri</w:t>
            </w:r>
          </w:p>
        </w:tc>
        <w:tc>
          <w:tcPr>
            <w:tcW w:type="dxa" w:w="5976"/>
          </w:tcPr>
          <w:p>
            <w:pPr>
              <w:spacing w:after="20"/>
            </w:pPr>
            <w:r>
              <w:rPr>
                <w:b w:val="0"/>
                <w:i w:val="0"/>
                <w:sz w:val="18"/>
              </w:rPr>
              <w:t>Pipa baja galvanis 2" Sch40 panjang 6 m (1 batang standar): ± 4,8 m di atas tanah + 1,2 m tertanam; pondasi 50 × 50 × 120 cm; ditempatkan sedekat mungkin dengan dinding ruang Gateway</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Opsi 2: mast di dinding/atap gedung</w:t>
            </w:r>
          </w:p>
        </w:tc>
        <w:tc>
          <w:tcPr>
            <w:tcW w:type="dxa" w:w="5976"/>
            <w:shd w:val="clear" w:color="auto" w:fill="FAFAF8"/>
          </w:tcPr>
          <w:p>
            <w:pPr>
              <w:spacing w:after="20"/>
            </w:pPr>
            <w:r>
              <w:rPr>
                <w:b w:val="0"/>
                <w:i w:val="0"/>
                <w:sz w:val="18"/>
              </w:rPr>
              <w:t>Pipa 2" dengan wall bracket/klem ke dinding atau parapet; perlu izin RU IV karena melubangi/menjepit struktur gedung</w:t>
            </w:r>
          </w:p>
        </w:tc>
        <w:tc>
          <w:tcPr>
            <w:tcW w:type="dxa" w:w="1440"/>
            <w:shd w:val="clear" w:color="auto" w:fill="FBE6E4"/>
          </w:tcPr>
          <w:p>
            <w:pPr>
              <w:spacing w:after="20"/>
            </w:pPr>
            <w:r>
              <w:rPr>
                <w:b/>
                <w:color w:val="B23A3A"/>
                <w:sz w:val="17"/>
              </w:rPr>
              <w:t>KONFIRMASI</w:t>
            </w:r>
          </w:p>
        </w:tc>
      </w:tr>
      <w:tr>
        <w:tc>
          <w:tcPr>
            <w:tcW w:type="dxa" w:w="2520"/>
          </w:tcPr>
          <w:p>
            <w:pPr>
              <w:spacing w:after="20"/>
            </w:pPr>
            <w:r>
              <w:rPr>
                <w:b w:val="0"/>
                <w:i w:val="0"/>
                <w:sz w:val="18"/>
              </w:rPr>
              <w:t>Penguat mast</w:t>
            </w:r>
          </w:p>
        </w:tc>
        <w:tc>
          <w:tcPr>
            <w:tcW w:type="dxa" w:w="5976"/>
          </w:tcPr>
          <w:p>
            <w:pPr>
              <w:spacing w:after="20"/>
            </w:pPr>
            <w:r>
              <w:rPr>
                <w:b w:val="0"/>
                <w:i w:val="0"/>
                <w:sz w:val="18"/>
              </w:rPr>
              <w:t>Bila tinggi &gt; 5 m atau angin kencang: tambah guy wire 3 arah atau klem ke dinding gedung</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Klem antena</w:t>
            </w:r>
          </w:p>
        </w:tc>
        <w:tc>
          <w:tcPr>
            <w:tcW w:type="dxa" w:w="5976"/>
            <w:shd w:val="clear" w:color="auto" w:fill="FAFAF8"/>
          </w:tcPr>
          <w:p>
            <w:pPr>
              <w:spacing w:after="20"/>
            </w:pPr>
            <w:r>
              <w:rPr>
                <w:b w:val="0"/>
                <w:i w:val="0"/>
                <w:sz w:val="18"/>
              </w:rPr>
              <w:t>Mengikuti klem bawaan antena (umumnya untuk pipa Ø 30–60 mm)</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Grounding &amp; petir</w:t>
            </w:r>
          </w:p>
        </w:tc>
        <w:tc>
          <w:tcPr>
            <w:tcW w:type="dxa" w:w="5976"/>
          </w:tcPr>
          <w:p>
            <w:pPr>
              <w:spacing w:after="20"/>
            </w:pPr>
            <w:r>
              <w:rPr>
                <w:b w:val="0"/>
                <w:i w:val="0"/>
                <w:sz w:val="18"/>
              </w:rPr>
              <w:t>Mast di-bonding ke grounding RU IV; penangkal petir koaksial dipasang di titik kabel masuk gedung</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3.4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dan mast Gateway lebih tinggi dari struktur sekitarnya: perlu tidaknya proteksi petir tambahan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1,5 mm²</w:t>
            </w:r>
          </w:p>
        </w:tc>
        <w:tc>
          <w:tcPr>
            <w:tcW w:type="dxa" w:w="2304"/>
          </w:tcPr>
          <w:p>
            <w:pPr>
              <w:spacing w:after="20"/>
            </w:pPr>
            <w:r>
              <w:rPr>
                <w:b w:val="0"/>
                <w:i w:val="0"/>
                <w:sz w:val="18"/>
              </w:rPr>
              <w:t>12,1</w:t>
            </w:r>
          </w:p>
        </w:tc>
        <w:tc>
          <w:tcPr>
            <w:tcW w:type="dxa" w:w="2664"/>
          </w:tcPr>
          <w:p>
            <w:pPr>
              <w:spacing w:after="20"/>
            </w:pPr>
            <w:r>
              <w:rPr>
                <w:b w:val="0"/>
                <w:i w:val="0"/>
                <w:sz w:val="18"/>
              </w:rPr>
              <w:t>50 m</w:t>
            </w:r>
          </w:p>
        </w:tc>
        <w:tc>
          <w:tcPr>
            <w:tcW w:type="dxa" w:w="2664"/>
          </w:tcPr>
          <w:p>
            <w:pPr>
              <w:spacing w:after="20"/>
            </w:pPr>
            <w:r>
              <w:rPr>
                <w:b w:val="0"/>
                <w:i w:val="0"/>
                <w:sz w:val="18"/>
              </w:rPr>
              <w:t>150 m</w:t>
            </w:r>
          </w:p>
        </w:tc>
      </w:tr>
      <w:tr>
        <w:tc>
          <w:tcPr>
            <w:tcW w:type="dxa" w:w="2304"/>
            <w:shd w:val="clear" w:color="auto" w:fill="FAFAF8"/>
          </w:tcPr>
          <w:p>
            <w:pPr>
              <w:spacing w:after="20"/>
            </w:pPr>
            <w:r>
              <w:rPr>
                <w:b w:val="0"/>
                <w:i w:val="0"/>
                <w:sz w:val="18"/>
              </w:rPr>
              <w:t>2 × 2,5 mm²</w:t>
            </w:r>
          </w:p>
        </w:tc>
        <w:tc>
          <w:tcPr>
            <w:tcW w:type="dxa" w:w="2304"/>
            <w:shd w:val="clear" w:color="auto" w:fill="FAFAF8"/>
          </w:tcPr>
          <w:p>
            <w:pPr>
              <w:spacing w:after="20"/>
            </w:pPr>
            <w:r>
              <w:rPr>
                <w:b w:val="0"/>
                <w:i w:val="0"/>
                <w:sz w:val="18"/>
              </w:rPr>
              <w:t>7,41</w:t>
            </w:r>
          </w:p>
        </w:tc>
        <w:tc>
          <w:tcPr>
            <w:tcW w:type="dxa" w:w="2664"/>
            <w:shd w:val="clear" w:color="auto" w:fill="FAFAF8"/>
          </w:tcPr>
          <w:p>
            <w:pPr>
              <w:spacing w:after="20"/>
            </w:pPr>
            <w:r>
              <w:rPr>
                <w:b w:val="0"/>
                <w:i w:val="0"/>
                <w:sz w:val="18"/>
              </w:rPr>
              <w:t>80 m</w:t>
            </w:r>
          </w:p>
        </w:tc>
        <w:tc>
          <w:tcPr>
            <w:tcW w:type="dxa" w:w="2664"/>
            <w:shd w:val="clear" w:color="auto" w:fill="FAFAF8"/>
          </w:tcPr>
          <w:p>
            <w:pPr>
              <w:spacing w:after="20"/>
            </w:pPr>
            <w:r>
              <w:rPr>
                <w:b w:val="0"/>
                <w:i w:val="0"/>
                <w:sz w:val="18"/>
              </w:rPr>
              <w:t>245 m</w:t>
            </w:r>
          </w:p>
        </w:tc>
      </w:tr>
      <w:tr>
        <w:tc>
          <w:tcPr>
            <w:tcW w:type="dxa" w:w="2304"/>
          </w:tcPr>
          <w:p>
            <w:pPr>
              <w:spacing w:after="20"/>
            </w:pPr>
            <w:r>
              <w:rPr>
                <w:b w:val="0"/>
                <w:i w:val="0"/>
                <w:sz w:val="18"/>
              </w:rPr>
              <w:t>2 × 4 mm²</w:t>
            </w:r>
          </w:p>
        </w:tc>
        <w:tc>
          <w:tcPr>
            <w:tcW w:type="dxa" w:w="2304"/>
          </w:tcPr>
          <w:p>
            <w:pPr>
              <w:spacing w:after="20"/>
            </w:pPr>
            <w:r>
              <w:rPr>
                <w:b w:val="0"/>
                <w:i w:val="0"/>
                <w:sz w:val="18"/>
              </w:rPr>
              <w:t>4,61</w:t>
            </w:r>
          </w:p>
        </w:tc>
        <w:tc>
          <w:tcPr>
            <w:tcW w:type="dxa" w:w="2664"/>
          </w:tcPr>
          <w:p>
            <w:pPr>
              <w:spacing w:after="20"/>
            </w:pPr>
            <w:r>
              <w:rPr>
                <w:b w:val="0"/>
                <w:i w:val="0"/>
                <w:sz w:val="18"/>
              </w:rPr>
              <w:t>130 m</w:t>
            </w:r>
          </w:p>
        </w:tc>
        <w:tc>
          <w:tcPr>
            <w:tcW w:type="dxa" w:w="2664"/>
          </w:tcPr>
          <w:p>
            <w:pPr>
              <w:spacing w:after="20"/>
            </w:pPr>
            <w:r>
              <w:rPr>
                <w:b w:val="0"/>
                <w:i w:val="0"/>
                <w:sz w:val="18"/>
              </w:rPr>
              <w:t>390 m</w:t>
            </w:r>
          </w:p>
        </w:tc>
      </w:tr>
      <w:tr>
        <w:tc>
          <w:tcPr>
            <w:tcW w:type="dxa" w:w="2304"/>
            <w:shd w:val="clear" w:color="auto" w:fill="FAFAF8"/>
          </w:tcPr>
          <w:p>
            <w:pPr>
              <w:spacing w:after="20"/>
            </w:pPr>
            <w:r>
              <w:rPr>
                <w:b w:val="0"/>
                <w:i w:val="0"/>
                <w:sz w:val="18"/>
              </w:rPr>
              <w:t>2 × 6 mm²</w:t>
            </w:r>
          </w:p>
        </w:tc>
        <w:tc>
          <w:tcPr>
            <w:tcW w:type="dxa" w:w="2304"/>
            <w:shd w:val="clear" w:color="auto" w:fill="FAFAF8"/>
          </w:tcPr>
          <w:p>
            <w:pPr>
              <w:spacing w:after="20"/>
            </w:pPr>
            <w:r>
              <w:rPr>
                <w:b w:val="0"/>
                <w:i w:val="0"/>
                <w:sz w:val="18"/>
              </w:rPr>
              <w:t>3,08</w:t>
            </w:r>
          </w:p>
        </w:tc>
        <w:tc>
          <w:tcPr>
            <w:tcW w:type="dxa" w:w="2664"/>
            <w:shd w:val="clear" w:color="auto" w:fill="FAFAF8"/>
          </w:tcPr>
          <w:p>
            <w:pPr>
              <w:spacing w:after="20"/>
            </w:pPr>
            <w:r>
              <w:rPr>
                <w:b w:val="0"/>
                <w:i w:val="0"/>
                <w:sz w:val="18"/>
              </w:rPr>
              <w:t>195 m</w:t>
            </w:r>
          </w:p>
        </w:tc>
        <w:tc>
          <w:tcPr>
            <w:tcW w:type="dxa" w:w="2664"/>
            <w:shd w:val="clear" w:color="auto" w:fill="FAFAF8"/>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p>
      <w:pPr>
        <w:spacing w:after="120"/>
      </w:pPr>
      <w:r>
        <w:rPr>
          <w:b w:val="0"/>
          <w:i w:val="0"/>
          <w:sz w:val="19"/>
        </w:rPr>
        <w:t>Tata letak: ruang Gateway (Gateway + router LGU) bersebelahan/dekat dengan ruang server lokal (PC server). Gateway tersambung ke router lewat Wi-Fi, sehingga keduanya sebaiknya satu ruangan; router ke PC server memakai kabel Cat6.</w:t>
      </w:r>
    </w:p>
    <w:p>
      <w:pPr>
        <w:pStyle w:val="Heading2"/>
      </w:pPr>
      <w:r>
        <w:rPr>
          <w:color w:val="1B2A4A"/>
        </w:rPr>
        <w:t>5.1 Ruang Gateway &amp; ruang server</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di ruang server lokal.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milik LGU, satu ruangan dengan Gateway; dikonfigurasi LGU sebelum mobilisasi (lihat §5.2)</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Gateway ↔ router</w:t>
            </w:r>
          </w:p>
        </w:tc>
        <w:tc>
          <w:tcPr>
            <w:tcW w:type="dxa" w:w="4608"/>
          </w:tcPr>
          <w:p>
            <w:pPr>
              <w:spacing w:after="20"/>
            </w:pPr>
            <w:r>
              <w:rPr>
                <w:b w:val="0"/>
                <w:i w:val="0"/>
                <w:sz w:val="18"/>
              </w:rPr>
              <w:t>Wi-Fi 2,4 GHz, satu ruangan, jarak ± 1–5 m, tanpa sekat logam</w:t>
            </w:r>
          </w:p>
        </w:tc>
        <w:tc>
          <w:tcPr>
            <w:tcW w:type="dxa" w:w="1800"/>
          </w:tcPr>
          <w:p>
            <w:pPr>
              <w:spacing w:after="20"/>
            </w:pPr>
            <w:r>
              <w:rPr>
                <w:b w:val="0"/>
                <w:i w:val="0"/>
                <w:sz w:val="18"/>
              </w:rPr>
              <w:t>—</w:t>
            </w:r>
          </w:p>
        </w:tc>
        <w:tc>
          <w:tcPr>
            <w:tcW w:type="dxa" w:w="1440"/>
            <w:shd w:val="clear" w:color="auto" w:fill="EAF4EC"/>
          </w:tcPr>
          <w:p>
            <w:pPr>
              <w:spacing w:after="20"/>
            </w:pPr>
            <w:r>
              <w:rPr>
                <w:b/>
                <w:color w:val="2C6B33"/>
                <w:sz w:val="17"/>
              </w:rPr>
              <w:t>FINAL</w:t>
            </w:r>
          </w:p>
        </w:tc>
      </w:tr>
      <w:tr>
        <w:tc>
          <w:tcPr>
            <w:tcW w:type="dxa" w:w="2088"/>
            <w:shd w:val="clear" w:color="auto" w:fill="FAFAF8"/>
          </w:tcPr>
          <w:p>
            <w:pPr>
              <w:spacing w:after="20"/>
            </w:pPr>
            <w:r>
              <w:rPr>
                <w:b w:val="0"/>
                <w:i w:val="0"/>
                <w:sz w:val="18"/>
              </w:rPr>
              <w:t>Kabel router ↔ PC server</w:t>
            </w:r>
          </w:p>
        </w:tc>
        <w:tc>
          <w:tcPr>
            <w:tcW w:type="dxa" w:w="4608"/>
            <w:shd w:val="clear" w:color="auto" w:fill="FAFAF8"/>
          </w:tcPr>
          <w:p>
            <w:pPr>
              <w:spacing w:after="20"/>
            </w:pPr>
            <w:r>
              <w:rPr>
                <w:b w:val="0"/>
                <w:i w:val="0"/>
                <w:sz w:val="18"/>
              </w:rPr>
              <w:t>Cat6 sesuai jarak antar-ruang (maks. 90 m per segmen), lewat jalur kabel/conduit gedung</w:t>
            </w:r>
          </w:p>
        </w:tc>
        <w:tc>
          <w:tcPr>
            <w:tcW w:type="dxa" w:w="1800"/>
            <w:shd w:val="clear" w:color="auto" w:fill="FAFAF8"/>
          </w:tcPr>
          <w:p>
            <w:pPr>
              <w:spacing w:after="20"/>
            </w:pPr>
            <w:r>
              <w:rPr>
                <w:b w:val="0"/>
                <w:i w:val="0"/>
                <w:sz w:val="18"/>
              </w:rPr>
              <w:t>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Kabel PC ↔ intranet kantor</w:t>
            </w:r>
          </w:p>
        </w:tc>
        <w:tc>
          <w:tcPr>
            <w:tcW w:type="dxa" w:w="4608"/>
          </w:tcPr>
          <w:p>
            <w:pPr>
              <w:spacing w:after="20"/>
            </w:pPr>
            <w:r>
              <w:rPr>
                <w:b w:val="0"/>
                <w:i w:val="0"/>
                <w:sz w:val="18"/>
              </w:rPr>
              <w:t>Cat6 ke titik jaringan kantor terdekat; panjang mengikuti lokasi (&gt; 90 m → switch/fiber). Akses hanya untuk API/dashboard</w:t>
            </w:r>
          </w:p>
        </w:tc>
        <w:tc>
          <w:tcPr>
            <w:tcW w:type="dxa" w:w="1800"/>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Daya Gateway</w:t>
            </w:r>
          </w:p>
        </w:tc>
        <w:tc>
          <w:tcPr>
            <w:tcW w:type="dxa" w:w="4608"/>
            <w:shd w:val="clear" w:color="auto" w:fill="FAFAF8"/>
          </w:tcPr>
          <w:p>
            <w:pPr>
              <w:spacing w:after="20"/>
            </w:pPr>
            <w:r>
              <w:rPr>
                <w:b w:val="0"/>
                <w:i w:val="0"/>
                <w:sz w:val="18"/>
              </w:rPr>
              <w:t>Adaptor 220 VAC dari stop kontak ruang Gateway; tegangan &amp; rating adaptor dikonfirmasi tim LGU</w:t>
            </w:r>
          </w:p>
        </w:tc>
        <w:tc>
          <w:tcPr>
            <w:tcW w:type="dxa" w:w="1800"/>
            <w:shd w:val="clear" w:color="auto" w:fill="FAFAF8"/>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Stop kontak 220 VAC</w:t>
            </w:r>
          </w:p>
        </w:tc>
        <w:tc>
          <w:tcPr>
            <w:tcW w:type="dxa" w:w="4608"/>
          </w:tcPr>
          <w:p>
            <w:pPr>
              <w:spacing w:after="20"/>
            </w:pPr>
            <w:r>
              <w:rPr>
                <w:b w:val="0"/>
                <w:i w:val="0"/>
                <w:sz w:val="18"/>
              </w:rPr>
              <w:t>Ruang Gateway: min. 2 (Gateway, router). Ruang server: min. 3 (PC, monitor, cadangan)</w:t>
            </w:r>
          </w:p>
        </w:tc>
        <w:tc>
          <w:tcPr>
            <w:tcW w:type="dxa" w:w="1800"/>
          </w:tcPr>
          <w:p>
            <w:pPr>
              <w:spacing w:after="20"/>
            </w:pPr>
            <w:r>
              <w:rPr>
                <w:b w:val="0"/>
                <w:i w:val="0"/>
                <w:sz w:val="18"/>
              </w:rPr>
              <w:t>RU IV</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Disarankan ≥ 1 kVA untuk PC + router + Gateway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2"/>
      </w:pPr>
      <w:r>
        <w:rPr>
          <w:color w:val="1B2A4A"/>
        </w:rPr>
        <w:t>5.2 Skema jaringan lokal</w:t>
      </w:r>
    </w:p>
    <w:tbl>
      <w:tblPr>
        <w:tblStyle w:val="TableGrid"/>
        <w:tblW w:type="auto" w:w="0"/>
        <w:tblLook w:firstColumn="1" w:firstRow="1" w:lastColumn="0" w:lastRow="0" w:noHBand="0" w:noVBand="1" w:val="04A0"/>
        <w:tblLayout w:type="fixed"/>
      </w:tblPr>
      <w:tblGrid>
        <w:gridCol w:w="2664"/>
        <w:gridCol w:w="5832"/>
        <w:gridCol w:w="1440"/>
      </w:tblGrid>
      <w:tr>
        <w:tc>
          <w:tcPr>
            <w:tcW w:type="dxa" w:w="2664"/>
            <w:shd w:val="clear" w:color="auto" w:fill="1B2A4A"/>
          </w:tcPr>
          <w:p>
            <w:pPr>
              <w:spacing w:after="20"/>
            </w:pPr>
            <w:r>
              <w:rPr>
                <w:b/>
                <w:color w:val="FFFFFF"/>
                <w:sz w:val="18"/>
              </w:rPr>
              <w:t>Segmen</w:t>
            </w:r>
          </w:p>
        </w:tc>
        <w:tc>
          <w:tcPr>
            <w:tcW w:type="dxa" w:w="5832"/>
            <w:shd w:val="clear" w:color="auto" w:fill="1B2A4A"/>
          </w:tcPr>
          <w:p>
            <w:pPr>
              <w:spacing w:after="20"/>
            </w:pPr>
            <w:r>
              <w:rPr>
                <w:b/>
                <w:color w:val="FFFFFF"/>
                <w:sz w:val="18"/>
              </w:rPr>
              <w:t>Media &amp; ketentuan</w:t>
            </w:r>
          </w:p>
        </w:tc>
        <w:tc>
          <w:tcPr>
            <w:tcW w:type="dxa" w:w="1440"/>
            <w:shd w:val="clear" w:color="auto" w:fill="1B2A4A"/>
          </w:tcPr>
          <w:p>
            <w:pPr>
              <w:spacing w:after="20"/>
            </w:pPr>
            <w:r>
              <w:rPr>
                <w:b/>
                <w:color w:val="FFFFFF"/>
                <w:sz w:val="18"/>
              </w:rPr>
              <w:t>Status</w:t>
            </w:r>
          </w:p>
        </w:tc>
      </w:tr>
      <w:tr>
        <w:tc>
          <w:tcPr>
            <w:tcW w:type="dxa" w:w="2664"/>
          </w:tcPr>
          <w:p>
            <w:pPr>
              <w:spacing w:after="20"/>
            </w:pPr>
            <w:r>
              <w:rPr>
                <w:b w:val="0"/>
                <w:i w:val="0"/>
                <w:sz w:val="18"/>
              </w:rPr>
              <w:t>Gateway → router</w:t>
            </w:r>
          </w:p>
        </w:tc>
        <w:tc>
          <w:tcPr>
            <w:tcW w:type="dxa" w:w="5832"/>
          </w:tcPr>
          <w:p>
            <w:pPr>
              <w:spacing w:after="20"/>
            </w:pPr>
            <w:r>
              <w:rPr>
                <w:b w:val="0"/>
                <w:i w:val="0"/>
                <w:sz w:val="18"/>
              </w:rPr>
              <w:t>Wi-Fi 2,4 GHz (Gateway berbasis ESP32-S3 hanya mendukung 2,4 GHz), WPA2, SSID khusus jaringan GLD</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Router → PC server (LAN 1)</w:t>
            </w:r>
          </w:p>
        </w:tc>
        <w:tc>
          <w:tcPr>
            <w:tcW w:type="dxa" w:w="5832"/>
            <w:shd w:val="clear" w:color="auto" w:fill="FAFAF8"/>
          </w:tcPr>
          <w:p>
            <w:pPr>
              <w:spacing w:after="20"/>
            </w:pPr>
            <w:r>
              <w:rPr>
                <w:b w:val="0"/>
                <w:i w:val="0"/>
                <w:sz w:val="18"/>
              </w:rPr>
              <w:t>Kabel Cat6 dari ruang Gateway ke ruang server lokal; IP tetap untuk PC server (MQTT broker)</w:t>
            </w:r>
          </w:p>
        </w:tc>
        <w:tc>
          <w:tcPr>
            <w:tcW w:type="dxa" w:w="1440"/>
            <w:shd w:val="clear" w:color="auto" w:fill="EAF4EC"/>
          </w:tcPr>
          <w:p>
            <w:pPr>
              <w:spacing w:after="20"/>
            </w:pPr>
            <w:r>
              <w:rPr>
                <w:b/>
                <w:color w:val="2C6B33"/>
                <w:sz w:val="17"/>
              </w:rPr>
              <w:t>FINAL</w:t>
            </w:r>
          </w:p>
        </w:tc>
      </w:tr>
      <w:tr>
        <w:tc>
          <w:tcPr>
            <w:tcW w:type="dxa" w:w="2664"/>
          </w:tcPr>
          <w:p>
            <w:pPr>
              <w:spacing w:after="20"/>
            </w:pPr>
            <w:r>
              <w:rPr>
                <w:b w:val="0"/>
                <w:i w:val="0"/>
                <w:sz w:val="18"/>
              </w:rPr>
              <w:t>PC server → intranet kantor (LAN 2)</w:t>
            </w:r>
          </w:p>
        </w:tc>
        <w:tc>
          <w:tcPr>
            <w:tcW w:type="dxa" w:w="5832"/>
          </w:tcPr>
          <w:p>
            <w:pPr>
              <w:spacing w:after="20"/>
            </w:pPr>
            <w:r>
              <w:rPr>
                <w:b w:val="0"/>
                <w:i w:val="0"/>
                <w:sz w:val="18"/>
              </w:rPr>
              <w:t>Port LAN kedua ke titik jaringan kantor; hanya untuk akses dashboard/API dari kantor. PC tidak meneruskan (routing) lalu lintas antara jaringan GLD dan intranet</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Internet</w:t>
            </w:r>
          </w:p>
        </w:tc>
        <w:tc>
          <w:tcPr>
            <w:tcW w:type="dxa" w:w="5832"/>
            <w:shd w:val="clear" w:color="auto" w:fill="FAFAF8"/>
          </w:tcPr>
          <w:p>
            <w:pPr>
              <w:spacing w:after="20"/>
            </w:pPr>
            <w:r>
              <w:rPr>
                <w:b w:val="0"/>
                <w:i w:val="0"/>
                <w:sz w:val="18"/>
              </w:rPr>
              <w:t>Tidak ada. Router tanpa WAN/SIM; seluruh sistem berjalan lokal</w:t>
            </w:r>
          </w:p>
        </w:tc>
        <w:tc>
          <w:tcPr>
            <w:tcW w:type="dxa" w:w="1440"/>
            <w:shd w:val="clear" w:color="auto" w:fill="EAF4EC"/>
          </w:tcPr>
          <w:p>
            <w:pPr>
              <w:spacing w:after="20"/>
            </w:pPr>
            <w:r>
              <w:rPr>
                <w:b/>
                <w:color w:val="2C6B33"/>
                <w:sz w:val="17"/>
              </w:rPr>
              <w:t>FINAL</w:t>
            </w:r>
          </w:p>
        </w:tc>
      </w:tr>
      <w:tr>
        <w:tc>
          <w:tcPr>
            <w:tcW w:type="dxa" w:w="2664"/>
          </w:tcPr>
          <w:p>
            <w:pPr>
              <w:spacing w:after="20"/>
            </w:pPr>
            <w:r>
              <w:rPr>
                <w:b w:val="0"/>
                <w:i w:val="0"/>
                <w:sz w:val="18"/>
              </w:rPr>
              <w:t>Spesifikasi minimum router</w:t>
            </w:r>
          </w:p>
        </w:tc>
        <w:tc>
          <w:tcPr>
            <w:tcW w:type="dxa" w:w="5832"/>
          </w:tcPr>
          <w:p>
            <w:pPr>
              <w:spacing w:after="20"/>
            </w:pPr>
            <w:r>
              <w:rPr>
                <w:b w:val="0"/>
                <w:i w:val="0"/>
                <w:sz w:val="18"/>
              </w:rPr>
              <w:t>Wi-Fi 2,4 GHz 802.11n, ≥ 1 port LAN gigabit, catu 220 VAC; disediakan &amp; dikonfigurasi LGU</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Panjang Cat6 router ↔ PC</w:t>
            </w:r>
          </w:p>
        </w:tc>
        <w:tc>
          <w:tcPr>
            <w:tcW w:type="dxa" w:w="5832"/>
            <w:shd w:val="clear" w:color="auto" w:fill="FAFAF8"/>
          </w:tcPr>
          <w:p>
            <w:pPr>
              <w:spacing w:after="20"/>
            </w:pPr>
            <w:r>
              <w:rPr>
                <w:b w:val="0"/>
                <w:i w:val="0"/>
                <w:sz w:val="18"/>
              </w:rPr>
              <w:t>Mengikuti jarak rute antar-ruang (≤ 90 m per segmen); diukur saat survey ruangan</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5.3 Kabel koaksial antena Gateway</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Jenis kabel</w:t>
            </w:r>
          </w:p>
        </w:tc>
        <w:tc>
          <w:tcPr>
            <w:tcW w:type="dxa" w:w="6192"/>
          </w:tcPr>
          <w:p>
            <w:pPr>
              <w:spacing w:after="20"/>
            </w:pPr>
            <w:r>
              <w:rPr>
                <w:b w:val="0"/>
                <w:i w:val="0"/>
                <w:sz w:val="18"/>
              </w:rPr>
              <w:t>Koaksial 50 Ω low-loss, LMR-400 atau setara (tahan UV untuk bagian luar)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w:t>
            </w:r>
          </w:p>
        </w:tc>
        <w:tc>
          <w:tcPr>
            <w:tcW w:type="dxa" w:w="6192"/>
            <w:shd w:val="clear" w:color="auto" w:fill="FAFAF8"/>
          </w:tcPr>
          <w:p>
            <w:pPr>
              <w:spacing w:after="20"/>
            </w:pPr>
            <w:r>
              <w:rPr>
                <w:b w:val="0"/>
                <w:i w:val="0"/>
                <w:sz w:val="18"/>
              </w:rPr>
              <w:t>Sependek mungkin; target ≤ 15 m dari antena ke Gateway. Rumus: rute aktual × 1,10 + 1 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Konektor</w:t>
            </w:r>
          </w:p>
        </w:tc>
        <w:tc>
          <w:tcPr>
            <w:tcW w:type="dxa" w:w="6192"/>
          </w:tcPr>
          <w:p>
            <w:pPr>
              <w:spacing w:after="20"/>
            </w:pPr>
            <w:r>
              <w:rPr>
                <w:b w:val="0"/>
                <w:i w:val="0"/>
                <w:sz w:val="18"/>
              </w:rPr>
              <w:t>Tipe N di sisi antena &amp; penangkal petir; adaptor/pigtail ke konektor antena Gateway (tipe konektor Gateway dikonfirmasi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Penangkal petir</w:t>
            </w:r>
          </w:p>
        </w:tc>
        <w:tc>
          <w:tcPr>
            <w:tcW w:type="dxa" w:w="6192"/>
            <w:shd w:val="clear" w:color="auto" w:fill="FAFAF8"/>
          </w:tcPr>
          <w:p>
            <w:pPr>
              <w:spacing w:after="20"/>
            </w:pPr>
            <w:r>
              <w:rPr>
                <w:b w:val="0"/>
                <w:i w:val="0"/>
                <w:sz w:val="18"/>
              </w:rPr>
              <w:t>Coaxial lightning arrester 50 Ω untuk 900 MHz (tipe gas discharge), konektor N, dipasang di titik kabel masuk gedung dan di-grounding</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Kabel masuk gedung</w:t>
            </w:r>
          </w:p>
        </w:tc>
        <w:tc>
          <w:tcPr>
            <w:tcW w:type="dxa" w:w="6192"/>
          </w:tcPr>
          <w:p>
            <w:pPr>
              <w:spacing w:after="20"/>
            </w:pPr>
            <w:r>
              <w:rPr>
                <w:b w:val="0"/>
                <w:i w:val="0"/>
                <w:sz w:val="18"/>
              </w:rPr>
              <w:t>Lewat lubang/sleeve dinding yang disegel, dengan drip loop (lengkungan turun) sebelum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Kedap air</w:t>
            </w:r>
          </w:p>
        </w:tc>
        <w:tc>
          <w:tcPr>
            <w:tcW w:type="dxa" w:w="6192"/>
            <w:shd w:val="clear" w:color="auto" w:fill="FAFAF8"/>
          </w:tcPr>
          <w:p>
            <w:pPr>
              <w:spacing w:after="20"/>
            </w:pPr>
            <w:r>
              <w:rPr>
                <w:b w:val="0"/>
                <w:i w:val="0"/>
                <w:sz w:val="18"/>
              </w:rPr>
              <w:t>Semua sambungan konektor di luar ruangan dibalut self-amalgamating tape</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Radius tekuk</w:t>
            </w:r>
          </w:p>
        </w:tc>
        <w:tc>
          <w:tcPr>
            <w:tcW w:type="dxa" w:w="6192"/>
          </w:tcPr>
          <w:p>
            <w:pPr>
              <w:spacing w:after="20"/>
            </w:pPr>
            <w:r>
              <w:rPr>
                <w:b w:val="0"/>
                <w:i w:val="0"/>
                <w:sz w:val="18"/>
              </w:rPr>
              <w:t>Tidak ditekuk tajam (LMR-400: radius minimum ± 2,5 cm sekali tekuk, ± 10 cm untuk tekukan berulang)</w:t>
            </w:r>
          </w:p>
        </w:tc>
        <w:tc>
          <w:tcPr>
            <w:tcW w:type="dxa" w:w="1440"/>
            <w:shd w:val="clear" w:color="auto" w:fill="FFF3DC"/>
          </w:tcPr>
          <w:p>
            <w:pPr>
              <w:spacing w:after="20"/>
            </w:pPr>
            <w:r>
              <w:rPr>
                <w:b/>
                <w:color w:val="8A6D1E"/>
                <w:sz w:val="17"/>
              </w:rPr>
              <w:t>USULAN</w:t>
            </w:r>
          </w:p>
        </w:tc>
      </w:tr>
    </w:tbl>
    <w:p>
      <w:pPr>
        <w:spacing w:after="40"/>
      </w:pPr>
    </w:p>
    <w:p>
      <w:pPr>
        <w:spacing w:after="120"/>
      </w:pPr>
      <w:r>
        <w:rPr>
          <w:b w:val="0"/>
          <w:i w:val="0"/>
          <w:sz w:val="19"/>
        </w:rPr>
        <w:t>Redaman kabel pada 921 MHz (nilai katalog umum, belum termasuk ± 0,5 dB rugi konektor). Setiap 3 dB redaman memangkas setengah daya sinyal dari dan ke seluruh CH, jadi kabel harus pendek dan berkualitas:</w:t>
      </w:r>
    </w:p>
    <w:tbl>
      <w:tblPr>
        <w:tblStyle w:val="TableGrid"/>
        <w:tblW w:type="auto" w:w="0"/>
        <w:tblLook w:firstColumn="1" w:firstRow="1" w:lastColumn="0" w:lastRow="0" w:noHBand="0" w:noVBand="1" w:val="04A0"/>
        <w:tblLayout w:type="fixed"/>
      </w:tblPr>
      <w:tblGrid>
        <w:gridCol w:w="2304"/>
        <w:gridCol w:w="2520"/>
        <w:gridCol w:w="2520"/>
        <w:gridCol w:w="2592"/>
      </w:tblGrid>
      <w:tr>
        <w:tc>
          <w:tcPr>
            <w:tcW w:type="dxa" w:w="2304"/>
            <w:shd w:val="clear" w:color="auto" w:fill="1B2A4A"/>
          </w:tcPr>
          <w:p>
            <w:pPr>
              <w:spacing w:after="20"/>
            </w:pPr>
            <w:r>
              <w:rPr>
                <w:b/>
                <w:color w:val="FFFFFF"/>
                <w:sz w:val="18"/>
              </w:rPr>
              <w:t>Panjang kabel</w:t>
            </w:r>
          </w:p>
        </w:tc>
        <w:tc>
          <w:tcPr>
            <w:tcW w:type="dxa" w:w="2520"/>
            <w:shd w:val="clear" w:color="auto" w:fill="1B2A4A"/>
          </w:tcPr>
          <w:p>
            <w:pPr>
              <w:spacing w:after="20"/>
            </w:pPr>
            <w:r>
              <w:rPr>
                <w:b/>
                <w:color w:val="FFFFFF"/>
                <w:sz w:val="18"/>
              </w:rPr>
              <w:t>LMR-240 (≈ 0,25 dB/m)</w:t>
            </w:r>
          </w:p>
        </w:tc>
        <w:tc>
          <w:tcPr>
            <w:tcW w:type="dxa" w:w="2520"/>
            <w:shd w:val="clear" w:color="auto" w:fill="1B2A4A"/>
          </w:tcPr>
          <w:p>
            <w:pPr>
              <w:spacing w:after="20"/>
            </w:pPr>
            <w:r>
              <w:rPr>
                <w:b/>
                <w:color w:val="FFFFFF"/>
                <w:sz w:val="18"/>
              </w:rPr>
              <w:t>LMR-400 (≈ 0,13 dB/m)</w:t>
            </w:r>
          </w:p>
        </w:tc>
        <w:tc>
          <w:tcPr>
            <w:tcW w:type="dxa" w:w="2592"/>
            <w:shd w:val="clear" w:color="auto" w:fill="1B2A4A"/>
          </w:tcPr>
          <w:p>
            <w:pPr>
              <w:spacing w:after="20"/>
            </w:pPr>
            <w:r>
              <w:rPr>
                <w:b/>
                <w:color w:val="FFFFFF"/>
                <w:sz w:val="18"/>
              </w:rPr>
              <w:t>LMR-600 (≈ 0,08 dB/m)</w:t>
            </w:r>
          </w:p>
        </w:tc>
      </w:tr>
      <w:tr>
        <w:tc>
          <w:tcPr>
            <w:tcW w:type="dxa" w:w="2304"/>
          </w:tcPr>
          <w:p>
            <w:pPr>
              <w:spacing w:after="20"/>
            </w:pPr>
            <w:r>
              <w:rPr>
                <w:b w:val="0"/>
                <w:i w:val="0"/>
                <w:sz w:val="18"/>
              </w:rPr>
              <w:t>5 m</w:t>
            </w:r>
          </w:p>
        </w:tc>
        <w:tc>
          <w:tcPr>
            <w:tcW w:type="dxa" w:w="2520"/>
          </w:tcPr>
          <w:p>
            <w:pPr>
              <w:spacing w:after="20"/>
            </w:pPr>
            <w:r>
              <w:rPr>
                <w:b w:val="0"/>
                <w:i w:val="0"/>
                <w:sz w:val="18"/>
              </w:rPr>
              <w:t>1,2 dB</w:t>
            </w:r>
          </w:p>
        </w:tc>
        <w:tc>
          <w:tcPr>
            <w:tcW w:type="dxa" w:w="2520"/>
          </w:tcPr>
          <w:p>
            <w:pPr>
              <w:spacing w:after="20"/>
            </w:pPr>
            <w:r>
              <w:rPr>
                <w:b w:val="0"/>
                <w:i w:val="0"/>
                <w:sz w:val="18"/>
              </w:rPr>
              <w:t>0,6 dB</w:t>
            </w:r>
          </w:p>
        </w:tc>
        <w:tc>
          <w:tcPr>
            <w:tcW w:type="dxa" w:w="2592"/>
          </w:tcPr>
          <w:p>
            <w:pPr>
              <w:spacing w:after="20"/>
            </w:pPr>
            <w:r>
              <w:rPr>
                <w:b w:val="0"/>
                <w:i w:val="0"/>
                <w:sz w:val="18"/>
              </w:rPr>
              <w:t>0,4 dB</w:t>
            </w:r>
          </w:p>
        </w:tc>
      </w:tr>
      <w:tr>
        <w:tc>
          <w:tcPr>
            <w:tcW w:type="dxa" w:w="2304"/>
            <w:shd w:val="clear" w:color="auto" w:fill="FAFAF8"/>
          </w:tcPr>
          <w:p>
            <w:pPr>
              <w:spacing w:after="20"/>
            </w:pPr>
            <w:r>
              <w:rPr>
                <w:b w:val="0"/>
                <w:i w:val="0"/>
                <w:sz w:val="18"/>
              </w:rPr>
              <w:t>10 m</w:t>
            </w:r>
          </w:p>
        </w:tc>
        <w:tc>
          <w:tcPr>
            <w:tcW w:type="dxa" w:w="2520"/>
            <w:shd w:val="clear" w:color="auto" w:fill="FAFAF8"/>
          </w:tcPr>
          <w:p>
            <w:pPr>
              <w:spacing w:after="20"/>
            </w:pPr>
            <w:r>
              <w:rPr>
                <w:b w:val="0"/>
                <w:i w:val="0"/>
                <w:sz w:val="18"/>
              </w:rPr>
              <w:t>2,5 dB</w:t>
            </w:r>
          </w:p>
        </w:tc>
        <w:tc>
          <w:tcPr>
            <w:tcW w:type="dxa" w:w="2520"/>
            <w:shd w:val="clear" w:color="auto" w:fill="FAFAF8"/>
          </w:tcPr>
          <w:p>
            <w:pPr>
              <w:spacing w:after="20"/>
            </w:pPr>
            <w:r>
              <w:rPr>
                <w:b w:val="0"/>
                <w:i w:val="0"/>
                <w:sz w:val="18"/>
              </w:rPr>
              <w:t>1,3 dB</w:t>
            </w:r>
          </w:p>
        </w:tc>
        <w:tc>
          <w:tcPr>
            <w:tcW w:type="dxa" w:w="2592"/>
            <w:shd w:val="clear" w:color="auto" w:fill="FAFAF8"/>
          </w:tcPr>
          <w:p>
            <w:pPr>
              <w:spacing w:after="20"/>
            </w:pPr>
            <w:r>
              <w:rPr>
                <w:b w:val="0"/>
                <w:i w:val="0"/>
                <w:sz w:val="18"/>
              </w:rPr>
              <w:t>0,8 dB</w:t>
            </w:r>
          </w:p>
        </w:tc>
      </w:tr>
      <w:tr>
        <w:tc>
          <w:tcPr>
            <w:tcW w:type="dxa" w:w="2304"/>
          </w:tcPr>
          <w:p>
            <w:pPr>
              <w:spacing w:after="20"/>
            </w:pPr>
            <w:r>
              <w:rPr>
                <w:b w:val="0"/>
                <w:i w:val="0"/>
                <w:sz w:val="18"/>
              </w:rPr>
              <w:t>15 m</w:t>
            </w:r>
          </w:p>
        </w:tc>
        <w:tc>
          <w:tcPr>
            <w:tcW w:type="dxa" w:w="2520"/>
          </w:tcPr>
          <w:p>
            <w:pPr>
              <w:spacing w:after="20"/>
            </w:pPr>
            <w:r>
              <w:rPr>
                <w:b w:val="0"/>
                <w:i w:val="0"/>
                <w:sz w:val="18"/>
              </w:rPr>
              <w:t>3,7 dB</w:t>
            </w:r>
          </w:p>
        </w:tc>
        <w:tc>
          <w:tcPr>
            <w:tcW w:type="dxa" w:w="2520"/>
          </w:tcPr>
          <w:p>
            <w:pPr>
              <w:spacing w:after="20"/>
            </w:pPr>
            <w:r>
              <w:rPr>
                <w:b w:val="0"/>
                <w:i w:val="0"/>
                <w:sz w:val="18"/>
              </w:rPr>
              <w:t>1,9 dB</w:t>
            </w:r>
          </w:p>
        </w:tc>
        <w:tc>
          <w:tcPr>
            <w:tcW w:type="dxa" w:w="2592"/>
          </w:tcPr>
          <w:p>
            <w:pPr>
              <w:spacing w:after="20"/>
            </w:pPr>
            <w:r>
              <w:rPr>
                <w:b w:val="0"/>
                <w:i w:val="0"/>
                <w:sz w:val="18"/>
              </w:rPr>
              <w:t>1,2 dB</w:t>
            </w:r>
          </w:p>
        </w:tc>
      </w:tr>
      <w:tr>
        <w:tc>
          <w:tcPr>
            <w:tcW w:type="dxa" w:w="2304"/>
            <w:shd w:val="clear" w:color="auto" w:fill="FAFAF8"/>
          </w:tcPr>
          <w:p>
            <w:pPr>
              <w:spacing w:after="20"/>
            </w:pPr>
            <w:r>
              <w:rPr>
                <w:b w:val="0"/>
                <w:i w:val="0"/>
                <w:sz w:val="18"/>
              </w:rPr>
              <w:t>25 m</w:t>
            </w:r>
          </w:p>
        </w:tc>
        <w:tc>
          <w:tcPr>
            <w:tcW w:type="dxa" w:w="2520"/>
            <w:shd w:val="clear" w:color="auto" w:fill="FAFAF8"/>
          </w:tcPr>
          <w:p>
            <w:pPr>
              <w:spacing w:after="20"/>
            </w:pPr>
            <w:r>
              <w:rPr>
                <w:b w:val="0"/>
                <w:i w:val="0"/>
                <w:sz w:val="18"/>
              </w:rPr>
              <w:t>6,2 dB</w:t>
            </w:r>
          </w:p>
        </w:tc>
        <w:tc>
          <w:tcPr>
            <w:tcW w:type="dxa" w:w="2520"/>
            <w:shd w:val="clear" w:color="auto" w:fill="FAFAF8"/>
          </w:tcPr>
          <w:p>
            <w:pPr>
              <w:spacing w:after="20"/>
            </w:pPr>
            <w:r>
              <w:rPr>
                <w:b w:val="0"/>
                <w:i w:val="0"/>
                <w:sz w:val="18"/>
              </w:rPr>
              <w:t>3,2 dB</w:t>
            </w:r>
          </w:p>
        </w:tc>
        <w:tc>
          <w:tcPr>
            <w:tcW w:type="dxa" w:w="2592"/>
            <w:shd w:val="clear" w:color="auto" w:fill="FAFAF8"/>
          </w:tcPr>
          <w:p>
            <w:pPr>
              <w:spacing w:after="20"/>
            </w:pPr>
            <w:r>
              <w:rPr>
                <w:b w:val="0"/>
                <w:i w:val="0"/>
                <w:sz w:val="18"/>
              </w:rPr>
              <w:t>2,1 dB</w:t>
            </w:r>
          </w:p>
        </w:tc>
      </w:tr>
    </w:tbl>
    <w:p>
      <w:pPr>
        <w:spacing w:after="40"/>
      </w:pPr>
    </w:p>
    <w:p>
      <w:pPr>
        <w:spacing w:after="120"/>
      </w:pPr>
      <w:r>
        <w:rPr>
          <w:b/>
          <w:i w:val="0"/>
          <w:sz w:val="19"/>
        </w:rPr>
        <w:t>Rekomendasi:</w:t>
      </w:r>
      <w:r>
        <w:rPr>
          <w:b w:val="0"/>
          <w:i w:val="0"/>
          <w:sz w:val="19"/>
        </w:rPr>
        <w:t xml:space="preserve"> LMR-400 sampai 15 m. Bila rute lebih dari 20 m, pakai LMR-600 atau pindahkan Gateway ke ruangan yang lebih dekat dengan mast. Hindari kabel RG-58 (redaman ± 0,5 dB/m).</w:t>
      </w: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pelaksana RU IV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GLD memakai tiang baru yang berdiri vertikal, kecocokan orientasi pelat pada tiang vertikal perlu dicek tim desain LGU bersama pelaksana RU IV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664"/>
        <w:gridCol w:w="3600"/>
        <w:gridCol w:w="1655"/>
        <w:gridCol w:w="1440"/>
      </w:tblGrid>
      <w:tr>
        <w:tc>
          <w:tcPr>
            <w:tcW w:type="dxa" w:w="576"/>
            <w:shd w:val="clear" w:color="auto" w:fill="1B2A4A"/>
          </w:tcPr>
          <w:p>
            <w:pPr>
              <w:spacing w:after="20"/>
            </w:pPr>
            <w:r>
              <w:rPr>
                <w:b/>
                <w:color w:val="FFFFFF"/>
                <w:sz w:val="18"/>
              </w:rPr>
              <w:t>No</w:t>
            </w:r>
          </w:p>
        </w:tc>
        <w:tc>
          <w:tcPr>
            <w:tcW w:type="dxa" w:w="2664"/>
            <w:shd w:val="clear" w:color="auto" w:fill="1B2A4A"/>
          </w:tcPr>
          <w:p>
            <w:pPr>
              <w:spacing w:after="20"/>
            </w:pPr>
            <w:r>
              <w:rPr>
                <w:b/>
                <w:color w:val="FFFFFF"/>
                <w:sz w:val="18"/>
              </w:rPr>
              <w:t>Item</w:t>
            </w:r>
          </w:p>
        </w:tc>
        <w:tc>
          <w:tcPr>
            <w:tcW w:type="dxa" w:w="3600"/>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664"/>
          </w:tcPr>
          <w:p>
            <w:pPr>
              <w:spacing w:after="20"/>
            </w:pPr>
            <w:r>
              <w:rPr>
                <w:b w:val="0"/>
                <w:i w:val="0"/>
                <w:sz w:val="18"/>
              </w:rPr>
              <w:t>Pipa tiang GLD</w:t>
            </w:r>
          </w:p>
        </w:tc>
        <w:tc>
          <w:tcPr>
            <w:tcW w:type="dxa" w:w="3600"/>
          </w:tcPr>
          <w:p>
            <w:pPr>
              <w:spacing w:after="20"/>
            </w:pPr>
            <w:r>
              <w:rPr>
                <w:b w:val="0"/>
                <w:i w:val="0"/>
                <w:sz w:val="18"/>
              </w:rPr>
              <w:t>Galvanis 2" Sch40, 1,6 m (dipotong dari 1 batang 6 m)</w:t>
            </w:r>
          </w:p>
        </w:tc>
        <w:tc>
          <w:tcPr>
            <w:tcW w:type="dxa" w:w="1656"/>
          </w:tcPr>
          <w:p>
            <w:pPr>
              <w:spacing w:after="20"/>
            </w:pPr>
            <w:r>
              <w:rPr>
                <w:b w:val="0"/>
                <w:i w:val="0"/>
                <w:sz w:val="18"/>
              </w:rPr>
              <w:t>3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2</w:t>
            </w:r>
          </w:p>
        </w:tc>
        <w:tc>
          <w:tcPr>
            <w:tcW w:type="dxa" w:w="2664"/>
            <w:shd w:val="clear" w:color="auto" w:fill="FAFAF8"/>
          </w:tcPr>
          <w:p>
            <w:pPr>
              <w:spacing w:after="20"/>
            </w:pPr>
            <w:r>
              <w:rPr>
                <w:b w:val="0"/>
                <w:i w:val="0"/>
                <w:sz w:val="18"/>
              </w:rPr>
              <w:t>Pipa tiang CH</w:t>
            </w:r>
          </w:p>
        </w:tc>
        <w:tc>
          <w:tcPr>
            <w:tcW w:type="dxa" w:w="3600"/>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3</w:t>
            </w:r>
          </w:p>
        </w:tc>
        <w:tc>
          <w:tcPr>
            <w:tcW w:type="dxa" w:w="2664"/>
          </w:tcPr>
          <w:p>
            <w:pPr>
              <w:spacing w:after="20"/>
            </w:pPr>
            <w:r>
              <w:rPr>
                <w:b w:val="0"/>
                <w:i w:val="0"/>
                <w:sz w:val="18"/>
              </w:rPr>
              <w:t>Pipa mast antena Gateway</w:t>
            </w:r>
          </w:p>
        </w:tc>
        <w:tc>
          <w:tcPr>
            <w:tcW w:type="dxa" w:w="3600"/>
          </w:tcPr>
          <w:p>
            <w:pPr>
              <w:spacing w:after="20"/>
            </w:pPr>
            <w:r>
              <w:rPr>
                <w:b w:val="0"/>
                <w:i w:val="0"/>
                <w:sz w:val="18"/>
              </w:rPr>
              <w:t>Galvanis 2" Sch40, 6,0 m (+ guy wire bila perlu)</w:t>
            </w:r>
          </w:p>
        </w:tc>
        <w:tc>
          <w:tcPr>
            <w:tcW w:type="dxa" w:w="1656"/>
          </w:tcPr>
          <w:p>
            <w:pPr>
              <w:spacing w:after="20"/>
            </w:pPr>
            <w:r>
              <w:rPr>
                <w:b w:val="0"/>
                <w:i w:val="0"/>
                <w:sz w:val="18"/>
              </w:rPr>
              <w:t>1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4</w:t>
            </w:r>
          </w:p>
        </w:tc>
        <w:tc>
          <w:tcPr>
            <w:tcW w:type="dxa" w:w="2664"/>
            <w:shd w:val="clear" w:color="auto" w:fill="FAFAF8"/>
          </w:tcPr>
          <w:p>
            <w:pPr>
              <w:spacing w:after="20"/>
            </w:pPr>
            <w:r>
              <w:rPr>
                <w:b w:val="0"/>
                <w:i w:val="0"/>
                <w:sz w:val="18"/>
              </w:rPr>
              <w:t>Pipe cap 2"</w:t>
            </w:r>
          </w:p>
        </w:tc>
        <w:tc>
          <w:tcPr>
            <w:tcW w:type="dxa" w:w="3600"/>
            <w:shd w:val="clear" w:color="auto" w:fill="FAFAF8"/>
          </w:tcPr>
          <w:p>
            <w:pPr>
              <w:spacing w:after="20"/>
            </w:pPr>
            <w:r>
              <w:rPr>
                <w:b w:val="0"/>
                <w:i w:val="0"/>
                <w:sz w:val="18"/>
              </w:rPr>
              <w:t>Penutup ujung atas tiang GLD &amp; mast GW (tiang CH tidak)</w:t>
            </w:r>
          </w:p>
        </w:tc>
        <w:tc>
          <w:tcPr>
            <w:tcW w:type="dxa" w:w="1656"/>
            <w:shd w:val="clear" w:color="auto" w:fill="FAFAF8"/>
          </w:tcPr>
          <w:p>
            <w:pPr>
              <w:spacing w:after="20"/>
            </w:pPr>
            <w:r>
              <w:rPr>
                <w:b w:val="0"/>
                <w:i w:val="0"/>
                <w:sz w:val="18"/>
              </w:rPr>
              <w:t>4 buah</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5</w:t>
            </w:r>
          </w:p>
        </w:tc>
        <w:tc>
          <w:tcPr>
            <w:tcW w:type="dxa" w:w="2664"/>
          </w:tcPr>
          <w:p>
            <w:pPr>
              <w:spacing w:after="20"/>
            </w:pPr>
            <w:r>
              <w:rPr>
                <w:b w:val="0"/>
                <w:i w:val="0"/>
                <w:sz w:val="18"/>
              </w:rPr>
              <w:t>Beton cor</w:t>
            </w:r>
          </w:p>
        </w:tc>
        <w:tc>
          <w:tcPr>
            <w:tcW w:type="dxa" w:w="3600"/>
          </w:tcPr>
          <w:p>
            <w:pPr>
              <w:spacing w:after="20"/>
            </w:pPr>
            <w:r>
              <w:rPr>
                <w:b w:val="0"/>
                <w:i w:val="0"/>
                <w:sz w:val="18"/>
              </w:rPr>
              <w:t>GLD 3×0,10 + CH 6×0,25 + GW 1×0,30 m³ ≈ 2,1 m³ (belum termasuk susut/sisa)</w:t>
            </w:r>
          </w:p>
        </w:tc>
        <w:tc>
          <w:tcPr>
            <w:tcW w:type="dxa" w:w="1656"/>
          </w:tcPr>
          <w:p>
            <w:pPr>
              <w:spacing w:after="20"/>
            </w:pPr>
            <w:r>
              <w:rPr>
                <w:b w:val="0"/>
                <w:i w:val="0"/>
                <w:sz w:val="18"/>
              </w:rPr>
              <w:t>± 2,5 m³</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6</w:t>
            </w:r>
          </w:p>
        </w:tc>
        <w:tc>
          <w:tcPr>
            <w:tcW w:type="dxa" w:w="2664"/>
            <w:shd w:val="clear" w:color="auto" w:fill="FAFAF8"/>
          </w:tcPr>
          <w:p>
            <w:pPr>
              <w:spacing w:after="20"/>
            </w:pPr>
            <w:r>
              <w:rPr>
                <w:b w:val="0"/>
                <w:i w:val="0"/>
                <w:sz w:val="18"/>
              </w:rPr>
              <w:t>U-bolt 2" M10 + mur/ring</w:t>
            </w:r>
          </w:p>
        </w:tc>
        <w:tc>
          <w:tcPr>
            <w:tcW w:type="dxa" w:w="3600"/>
            <w:shd w:val="clear" w:color="auto" w:fill="FAFAF8"/>
          </w:tcPr>
          <w:p>
            <w:pPr>
              <w:spacing w:after="20"/>
            </w:pPr>
            <w:r>
              <w:rPr>
                <w:b w:val="0"/>
                <w:i w:val="0"/>
                <w:sz w:val="18"/>
              </w:rPr>
              <w:t>Lihat §6 (GLD saja)</w:t>
            </w:r>
          </w:p>
        </w:tc>
        <w:tc>
          <w:tcPr>
            <w:tcW w:type="dxa" w:w="1656"/>
            <w:shd w:val="clear" w:color="auto" w:fill="FAFAF8"/>
          </w:tcPr>
          <w:p>
            <w:pPr>
              <w:spacing w:after="20"/>
            </w:pPr>
            <w:r>
              <w:rPr>
                <w:b w:val="0"/>
                <w:i w:val="0"/>
                <w:sz w:val="18"/>
              </w:rPr>
              <w:t>6 U-bolt, 12 set mur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7</w:t>
            </w:r>
          </w:p>
        </w:tc>
        <w:tc>
          <w:tcPr>
            <w:tcW w:type="dxa" w:w="2664"/>
          </w:tcPr>
          <w:p>
            <w:pPr>
              <w:spacing w:after="20"/>
            </w:pPr>
            <w:r>
              <w:rPr>
                <w:b w:val="0"/>
                <w:i w:val="0"/>
                <w:sz w:val="18"/>
              </w:rPr>
              <w:t>Pelat mounting 250×250 mm</w:t>
            </w:r>
          </w:p>
        </w:tc>
        <w:tc>
          <w:tcPr>
            <w:tcW w:type="dxa" w:w="3600"/>
          </w:tcPr>
          <w:p>
            <w:pPr>
              <w:spacing w:after="20"/>
            </w:pPr>
            <w:r>
              <w:rPr>
                <w:b w:val="0"/>
                <w:i w:val="0"/>
                <w:sz w:val="18"/>
              </w:rPr>
              <w:t>Sesuai gambar LGU</w:t>
            </w:r>
          </w:p>
        </w:tc>
        <w:tc>
          <w:tcPr>
            <w:tcW w:type="dxa" w:w="1656"/>
          </w:tcPr>
          <w:p>
            <w:pPr>
              <w:spacing w:after="20"/>
            </w:pPr>
            <w:r>
              <w:rPr>
                <w:b w:val="0"/>
                <w:i w:val="0"/>
                <w:sz w:val="18"/>
              </w:rPr>
              <w:t>3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8</w:t>
            </w:r>
          </w:p>
        </w:tc>
        <w:tc>
          <w:tcPr>
            <w:tcW w:type="dxa" w:w="2664"/>
            <w:shd w:val="clear" w:color="auto" w:fill="FAFAF8"/>
          </w:tcPr>
          <w:p>
            <w:pPr>
              <w:spacing w:after="20"/>
            </w:pPr>
            <w:r>
              <w:rPr>
                <w:b w:val="0"/>
                <w:i w:val="0"/>
                <w:sz w:val="18"/>
              </w:rPr>
              <w:t>Bracket panel surya CH</w:t>
            </w:r>
          </w:p>
        </w:tc>
        <w:tc>
          <w:tcPr>
            <w:tcW w:type="dxa" w:w="3600"/>
            <w:shd w:val="clear" w:color="auto" w:fill="FAFAF8"/>
          </w:tcPr>
          <w:p>
            <w:pPr>
              <w:spacing w:after="20"/>
            </w:pPr>
            <w:r>
              <w:rPr>
                <w:b w:val="0"/>
                <w:i w:val="0"/>
                <w:sz w:val="18"/>
              </w:rPr>
              <w:t>Bracket baja 2 panel, klem ke tiang 2" (Gambar 3.1)</w:t>
            </w:r>
          </w:p>
        </w:tc>
        <w:tc>
          <w:tcPr>
            <w:tcW w:type="dxa" w:w="1656"/>
            <w:shd w:val="clear" w:color="auto" w:fill="FAFAF8"/>
          </w:tcPr>
          <w:p>
            <w:pPr>
              <w:spacing w:after="20"/>
            </w:pPr>
            <w:r>
              <w:rPr>
                <w:b w:val="0"/>
                <w:i w:val="0"/>
                <w:sz w:val="18"/>
              </w:rPr>
              <w:t>6 set</w:t>
            </w:r>
          </w:p>
        </w:tc>
        <w:tc>
          <w:tcPr>
            <w:tcW w:type="dxa" w:w="1440"/>
            <w:shd w:val="clear" w:color="auto" w:fill="FAFAF8"/>
          </w:tcPr>
          <w:p>
            <w:pPr>
              <w:spacing w:after="20"/>
            </w:pPr>
            <w:r>
              <w:rPr>
                <w:b w:val="0"/>
                <w:i w:val="0"/>
                <w:sz w:val="18"/>
              </w:rPr>
              <w:t>LGU</w:t>
            </w:r>
          </w:p>
        </w:tc>
      </w:tr>
      <w:tr>
        <w:tc>
          <w:tcPr>
            <w:tcW w:type="dxa" w:w="576"/>
          </w:tcPr>
          <w:p>
            <w:pPr>
              <w:spacing w:after="20"/>
            </w:pPr>
            <w:r>
              <w:rPr>
                <w:b w:val="0"/>
                <w:i w:val="0"/>
                <w:sz w:val="18"/>
              </w:rPr>
              <w:t>9</w:t>
            </w:r>
          </w:p>
        </w:tc>
        <w:tc>
          <w:tcPr>
            <w:tcW w:type="dxa" w:w="2664"/>
          </w:tcPr>
          <w:p>
            <w:pPr>
              <w:spacing w:after="20"/>
            </w:pPr>
            <w:r>
              <w:rPr>
                <w:b w:val="0"/>
                <w:i w:val="0"/>
                <w:sz w:val="18"/>
              </w:rPr>
              <w:t>PSU 24 VDC</w:t>
            </w:r>
          </w:p>
        </w:tc>
        <w:tc>
          <w:tcPr>
            <w:tcW w:type="dxa" w:w="3600"/>
          </w:tcPr>
          <w:p>
            <w:pPr>
              <w:spacing w:after="20"/>
            </w:pPr>
            <w:r>
              <w:rPr>
                <w:b w:val="0"/>
                <w:i w:val="0"/>
                <w:sz w:val="18"/>
              </w:rPr>
              <w:t>Opsi A: 3 × (≥1 A) · Opsi B: 1 × (≥5 A)</w:t>
            </w:r>
          </w:p>
        </w:tc>
        <w:tc>
          <w:tcPr>
            <w:tcW w:type="dxa" w:w="1656"/>
          </w:tcPr>
          <w:p>
            <w:pPr>
              <w:spacing w:after="20"/>
            </w:pPr>
            <w:r>
              <w:rPr>
                <w:b w:val="0"/>
                <w:i w:val="0"/>
                <w:sz w:val="18"/>
              </w:rPr>
              <w:t>3 atau 1 unit</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10</w:t>
            </w:r>
          </w:p>
        </w:tc>
        <w:tc>
          <w:tcPr>
            <w:tcW w:type="dxa" w:w="2664"/>
            <w:shd w:val="clear" w:color="auto" w:fill="FAFAF8"/>
          </w:tcPr>
          <w:p>
            <w:pPr>
              <w:spacing w:after="20"/>
            </w:pPr>
            <w:r>
              <w:rPr>
                <w:b w:val="0"/>
                <w:i w:val="0"/>
                <w:sz w:val="18"/>
              </w:rPr>
              <w:t>Box/panel PSU + MCB + terminal</w:t>
            </w:r>
          </w:p>
        </w:tc>
        <w:tc>
          <w:tcPr>
            <w:tcW w:type="dxa" w:w="3600"/>
            <w:shd w:val="clear" w:color="auto" w:fill="FAFAF8"/>
          </w:tcPr>
          <w:p>
            <w:pPr>
              <w:spacing w:after="20"/>
            </w:pPr>
            <w:r>
              <w:rPr>
                <w:b w:val="0"/>
                <w:i w:val="0"/>
                <w:sz w:val="18"/>
              </w:rPr>
              <w:t>Untuk area aman</w:t>
            </w:r>
          </w:p>
        </w:tc>
        <w:tc>
          <w:tcPr>
            <w:tcW w:type="dxa" w:w="1656"/>
            <w:shd w:val="clear" w:color="auto" w:fill="FAFAF8"/>
          </w:tcPr>
          <w:p>
            <w:pPr>
              <w:spacing w:after="20"/>
            </w:pPr>
            <w:r>
              <w:rPr>
                <w:b w:val="0"/>
                <w:i w:val="0"/>
                <w:sz w:val="18"/>
              </w:rPr>
              <w:t>3 atau 1 set</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11</w:t>
            </w:r>
          </w:p>
        </w:tc>
        <w:tc>
          <w:tcPr>
            <w:tcW w:type="dxa" w:w="2664"/>
          </w:tcPr>
          <w:p>
            <w:pPr>
              <w:spacing w:after="20"/>
            </w:pPr>
            <w:r>
              <w:rPr>
                <w:b w:val="0"/>
                <w:i w:val="0"/>
                <w:sz w:val="18"/>
              </w:rPr>
              <w:t>Kabel daya 2 inti</w:t>
            </w:r>
          </w:p>
        </w:tc>
        <w:tc>
          <w:tcPr>
            <w:tcW w:type="dxa" w:w="3600"/>
          </w:tcPr>
          <w:p>
            <w:pPr>
              <w:spacing w:after="20"/>
            </w:pPr>
            <w:r>
              <w:rPr>
                <w:b w:val="0"/>
                <w:i w:val="0"/>
                <w:sz w:val="18"/>
              </w:rPr>
              <w:t>Ukuran &amp; panjang per §4</w:t>
            </w:r>
          </w:p>
        </w:tc>
        <w:tc>
          <w:tcPr>
            <w:tcW w:type="dxa" w:w="1656"/>
          </w:tcPr>
          <w:p>
            <w:pPr>
              <w:spacing w:after="20"/>
            </w:pPr>
            <w:r>
              <w:rPr>
                <w:b w:val="0"/>
                <w:i w:val="0"/>
                <w:sz w:val="18"/>
              </w:rPr>
              <w:t>Σ per §4.4</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12</w:t>
            </w:r>
          </w:p>
        </w:tc>
        <w:tc>
          <w:tcPr>
            <w:tcW w:type="dxa" w:w="2664"/>
            <w:shd w:val="clear" w:color="auto" w:fill="FAFAF8"/>
          </w:tcPr>
          <w:p>
            <w:pPr>
              <w:spacing w:after="20"/>
            </w:pPr>
            <w:r>
              <w:rPr>
                <w:b w:val="0"/>
                <w:i w:val="0"/>
                <w:sz w:val="18"/>
              </w:rPr>
              <w:t>Kabel koaksial LMR-400 + konektor N</w:t>
            </w:r>
          </w:p>
        </w:tc>
        <w:tc>
          <w:tcPr>
            <w:tcW w:type="dxa" w:w="3600"/>
            <w:shd w:val="clear" w:color="auto" w:fill="FAFAF8"/>
          </w:tcPr>
          <w:p>
            <w:pPr>
              <w:spacing w:after="20"/>
            </w:pPr>
            <w:r>
              <w:rPr>
                <w:b w:val="0"/>
                <w:i w:val="0"/>
                <w:sz w:val="18"/>
              </w:rPr>
              <w:t>Antena GW → Gateway, ≤ 15 m (§5.3)</w:t>
            </w:r>
          </w:p>
        </w:tc>
        <w:tc>
          <w:tcPr>
            <w:tcW w:type="dxa" w:w="1656"/>
            <w:shd w:val="clear" w:color="auto" w:fill="FAFAF8"/>
          </w:tcPr>
          <w:p>
            <w:pPr>
              <w:spacing w:after="20"/>
            </w:pPr>
            <w:r>
              <w:rPr>
                <w:b w:val="0"/>
                <w:i w:val="0"/>
                <w:sz w:val="18"/>
              </w:rPr>
              <w:t>1 jalur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13</w:t>
            </w:r>
          </w:p>
        </w:tc>
        <w:tc>
          <w:tcPr>
            <w:tcW w:type="dxa" w:w="2664"/>
          </w:tcPr>
          <w:p>
            <w:pPr>
              <w:spacing w:after="20"/>
            </w:pPr>
            <w:r>
              <w:rPr>
                <w:b w:val="0"/>
                <w:i w:val="0"/>
                <w:sz w:val="18"/>
              </w:rPr>
              <w:t>Penangkal petir koaksial</w:t>
            </w:r>
          </w:p>
        </w:tc>
        <w:tc>
          <w:tcPr>
            <w:tcW w:type="dxa" w:w="3600"/>
          </w:tcPr>
          <w:p>
            <w:pPr>
              <w:spacing w:after="20"/>
            </w:pPr>
            <w:r>
              <w:rPr>
                <w:b w:val="0"/>
                <w:i w:val="0"/>
                <w:sz w:val="18"/>
              </w:rPr>
              <w:t>50 Ω, 900 MHz, konektor N (§5.3)</w:t>
            </w:r>
          </w:p>
        </w:tc>
        <w:tc>
          <w:tcPr>
            <w:tcW w:type="dxa" w:w="1656"/>
          </w:tcPr>
          <w:p>
            <w:pPr>
              <w:spacing w:after="20"/>
            </w:pPr>
            <w:r>
              <w:rPr>
                <w:b w:val="0"/>
                <w:i w:val="0"/>
                <w:sz w:val="18"/>
              </w:rPr>
              <w:t>1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14</w:t>
            </w:r>
          </w:p>
        </w:tc>
        <w:tc>
          <w:tcPr>
            <w:tcW w:type="dxa" w:w="2664"/>
            <w:shd w:val="clear" w:color="auto" w:fill="FAFAF8"/>
          </w:tcPr>
          <w:p>
            <w:pPr>
              <w:spacing w:after="20"/>
            </w:pPr>
            <w:r>
              <w:rPr>
                <w:b w:val="0"/>
                <w:i w:val="0"/>
                <w:sz w:val="18"/>
              </w:rPr>
              <w:t>Kabel grounding + klem</w:t>
            </w:r>
          </w:p>
        </w:tc>
        <w:tc>
          <w:tcPr>
            <w:tcW w:type="dxa" w:w="3600"/>
            <w:shd w:val="clear" w:color="auto" w:fill="FAFAF8"/>
          </w:tcPr>
          <w:p>
            <w:pPr>
              <w:spacing w:after="20"/>
            </w:pPr>
            <w:r>
              <w:rPr>
                <w:b w:val="0"/>
                <w:i w:val="0"/>
                <w:sz w:val="18"/>
              </w:rPr>
              <w:t>Mengikuti standar RU IV (tiang, mast, penangkal petir)</w:t>
            </w:r>
          </w:p>
        </w:tc>
        <w:tc>
          <w:tcPr>
            <w:tcW w:type="dxa" w:w="1656"/>
            <w:shd w:val="clear" w:color="auto" w:fill="FAFAF8"/>
          </w:tcPr>
          <w:p>
            <w:pPr>
              <w:spacing w:after="20"/>
            </w:pPr>
            <w:r>
              <w:rPr>
                <w:b w:val="0"/>
                <w:i w:val="0"/>
                <w:sz w:val="18"/>
              </w:rPr>
              <w:t>10 titik + 1</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15</w:t>
            </w:r>
          </w:p>
        </w:tc>
        <w:tc>
          <w:tcPr>
            <w:tcW w:type="dxa" w:w="2664"/>
          </w:tcPr>
          <w:p>
            <w:pPr>
              <w:spacing w:after="20"/>
            </w:pPr>
            <w:r>
              <w:rPr>
                <w:b w:val="0"/>
                <w:i w:val="0"/>
                <w:sz w:val="18"/>
              </w:rPr>
              <w:t>PC server + UPS</w:t>
            </w:r>
          </w:p>
        </w:tc>
        <w:tc>
          <w:tcPr>
            <w:tcW w:type="dxa" w:w="3600"/>
          </w:tcPr>
          <w:p>
            <w:pPr>
              <w:spacing w:after="20"/>
            </w:pPr>
            <w:r>
              <w:rPr>
                <w:b w:val="0"/>
                <w:i w:val="0"/>
                <w:sz w:val="18"/>
              </w:rPr>
              <w:t>Lihat §5.1</w:t>
            </w:r>
          </w:p>
        </w:tc>
        <w:tc>
          <w:tcPr>
            <w:tcW w:type="dxa" w:w="1656"/>
          </w:tcPr>
          <w:p>
            <w:pPr>
              <w:spacing w:after="20"/>
            </w:pPr>
            <w:r>
              <w:rPr>
                <w:b w:val="0"/>
                <w:i w:val="0"/>
                <w:sz w:val="18"/>
              </w:rPr>
              <w:t>1 set</w:t>
            </w:r>
          </w:p>
        </w:tc>
        <w:tc>
          <w:tcPr>
            <w:tcW w:type="dxa" w:w="1440"/>
          </w:tcPr>
          <w:p>
            <w:pPr>
              <w:spacing w:after="20"/>
            </w:pPr>
            <w:r>
              <w:rPr>
                <w:b w:val="0"/>
                <w:i w:val="0"/>
                <w:sz w:val="18"/>
              </w:rPr>
              <w:t>Pertamina</w:t>
            </w:r>
          </w:p>
        </w:tc>
      </w:tr>
      <w:tr>
        <w:tc>
          <w:tcPr>
            <w:tcW w:type="dxa" w:w="576"/>
            <w:shd w:val="clear" w:color="auto" w:fill="FAFAF8"/>
          </w:tcPr>
          <w:p>
            <w:pPr>
              <w:spacing w:after="20"/>
            </w:pPr>
            <w:r>
              <w:rPr>
                <w:b w:val="0"/>
                <w:i w:val="0"/>
                <w:sz w:val="18"/>
              </w:rPr>
              <w:t>16</w:t>
            </w:r>
          </w:p>
        </w:tc>
        <w:tc>
          <w:tcPr>
            <w:tcW w:type="dxa" w:w="2664"/>
            <w:shd w:val="clear" w:color="auto" w:fill="FAFAF8"/>
          </w:tcPr>
          <w:p>
            <w:pPr>
              <w:spacing w:after="20"/>
            </w:pPr>
            <w:r>
              <w:rPr>
                <w:b w:val="0"/>
                <w:i w:val="0"/>
                <w:sz w:val="18"/>
              </w:rPr>
              <w:t>Kabel Cat6</w:t>
            </w:r>
          </w:p>
        </w:tc>
        <w:tc>
          <w:tcPr>
            <w:tcW w:type="dxa" w:w="3600"/>
            <w:shd w:val="clear" w:color="auto" w:fill="FAFAF8"/>
          </w:tcPr>
          <w:p>
            <w:pPr>
              <w:spacing w:after="20"/>
            </w:pPr>
            <w:r>
              <w:rPr>
                <w:b w:val="0"/>
                <w:i w:val="0"/>
                <w:sz w:val="18"/>
              </w:rPr>
              <w:t>Router ↔ PC server, PC ↔ intranet kantor</w:t>
            </w:r>
          </w:p>
        </w:tc>
        <w:tc>
          <w:tcPr>
            <w:tcW w:type="dxa" w:w="1656"/>
            <w:shd w:val="clear" w:color="auto" w:fill="FAFAF8"/>
          </w:tcPr>
          <w:p>
            <w:pPr>
              <w:spacing w:after="20"/>
            </w:pPr>
            <w:r>
              <w:rPr>
                <w:b w:val="0"/>
                <w:i w:val="0"/>
                <w:sz w:val="18"/>
              </w:rPr>
              <w:t>2 jalur</w:t>
            </w:r>
          </w:p>
        </w:tc>
        <w:tc>
          <w:tcPr>
            <w:tcW w:type="dxa" w:w="1440"/>
            <w:shd w:val="clear" w:color="auto" w:fill="FAFAF8"/>
          </w:tcPr>
          <w:p>
            <w:pPr>
              <w:spacing w:after="20"/>
            </w:pPr>
            <w:r>
              <w:rPr>
                <w:b w:val="0"/>
                <w:i w:val="0"/>
                <w:sz w:val="18"/>
              </w:rPr>
              <w:t>RU IV / IT RU IV</w:t>
            </w:r>
          </w:p>
        </w:tc>
      </w:tr>
      <w:tr>
        <w:tc>
          <w:tcPr>
            <w:tcW w:type="dxa" w:w="576"/>
          </w:tcPr>
          <w:p>
            <w:pPr>
              <w:spacing w:after="20"/>
            </w:pPr>
            <w:r>
              <w:rPr>
                <w:b w:val="0"/>
                <w:i w:val="0"/>
                <w:sz w:val="18"/>
              </w:rPr>
              <w:t>17</w:t>
            </w:r>
          </w:p>
        </w:tc>
        <w:tc>
          <w:tcPr>
            <w:tcW w:type="dxa" w:w="2664"/>
          </w:tcPr>
          <w:p>
            <w:pPr>
              <w:spacing w:after="20"/>
            </w:pPr>
            <w:r>
              <w:rPr>
                <w:b w:val="0"/>
                <w:i w:val="0"/>
                <w:sz w:val="18"/>
              </w:rPr>
              <w:t>Router lapangan</w:t>
            </w:r>
          </w:p>
        </w:tc>
        <w:tc>
          <w:tcPr>
            <w:tcW w:type="dxa" w:w="3600"/>
          </w:tcPr>
          <w:p>
            <w:pPr>
              <w:spacing w:after="20"/>
            </w:pPr>
            <w:r>
              <w:rPr>
                <w:b w:val="0"/>
                <w:i w:val="0"/>
                <w:sz w:val="18"/>
              </w:rPr>
              <w:t>Lihat §5.2</w:t>
            </w:r>
          </w:p>
        </w:tc>
        <w:tc>
          <w:tcPr>
            <w:tcW w:type="dxa" w:w="1656"/>
          </w:tcPr>
          <w:p>
            <w:pPr>
              <w:spacing w:after="20"/>
            </w:pPr>
            <w:r>
              <w:rPr>
                <w:b w:val="0"/>
                <w:i w:val="0"/>
                <w:sz w:val="18"/>
              </w:rPr>
              <w:t>1 unit</w:t>
            </w:r>
          </w:p>
        </w:tc>
        <w:tc>
          <w:tcPr>
            <w:tcW w:type="dxa" w:w="1440"/>
          </w:tcPr>
          <w:p>
            <w:pPr>
              <w:spacing w:after="20"/>
            </w:pPr>
            <w:r>
              <w:rPr>
                <w:b w:val="0"/>
                <w:i w:val="0"/>
                <w:sz w:val="18"/>
              </w:rPr>
              <w:t>LGU</w:t>
            </w:r>
          </w:p>
        </w:tc>
      </w:tr>
      <w:tr>
        <w:tc>
          <w:tcPr>
            <w:tcW w:type="dxa" w:w="576"/>
            <w:shd w:val="clear" w:color="auto" w:fill="FAFAF8"/>
          </w:tcPr>
          <w:p>
            <w:pPr>
              <w:spacing w:after="20"/>
            </w:pPr>
            <w:r>
              <w:rPr>
                <w:b w:val="0"/>
                <w:i w:val="0"/>
                <w:sz w:val="18"/>
              </w:rPr>
              <w:t>18</w:t>
            </w:r>
          </w:p>
        </w:tc>
        <w:tc>
          <w:tcPr>
            <w:tcW w:type="dxa" w:w="2664"/>
            <w:shd w:val="clear" w:color="auto" w:fill="FAFAF8"/>
          </w:tcPr>
          <w:p>
            <w:pPr>
              <w:spacing w:after="20"/>
            </w:pPr>
            <w:r>
              <w:rPr>
                <w:b w:val="0"/>
                <w:i w:val="0"/>
                <w:sz w:val="18"/>
              </w:rPr>
              <w:t>Unit GLD, CH, Gateway + antena, panel surya CH</w:t>
            </w:r>
          </w:p>
        </w:tc>
        <w:tc>
          <w:tcPr>
            <w:tcW w:type="dxa" w:w="3600"/>
            <w:shd w:val="clear" w:color="auto" w:fill="FAFAF8"/>
          </w:tcPr>
          <w:p>
            <w:pPr>
              <w:spacing w:after="20"/>
            </w:pPr>
            <w:r>
              <w:rPr>
                <w:b w:val="0"/>
                <w:i w:val="0"/>
                <w:sz w:val="18"/>
              </w:rPr>
              <w:t>Perangkat sistem</w:t>
            </w:r>
          </w:p>
        </w:tc>
        <w:tc>
          <w:tcPr>
            <w:tcW w:type="dxa" w:w="1656"/>
            <w:shd w:val="clear" w:color="auto" w:fill="FAFAF8"/>
          </w:tcPr>
          <w:p>
            <w:pPr>
              <w:spacing w:after="20"/>
            </w:pPr>
            <w:r>
              <w:rPr>
                <w:b w:val="0"/>
                <w:i w:val="0"/>
                <w:sz w:val="18"/>
              </w:rPr>
              <w:t>3 / 6 / 1</w:t>
            </w:r>
          </w:p>
        </w:tc>
        <w:tc>
          <w:tcPr>
            <w:tcW w:type="dxa" w:w="1440"/>
            <w:shd w:val="clear" w:color="auto" w:fill="FAFAF8"/>
          </w:tcPr>
          <w:p>
            <w:pPr>
              <w:spacing w:after="20"/>
            </w:pPr>
            <w:r>
              <w:rPr>
                <w:b w:val="0"/>
                <w:i w:val="0"/>
                <w:sz w:val="18"/>
              </w:rPr>
              <w:t>LGU</w:t>
            </w:r>
          </w:p>
        </w:tc>
      </w:tr>
    </w:tbl>
    <w:p>
      <w:pPr>
        <w:spacing w:after="40"/>
      </w:pPr>
    </w:p>
    <w:p>
      <w:pPr>
        <w:pStyle w:val="Heading1"/>
      </w:pPr>
      <w:r>
        <w:rPr>
          <w:color w:val="1B2A4A"/>
        </w:rPr>
        <w:t>8. Yang perlu diputuskan di rapat 2 Oktober</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 dan mast Gateway</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mulai pekerjaan sipil</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Ruang Gateway &amp; ruang server lokal: lokasi, jarak antar-ruang, 220 VAC, UPS, titik intranet kantor</w:t>
            </w:r>
          </w:p>
        </w:tc>
        <w:tc>
          <w:tcPr>
            <w:tcW w:type="dxa" w:w="3600"/>
            <w:shd w:val="clear" w:color="auto" w:fill="FAFAF8"/>
          </w:tcPr>
          <w:p>
            <w:pPr>
              <w:spacing w:after="20"/>
            </w:pPr>
            <w:r>
              <w:rPr>
                <w:b w:val="0"/>
                <w:i w:val="0"/>
                <w:sz w:val="18"/>
              </w:rPr>
              <w:t>Panjang Cat6 &amp; penempatan router</w:t>
            </w:r>
          </w:p>
        </w:tc>
      </w:tr>
      <w:tr>
        <w:tc>
          <w:tcPr>
            <w:tcW w:type="dxa" w:w="576"/>
          </w:tcPr>
          <w:p>
            <w:pPr>
              <w:spacing w:after="20"/>
            </w:pPr>
            <w:r>
              <w:rPr>
                <w:b w:val="0"/>
                <w:i w:val="0"/>
                <w:sz w:val="18"/>
              </w:rPr>
              <w:t>7</w:t>
            </w:r>
          </w:p>
        </w:tc>
        <w:tc>
          <w:tcPr>
            <w:tcW w:type="dxa" w:w="5760"/>
          </w:tcPr>
          <w:p>
            <w:pPr>
              <w:spacing w:after="20"/>
            </w:pPr>
            <w:r>
              <w:rPr>
                <w:b w:val="0"/>
                <w:i w:val="0"/>
                <w:sz w:val="18"/>
              </w:rPr>
              <w:t>Lokasi mast antena Gateway (berdiri sendiri vs di dinding/atap) &amp; jarak rute koaksial ke ruang Gateway</w:t>
            </w:r>
          </w:p>
        </w:tc>
        <w:tc>
          <w:tcPr>
            <w:tcW w:type="dxa" w:w="3600"/>
          </w:tcPr>
          <w:p>
            <w:pPr>
              <w:spacing w:after="20"/>
            </w:pPr>
            <w:r>
              <w:rPr>
                <w:b w:val="0"/>
                <w:i w:val="0"/>
                <w:sz w:val="18"/>
              </w:rPr>
              <w:t>Panjang &amp; tipe kabel koaksial</w:t>
            </w:r>
          </w:p>
        </w:tc>
      </w:tr>
      <w:tr>
        <w:tc>
          <w:tcPr>
            <w:tcW w:type="dxa" w:w="576"/>
            <w:shd w:val="clear" w:color="auto" w:fill="FAFAF8"/>
          </w:tcPr>
          <w:p>
            <w:pPr>
              <w:spacing w:after="20"/>
            </w:pPr>
            <w:r>
              <w:rPr>
                <w:b w:val="0"/>
                <w:i w:val="0"/>
                <w:sz w:val="18"/>
              </w:rPr>
              <w:t>8</w:t>
            </w:r>
          </w:p>
        </w:tc>
        <w:tc>
          <w:tcPr>
            <w:tcW w:type="dxa" w:w="5760"/>
            <w:shd w:val="clear" w:color="auto" w:fill="FAFAF8"/>
          </w:tcPr>
          <w:p>
            <w:pPr>
              <w:spacing w:after="20"/>
            </w:pPr>
            <w:r>
              <w:rPr>
                <w:b w:val="0"/>
                <w:i w:val="0"/>
                <w:sz w:val="18"/>
              </w:rPr>
              <w:t>Tim/kontraktor pelaksana RU IV &amp; jadwal fabrikasi/pemasangan</w:t>
            </w:r>
          </w:p>
        </w:tc>
        <w:tc>
          <w:tcPr>
            <w:tcW w:type="dxa" w:w="3600"/>
            <w:shd w:val="clear" w:color="auto" w:fill="FAFAF8"/>
          </w:tcPr>
          <w:p>
            <w:pPr>
              <w:spacing w:after="20"/>
            </w:pPr>
            <w:r>
              <w:rPr>
                <w:b w:val="0"/>
                <w:i w:val="0"/>
                <w:sz w:val="18"/>
              </w:rPr>
              <w:t>Jadwal instalasi</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RU IV dapat menyesuaikan dengan standar yang berlaku di kilang.</w:t>
      </w:r>
    </w:p>
    <w:p>
      <w:pPr>
        <w:pStyle w:val="ListBullet"/>
        <w:spacing w:after="60"/>
      </w:pPr>
      <w:r>
        <w:rPr>
          <w:b w:val="0"/>
          <w:i w:val="0"/>
          <w:sz w:val="19"/>
        </w:rPr>
        <w:t>Pembagian kerja: RU IV mendukung penuh instalasi, yaitu penyediaan material, pekerjaan sipil, kelistrikan, dan pemasangan fisik (termasuk pekerjaan ketinggian &amp; K3) oleh tim/kontraktor RU IV. LGU menyediakan perangkat sistem, basis desain, supervisi teknis/QA, serta terminasi elektrikal, energize, dan commissioning.</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1.5</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