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CERTIFICATION INFORMATION REQUIREMENTS — FILLED WORKING COPY</w:t>
      </w:r>
    </w:p>
    <w:p>
      <w:pPr>
        <w:pStyle w:val="Title"/>
        <w:spacing w:after="80"/>
      </w:pPr>
      <w:r>
        <w:rPr>
          <w:b/>
          <w:color w:val="1A2B3D"/>
          <w:sz w:val="40"/>
        </w:rPr>
        <w:t>IECEx/ATEX Certification Information Requirements</w:t>
      </w:r>
    </w:p>
    <w:p>
      <w:pPr>
        <w:spacing w:after="200"/>
      </w:pPr>
      <w:r>
        <w:rPr>
          <w:b/>
          <w:color w:val="4A4A4A"/>
          <w:sz w:val="30"/>
        </w:rPr>
        <w:t>Gas Leak Detector (GLD) V2</w:t>
      </w:r>
    </w:p>
    <w:p>
      <w:pPr>
        <w:spacing w:after="160"/>
      </w:pPr>
      <w:r>
        <w:rPr>
          <w:b w:val="0"/>
          <w:i w:val="0"/>
          <w:sz w:val="21"/>
        </w:rPr>
        <w:t>This document follows, item by item, the section order of the ExCB information-requirements checklist, filled in with the confirmed design data of the GLD and a status note for each item.</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3024"/>
            <w:shd w:val="clear" w:color="auto" w:fill="EFEFEF"/>
          </w:tcPr>
          <w:p>
            <w:pPr>
              <w:spacing w:after="40"/>
            </w:pPr>
            <w:r>
              <w:rPr>
                <w:b/>
                <w:color w:val="4A4A4A"/>
                <w:sz w:val="19"/>
              </w:rPr>
              <w:t>Document title</w:t>
            </w:r>
          </w:p>
        </w:tc>
        <w:tc>
          <w:tcPr>
            <w:tcW w:type="dxa" w:w="6336"/>
          </w:tcPr>
          <w:p>
            <w:pPr>
              <w:spacing w:after="40"/>
            </w:pPr>
            <w:r>
              <w:rPr>
                <w:sz w:val="20"/>
              </w:rPr>
              <w:t>IECEx/ATEX Certification Information Requirements — Gas Leak Detector (GLD) V2 (Filled Working Copy)</w:t>
            </w:r>
          </w:p>
        </w:tc>
      </w:tr>
      <w:tr>
        <w:tc>
          <w:tcPr>
            <w:tcW w:type="dxa" w:w="3024"/>
            <w:shd w:val="clear" w:color="auto" w:fill="EFEFEF"/>
          </w:tcPr>
          <w:p>
            <w:pPr>
              <w:spacing w:after="40"/>
            </w:pPr>
            <w:r>
              <w:rPr>
                <w:b/>
                <w:color w:val="4A4A4A"/>
                <w:sz w:val="19"/>
              </w:rPr>
              <w:t>Document no.</w:t>
            </w:r>
          </w:p>
        </w:tc>
        <w:tc>
          <w:tcPr>
            <w:tcW w:type="dxa" w:w="6336"/>
          </w:tcPr>
          <w:p>
            <w:pPr>
              <w:spacing w:after="40"/>
            </w:pPr>
            <w:r>
              <w:rPr>
                <w:sz w:val="20"/>
              </w:rPr>
              <w:t>GMI/GLD/IECEX-CIR/2026-001</w:t>
            </w:r>
          </w:p>
        </w:tc>
      </w:tr>
      <w:tr>
        <w:tc>
          <w:tcPr>
            <w:tcW w:type="dxa" w:w="3024"/>
            <w:shd w:val="clear" w:color="auto" w:fill="EFEFEF"/>
          </w:tcPr>
          <w:p>
            <w:pPr>
              <w:spacing w:after="40"/>
            </w:pPr>
            <w:r>
              <w:rPr>
                <w:b/>
                <w:color w:val="4A4A4A"/>
                <w:sz w:val="19"/>
              </w:rPr>
              <w:t>Revision</w:t>
            </w:r>
          </w:p>
        </w:tc>
        <w:tc>
          <w:tcPr>
            <w:tcW w:type="dxa" w:w="6336"/>
          </w:tcPr>
          <w:p>
            <w:pPr>
              <w:spacing w:after="40"/>
            </w:pPr>
            <w:r>
              <w:rPr>
                <w:sz w:val="20"/>
              </w:rPr>
              <w:t>2.1</w:t>
            </w:r>
          </w:p>
        </w:tc>
      </w:tr>
      <w:tr>
        <w:tc>
          <w:tcPr>
            <w:tcW w:type="dxa" w:w="3024"/>
            <w:shd w:val="clear" w:color="auto" w:fill="EFEFEF"/>
          </w:tcPr>
          <w:p>
            <w:pPr>
              <w:spacing w:after="40"/>
            </w:pPr>
            <w:r>
              <w:rPr>
                <w:b/>
                <w:color w:val="4A4A4A"/>
                <w:sz w:val="19"/>
              </w:rPr>
              <w:t>Date</w:t>
            </w:r>
          </w:p>
        </w:tc>
        <w:tc>
          <w:tcPr>
            <w:tcW w:type="dxa" w:w="6336"/>
          </w:tcPr>
          <w:p>
            <w:pPr>
              <w:spacing w:after="40"/>
            </w:pPr>
            <w:r>
              <w:rPr>
                <w:sz w:val="20"/>
              </w:rPr>
              <w:t>7 October 2026</w:t>
            </w:r>
          </w:p>
        </w:tc>
      </w:tr>
      <w:tr>
        <w:tc>
          <w:tcPr>
            <w:tcW w:type="dxa" w:w="3024"/>
            <w:shd w:val="clear" w:color="auto" w:fill="EFEFEF"/>
          </w:tcPr>
          <w:p>
            <w:pPr>
              <w:spacing w:after="40"/>
            </w:pPr>
            <w:r>
              <w:rPr>
                <w:b/>
                <w:color w:val="4A4A4A"/>
                <w:sz w:val="19"/>
              </w:rPr>
              <w:t>Status</w:t>
            </w:r>
          </w:p>
        </w:tc>
        <w:tc>
          <w:tcPr>
            <w:tcW w:type="dxa" w:w="6336"/>
          </w:tcPr>
          <w:p>
            <w:pPr>
              <w:spacing w:after="40"/>
            </w:pPr>
            <w:r>
              <w:rPr>
                <w:sz w:val="20"/>
              </w:rPr>
              <w:t>Working Document — Draft for Internal Review</w:t>
            </w:r>
          </w:p>
        </w:tc>
      </w:tr>
      <w:tr>
        <w:tc>
          <w:tcPr>
            <w:tcW w:type="dxa" w:w="3024"/>
            <w:shd w:val="clear" w:color="auto" w:fill="EFEFEF"/>
          </w:tcPr>
          <w:p>
            <w:pPr>
              <w:spacing w:after="40"/>
            </w:pPr>
            <w:r>
              <w:rPr>
                <w:b/>
                <w:color w:val="4A4A4A"/>
                <w:sz w:val="19"/>
              </w:rPr>
              <w:t>Classification</w:t>
            </w:r>
          </w:p>
        </w:tc>
        <w:tc>
          <w:tcPr>
            <w:tcW w:type="dxa" w:w="6336"/>
          </w:tcPr>
          <w:p>
            <w:pPr>
              <w:spacing w:after="40"/>
            </w:pPr>
            <w:r>
              <w:rPr>
                <w:sz w:val="20"/>
              </w:rPr>
              <w:t>Confidential — prepared for ATEX/IECEx certification body (ExCB) submission</w:t>
            </w:r>
          </w:p>
        </w:tc>
      </w:tr>
      <w:tr>
        <w:tc>
          <w:tcPr>
            <w:tcW w:type="dxa" w:w="3024"/>
            <w:shd w:val="clear" w:color="auto" w:fill="EFEFEF"/>
          </w:tcPr>
          <w:p>
            <w:pPr>
              <w:spacing w:after="40"/>
            </w:pPr>
            <w:r>
              <w:rPr>
                <w:b/>
                <w:color w:val="4A4A4A"/>
                <w:sz w:val="19"/>
              </w:rPr>
              <w:t>Based on</w:t>
            </w:r>
          </w:p>
        </w:tc>
        <w:tc>
          <w:tcPr>
            <w:tcW w:type="dxa" w:w="6336"/>
          </w:tcPr>
          <w:p>
            <w:pPr>
              <w:spacing w:after="40"/>
            </w:pPr>
            <w:r>
              <w:rPr>
                <w:sz w:val="20"/>
              </w:rPr>
              <w:t>IECEx/ATEX Certification Information Requirements checklist (ExCB)</w:t>
            </w:r>
          </w:p>
        </w:tc>
      </w:tr>
      <w:tr>
        <w:tc>
          <w:tcPr>
            <w:tcW w:type="dxa" w:w="3024"/>
            <w:shd w:val="clear" w:color="auto" w:fill="EFEFEF"/>
          </w:tcPr>
          <w:p>
            <w:pPr>
              <w:spacing w:after="40"/>
            </w:pPr>
            <w:r>
              <w:rPr>
                <w:b/>
                <w:color w:val="4A4A4A"/>
                <w:sz w:val="19"/>
              </w:rPr>
              <w:t>Applicant / Manufacturer</w:t>
            </w:r>
          </w:p>
        </w:tc>
        <w:tc>
          <w:tcPr>
            <w:tcW w:type="dxa" w:w="6336"/>
          </w:tcPr>
          <w:p>
            <w:pPr>
              <w:spacing w:after="40"/>
            </w:pPr>
            <w:r>
              <w:rPr>
                <w:sz w:val="20"/>
              </w:rPr>
              <w:t>PT Galaksi Megatama Indonesia</w:t>
            </w:r>
          </w:p>
        </w:tc>
      </w:tr>
      <w:tr>
        <w:tc>
          <w:tcPr>
            <w:tcW w:type="dxa" w:w="3024"/>
            <w:shd w:val="clear" w:color="auto" w:fill="EFEFEF"/>
          </w:tcPr>
          <w:p>
            <w:pPr>
              <w:spacing w:after="40"/>
            </w:pPr>
            <w:r>
              <w:rPr>
                <w:b/>
                <w:color w:val="4A4A4A"/>
                <w:sz w:val="19"/>
              </w:rPr>
              <w:t>Companion document</w:t>
            </w:r>
          </w:p>
        </w:tc>
        <w:tc>
          <w:tcPr>
            <w:tcW w:type="dxa" w:w="6336"/>
          </w:tcPr>
          <w:p>
            <w:pPr>
              <w:spacing w:after="40"/>
            </w:pPr>
            <w:r>
              <w:rPr>
                <w:sz w:val="20"/>
              </w:rPr>
              <w:t>Technical documentation file GMI/GLD/IECEX-TDF/2026-001 (exhaustive item-by-item status) — authoritative for item-level status where the two documents differ</w:t>
            </w:r>
          </w:p>
        </w:tc>
      </w:tr>
    </w:tbl>
    <w:p>
      <w:pPr>
        <w:spacing w:after="20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product is still at from-scratch development/prototype stage; no finalized, serialized units exist yet.</w:t>
            </w:r>
          </w:p>
        </w:tc>
      </w:tr>
    </w:tbl>
    <w:p>
      <w:pPr>
        <w:spacing w:after="8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22 September 2026</w:t>
            </w:r>
          </w:p>
        </w:tc>
        <w:tc>
          <w:tcPr>
            <w:tcW w:type="dxa" w:w="6192"/>
          </w:tcPr>
          <w:p>
            <w:pPr>
              <w:spacing w:after="40"/>
            </w:pPr>
            <w:r>
              <w:rPr>
                <w:sz w:val="19"/>
              </w:rPr>
              <w:t>Initial issue — filled in against the ExCB information-requirements checklist, covering all three sections of the checklist.</w:t>
            </w:r>
          </w:p>
        </w:tc>
      </w:tr>
      <w:tr>
        <w:tc>
          <w:tcPr>
            <w:tcW w:type="dxa" w:w="1296"/>
          </w:tcPr>
          <w:p>
            <w:pPr>
              <w:spacing w:after="40"/>
            </w:pPr>
            <w:r>
              <w:rPr>
                <w:sz w:val="19"/>
              </w:rPr>
              <w:t>0.2</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cable gland confirmed as M20×1.5 (IP66-rated) — all raised to Final (Section 2.3). Power consumption rounded to 8 W. Removed the ambiguous “no plastic or PVC” parenthetical from the product description (Section 2.1) and generalized “L-bracket” to “bracket” in that same narrative sentence (the dimensioned bracket/U-bolt specification in Section 2.3 is unaffected). “GLD V2 (Version 2)” simplified to “GLD V2”. Layout fix: kept the Section 2.6.b BOM paragraph together across the page break.</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“Bracket”/“L-bracket” terminology corrected throughout to “U-bolt mounting plate” (Sections 2.1, 2.3, 2.6.a), matching the actual CAD drawing (a flat 250×250 mm plate secured by 2× U-bolts — not an angled/L-shaped bracket).</w:t>
            </w:r>
          </w:p>
        </w:tc>
      </w:tr>
      <w:tr>
        <w:tc>
          <w:tcPr>
            <w:tcW w:type="dxa" w:w="1296"/>
          </w:tcPr>
          <w:p>
            <w:pPr>
              <w:spacing w:after="40"/>
            </w:pPr>
            <w:r>
              <w:rPr>
                <w:sz w:val="19"/>
              </w:rPr>
              <w:t>0.4</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 2.3) updated to 2.378 kg, −20°C to +60°C, and 5–95% RH respectively, per current project specification data.</w:t>
            </w:r>
          </w:p>
        </w:tc>
      </w:tr>
      <w:tr>
        <w:tc>
          <w:tcPr>
            <w:tcW w:type="dxa" w:w="1296"/>
          </w:tcPr>
          <w:p>
            <w:pPr>
              <w:spacing w:after="40"/>
            </w:pPr>
            <w:r>
              <w:rPr>
                <w:sz w:val="19"/>
              </w:rPr>
              <w:t>0.5</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 2.5 — selected over Ex e and Ex i based on the existing ADC12 die-cast enclosure with a stainless-steel mesh flame path and the MQ-sensor heaters' continuous, unregulated power draw. Section 2.6.e updated accordingly. Still an internal recommendation, not an ExCB decision.</w:t>
            </w:r>
          </w:p>
        </w:tc>
      </w:tr>
      <w:tr>
        <w:tc>
          <w:tcPr>
            <w:tcW w:type="dxa" w:w="1296"/>
          </w:tcPr>
          <w:p>
            <w:pPr>
              <w:spacing w:after="40"/>
            </w:pPr>
            <w:r>
              <w:rPr>
                <w:sz w:val="19"/>
              </w:rPr>
              <w:t>0.6</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(document number prefix changed to GMI/...). The separate “design and development authority” and “technical partner” entries were removed (letterhead, Document Control, Sections 1.2, 1.4).</w:t>
            </w:r>
          </w:p>
        </w:tc>
      </w:tr>
      <w:tr>
        <w:tc>
          <w:tcPr>
            <w:tcW w:type="dxa" w:w="1296"/>
          </w:tcPr>
          <w:p>
            <w:pPr>
              <w:spacing w:after="40"/>
            </w:pPr>
            <w:r>
              <w:rPr>
                <w:sz w:val="19"/>
              </w:rPr>
              <w:t>0.7</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(normal, maximum-load and fan-stalled conditions), extrapolated to +60°C ambient: highest value ≈114°C against an effective T4 limit of 130°C. Status raised to Partially available; open measurement items listed.</w:t>
            </w:r>
          </w:p>
        </w:tc>
      </w:tr>
      <w:tr>
        <w:tc>
          <w:tcPr>
            <w:tcW w:type="dxa" w:w="1296"/>
          </w:tcPr>
          <w:p>
            <w:pPr>
              <w:spacing w:after="40"/>
            </w:pPr>
            <w:r>
              <w:rPr>
                <w:sz w:val="19"/>
              </w:rPr>
              <w:t>0.8</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w:t>
            </w:r>
          </w:p>
        </w:tc>
      </w:tr>
      <w:tr>
        <w:tc>
          <w:tcPr>
            <w:tcW w:type="dxa" w:w="1296"/>
          </w:tcPr>
          <w:p>
            <w:pPr>
              <w:spacing w:after="40"/>
            </w:pPr>
            <w:r>
              <w:rPr>
                <w:sz w:val="19"/>
              </w:rPr>
              <w:t>0.9</w:t>
            </w:r>
          </w:p>
        </w:tc>
        <w:tc>
          <w:tcPr>
            <w:tcW w:type="dxa" w:w="1872"/>
          </w:tcPr>
          <w:p>
            <w:pPr>
              <w:spacing w:after="40"/>
            </w:pPr>
            <w:r>
              <w:rPr>
                <w:sz w:val="19"/>
              </w:rPr>
              <w:t>7 October 2026</w:t>
            </w:r>
          </w:p>
        </w:tc>
        <w:tc>
          <w:tcPr>
            <w:tcW w:type="dxa" w:w="6192"/>
          </w:tcPr>
          <w:p>
            <w:pPr>
              <w:spacing w:after="40"/>
            </w:pPr>
            <w:r>
              <w:rPr>
                <w:sz w:val="19"/>
              </w:rPr>
              <w:t>Section 2.6.a.1 added: complete mechanical, enclosure and assembly drawing set (ATEX CASING v2 sheet and six CAD views, all seven GLD ATEX CASE v3 sheets, BP18-1Z supplier drawing, component/structure/terminal/grounding drawings, assembly sequence and MQ sensor dimension drawings), with a drawing register.</w:t>
            </w:r>
          </w:p>
        </w:tc>
      </w:tr>
      <w:tr>
        <w:tc>
          <w:tcPr>
            <w:tcW w:type="dxa" w:w="1296"/>
          </w:tcPr>
          <w:p>
            <w:pPr>
              <w:spacing w:after="40"/>
            </w:pPr>
            <w:r>
              <w:rPr>
                <w:sz w:val="19"/>
              </w:rPr>
              <w:t>1.0</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3.3–3.4 sample register (GLD2-0x1001) and fixtures; compliance matrix.</w:t>
            </w:r>
          </w:p>
        </w:tc>
      </w:tr>
      <w:tr>
        <w:tc>
          <w:tcPr>
            <w:tcW w:type="dxa" w:w="1296"/>
          </w:tcPr>
          <w:p>
            <w:pPr>
              <w:spacing w:after="40"/>
            </w:pPr>
            <w:r>
              <w:rPr>
                <w:sz w:val="19"/>
              </w:rPr>
              <w:t>1.1</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Figures 4-101–4-123); EX-05 fan model (CIXIKEJI CX5010B5H, 5 V 0.23 A), EX-07 polymer prototype gland to be replaced by a certified Ex d gland, EX-08/EX-12/EX-17 and photo-coverage table updated.</w:t>
            </w:r>
          </w:p>
        </w:tc>
      </w:tr>
      <w:tr>
        <w:tc>
          <w:tcPr>
            <w:tcW w:type="dxa" w:w="1296"/>
          </w:tcPr>
          <w:p>
            <w:pPr>
              <w:spacing w:after="40"/>
            </w:pPr>
            <w:r>
              <w:rPr>
                <w:sz w:val="19"/>
              </w:rPr>
              <w:t>1.2</w:t>
            </w:r>
          </w:p>
        </w:tc>
        <w:tc>
          <w:tcPr>
            <w:tcW w:type="dxa" w:w="1872"/>
          </w:tcPr>
          <w:p>
            <w:pPr>
              <w:spacing w:after="40"/>
            </w:pPr>
            <w:r>
              <w:rPr>
                <w:sz w:val="19"/>
              </w:rPr>
              <w:t>7 October 2026</w:t>
            </w:r>
          </w:p>
        </w:tc>
        <w:tc>
          <w:tcPr>
            <w:tcW w:type="dxa" w:w="6192"/>
          </w:tcPr>
          <w:p>
            <w:pPr>
              <w:spacing w:after="40"/>
            </w:pPr>
            <w:r>
              <w:rPr>
                <w:sz w:val="19"/>
              </w:rPr>
              <w:t>Section 2.6.a.8: GLD V4 main board and PCB cover (terminal board) renders added (Figure 8-11) with the changes from V3.</w:t>
            </w:r>
          </w:p>
        </w:tc>
      </w:tr>
      <w:tr>
        <w:tc>
          <w:tcPr>
            <w:tcW w:type="dxa" w:w="1296"/>
          </w:tcPr>
          <w:p>
            <w:pPr>
              <w:spacing w:after="40"/>
            </w:pPr>
            <w:r>
              <w:rPr>
                <w:sz w:val="19"/>
              </w:rPr>
              <w:t>1.3</w:t>
            </w:r>
          </w:p>
        </w:tc>
        <w:tc>
          <w:tcPr>
            <w:tcW w:type="dxa" w:w="1872"/>
          </w:tcPr>
          <w:p>
            <w:pPr>
              <w:spacing w:after="40"/>
            </w:pPr>
            <w:r>
              <w:rPr>
                <w:sz w:val="19"/>
              </w:rPr>
              <w:t>7 October 2026</w:t>
            </w:r>
          </w:p>
        </w:tc>
        <w:tc>
          <w:tcPr>
            <w:tcW w:type="dxa" w:w="6192"/>
          </w:tcPr>
          <w:p>
            <w:pPr>
              <w:spacing w:after="40"/>
            </w:pPr>
            <w:r>
              <w:rPr>
                <w:sz w:val="19"/>
              </w:rPr>
              <w:t>Nameplate location added: top face of the base beside the antenna (Figure 4-124; 2.6.h.1).</w:t>
            </w:r>
          </w:p>
        </w:tc>
      </w:tr>
      <w:tr>
        <w:tc>
          <w:tcPr>
            <w:tcW w:type="dxa" w:w="1296"/>
          </w:tcPr>
          <w:p>
            <w:pPr>
              <w:spacing w:after="40"/>
            </w:pPr>
            <w:r>
              <w:rPr>
                <w:sz w:val="19"/>
              </w:rPr>
              <w:t>1.4</w:t>
            </w:r>
          </w:p>
        </w:tc>
        <w:tc>
          <w:tcPr>
            <w:tcW w:type="dxa" w:w="1872"/>
          </w:tcPr>
          <w:p>
            <w:pPr>
              <w:spacing w:after="40"/>
            </w:pPr>
            <w:r>
              <w:rPr>
                <w:sz w:val="19"/>
              </w:rPr>
              <w:t>7 October 2026</w:t>
            </w:r>
          </w:p>
        </w:tc>
        <w:tc>
          <w:tcPr>
            <w:tcW w:type="dxa" w:w="6192"/>
          </w:tcPr>
          <w:p>
            <w:pPr>
              <w:spacing w:after="40"/>
            </w:pPr>
            <w:r>
              <w:rPr>
                <w:sz w:val="19"/>
              </w:rPr>
              <w:t>Antenna interface photographs added (Figures 4-125, 4-126); EX-09 updated.</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Estimated thread dimensions added (Figure 4-127; e.3.12): cover ≈M100 × 2, entries M20 × 1.5, antenna SMA 1/4″-36 UNS — estimates pending the enclosure drawing.</w:t>
            </w:r>
          </w:p>
        </w:tc>
      </w:tr>
      <w:tr>
        <w:tc>
          <w:tcPr>
            <w:tcW w:type="dxa" w:w="1296"/>
          </w:tcPr>
          <w:p>
            <w:pPr>
              <w:spacing w:after="40"/>
            </w:pPr>
            <w:r>
              <w:rPr>
                <w:sz w:val="19"/>
              </w:rPr>
              <w:t>1.6</w:t>
            </w:r>
          </w:p>
        </w:tc>
        <w:tc>
          <w:tcPr>
            <w:tcW w:type="dxa" w:w="1872"/>
          </w:tcPr>
          <w:p>
            <w:pPr>
              <w:spacing w:after="40"/>
            </w:pPr>
            <w:r>
              <w:rPr>
                <w:sz w:val="19"/>
              </w:rPr>
              <w:t>7 October 2026</w:t>
            </w:r>
          </w:p>
        </w:tc>
        <w:tc>
          <w:tcPr>
            <w:tcW w:type="dxa" w:w="6192"/>
          </w:tcPr>
          <w:p>
            <w:pPr>
              <w:spacing w:after="40"/>
            </w:pPr>
            <w:r>
              <w:rPr>
                <w:sz w:val="19"/>
              </w:rPr>
              <w:t>Caliper measurements of the base and cover O-ring added (Figures 4-128–4-132; e.3.12, EX-01/02/06): neck wall 10.50/5.80 mm, thread height ≈14.8 mm, bore ≈Ø84.7 mm, O-ring cord Ø2.70 mm; cover thread re-estimated ≈M96 × 1.5.</w:t>
            </w:r>
          </w:p>
        </w:tc>
      </w:tr>
      <w:tr>
        <w:tc>
          <w:tcPr>
            <w:tcW w:type="dxa" w:w="1296"/>
          </w:tcPr>
          <w:p>
            <w:pPr>
              <w:spacing w:after="40"/>
            </w:pPr>
            <w:r>
              <w:rPr>
                <w:sz w:val="19"/>
              </w:rPr>
              <w:t>1.7</w:t>
            </w:r>
          </w:p>
        </w:tc>
        <w:tc>
          <w:tcPr>
            <w:tcW w:type="dxa" w:w="1872"/>
          </w:tcPr>
          <w:p>
            <w:pPr>
              <w:spacing w:after="40"/>
            </w:pPr>
            <w:r>
              <w:rPr>
                <w:sz w:val="19"/>
              </w:rPr>
              <w:t>7 October 2026</w:t>
            </w:r>
          </w:p>
        </w:tc>
        <w:tc>
          <w:tcPr>
            <w:tcW w:type="dxa" w:w="6192"/>
          </w:tcPr>
          <w:p>
            <w:pPr>
              <w:spacing w:after="40"/>
            </w:pPr>
            <w:r>
              <w:rPr>
                <w:sz w:val="19"/>
              </w:rPr>
              <w:t>Further measurements added (Figures 4-133–4-137): base depth ≈45 mm, cover thread length ≈18.9 mm, cover depth ≈47.5 mm, O-ring OD ≈91.0 mm; free volume ≈0.4 L (indicative).</w:t>
            </w:r>
          </w:p>
        </w:tc>
      </w:tr>
      <w:tr>
        <w:tc>
          <w:tcPr>
            <w:tcW w:type="dxa" w:w="1296"/>
          </w:tcPr>
          <w:p>
            <w:pPr>
              <w:spacing w:after="40"/>
            </w:pPr>
            <w:r>
              <w:rPr>
                <w:sz w:val="19"/>
              </w:rPr>
              <w:t>1.8</w:t>
            </w:r>
          </w:p>
        </w:tc>
        <w:tc>
          <w:tcPr>
            <w:tcW w:type="dxa" w:w="1872"/>
          </w:tcPr>
          <w:p>
            <w:pPr>
              <w:spacing w:after="40"/>
            </w:pPr>
            <w:r>
              <w:rPr>
                <w:sz w:val="19"/>
              </w:rPr>
              <w:t>7 October 2026</w:t>
            </w:r>
          </w:p>
        </w:tc>
        <w:tc>
          <w:tcPr>
            <w:tcW w:type="dxa" w:w="6192"/>
          </w:tcPr>
          <w:p>
            <w:pPr>
              <w:spacing w:after="40"/>
            </w:pPr>
            <w:r>
              <w:rPr>
                <w:sz w:val="19"/>
              </w:rPr>
              <w:t>Measured sketches MS-01…MS-04 of the cover-to-base joint added (e.3.13), illustrative, from caliper measurements.</w:t>
            </w:r>
          </w:p>
        </w:tc>
      </w:tr>
      <w:tr>
        <w:tc>
          <w:tcPr>
            <w:tcW w:type="dxa" w:w="1296"/>
          </w:tcPr>
          <w:p>
            <w:pPr>
              <w:spacing w:after="40"/>
            </w:pPr>
            <w:r>
              <w:rPr>
                <w:sz w:val="19"/>
              </w:rPr>
              <w:t>1.9</w:t>
            </w:r>
          </w:p>
        </w:tc>
        <w:tc>
          <w:tcPr>
            <w:tcW w:type="dxa" w:w="1872"/>
          </w:tcPr>
          <w:p>
            <w:pPr>
              <w:spacing w:after="40"/>
            </w:pPr>
            <w:r>
              <w:rPr>
                <w:sz w:val="19"/>
              </w:rPr>
              <w:t>7 October 2026</w:t>
            </w:r>
          </w:p>
        </w:tc>
        <w:tc>
          <w:tcPr>
            <w:tcW w:type="dxa" w:w="6192"/>
          </w:tcPr>
          <w:p>
            <w:pPr>
              <w:spacing w:after="40"/>
            </w:pPr>
            <w:r>
              <w:rPr>
                <w:sz w:val="19"/>
              </w:rPr>
              <w:t>Proposed nameplate artwork MS-05 (2.6.h.1) and terminal/field-wiring diagram MS-06 (2.6.g.1) added (drafts).</w:t>
            </w:r>
          </w:p>
        </w:tc>
      </w:tr>
      <w:tr>
        <w:tc>
          <w:tcPr>
            <w:tcW w:type="dxa" w:w="1296"/>
          </w:tcPr>
          <w:p>
            <w:pPr>
              <w:spacing w:after="40"/>
            </w:pPr>
            <w:r>
              <w:rPr>
                <w:sz w:val="19"/>
              </w:rPr>
              <w:t>2.0</w:t>
            </w:r>
          </w:p>
        </w:tc>
        <w:tc>
          <w:tcPr>
            <w:tcW w:type="dxa" w:w="1872"/>
          </w:tcPr>
          <w:p>
            <w:pPr>
              <w:spacing w:after="40"/>
            </w:pPr>
            <w:r>
              <w:rPr>
                <w:sz w:val="19"/>
              </w:rPr>
              <w:t>7 October 2026</w:t>
            </w:r>
          </w:p>
        </w:tc>
        <w:tc>
          <w:tcPr>
            <w:tcW w:type="dxa" w:w="6192"/>
          </w:tcPr>
          <w:p>
            <w:pPr>
              <w:spacing w:after="40"/>
            </w:pPr>
            <w:r>
              <w:rPr>
                <w:sz w:val="19"/>
              </w:rPr>
              <w:t>Navigation: five-level Table of Contents, List of Drawings/Figures with page numbers, PDF bookmarks to individual drawings and photographs; photo groups added. No technical content changed.</w:t>
            </w:r>
          </w:p>
        </w:tc>
      </w:tr>
      <w:tr>
        <w:tc>
          <w:tcPr>
            <w:tcW w:type="dxa" w:w="1296"/>
          </w:tcPr>
          <w:p>
            <w:pPr>
              <w:spacing w:after="40"/>
            </w:pPr>
            <w:r>
              <w:rPr>
                <w:sz w:val="19"/>
              </w:rPr>
              <w:t>2.1</w:t>
            </w:r>
          </w:p>
        </w:tc>
        <w:tc>
          <w:tcPr>
            <w:tcW w:type="dxa" w:w="1872"/>
          </w:tcPr>
          <w:p>
            <w:pPr>
              <w:spacing w:after="40"/>
            </w:pPr>
            <w:r>
              <w:rPr>
                <w:sz w:val="19"/>
              </w:rPr>
              <w:t>7 October 2026</w:t>
            </w:r>
          </w:p>
        </w:tc>
        <w:tc>
          <w:tcPr>
            <w:tcW w:type="dxa" w:w="6192"/>
          </w:tcPr>
          <w:p>
            <w:pPr>
              <w:spacing w:after="40"/>
            </w:pPr>
            <w:r>
              <w:rPr>
                <w:sz w:val="19"/>
              </w:rPr>
              <w:t>Audit against the reviewer's revision guide: application form received and completed; ISO 9001 in progress; internal file names and working-draft references removed; product description and 2.5 completed (gas path, EPL Gb, Tamb, humidity, gas-only scope, installation conditions); shared sections updated as in the technical documentation file rev. 2.8.</w:t>
            </w:r>
          </w:p>
        </w:tc>
      </w:tr>
    </w:tbl>
    <w:p>
      <w:r>
        <w:br w:type="page"/>
      </w:r>
    </w:p>
    <w:p>
      <w:pPr>
        <w:spacing w:after="120"/>
      </w:pPr>
      <w:r>
        <w:rPr>
          <w:b/>
          <w:i w:val="0"/>
          <w:color w:val="1A2B3D"/>
          <w:sz w:val="26"/>
        </w:rPr>
        <w:t>Table of Contents</w:t>
      </w:r>
    </w:p>
    <w:p>
      <w:r>
        <w:fldChar w:fldCharType="begin"/>
        <w:instrText xml:space="preserve">TOC \o "1-5" \h \z \u</w:instrText>
      </w:r>
      <w:r>
        <w:fldChar w:fldCharType="separate"/>
      </w:r>
      <w:r>
        <w:t>Right-click and choose Update Field to generate the table of contents.</w:t>
      </w:r>
      <w:r>
        <w:fldChar w:fldCharType="end"/>
      </w:r>
    </w:p>
    <w:p>
      <w:r>
        <w:br w:type="page"/>
      </w:r>
    </w:p>
    <w:p>
      <w:pPr>
        <w:spacing w:after="40"/>
      </w:pPr>
      <w:r>
        <w:rPr>
          <w:b/>
          <w:i w:val="0"/>
          <w:color w:val="1A2B3D"/>
          <w:sz w:val="24"/>
        </w:rPr>
        <w:t>List of Drawings, Schematic Sheets, Sketches and Photographs</w:t>
      </w:r>
    </w:p>
    <w:p>
      <w:pPr>
        <w:spacing w:after="80"/>
      </w:pPr>
      <w:r>
        <w:rPr>
          <w:b w:val="0"/>
          <w:i w:val="0"/>
          <w:color w:val="4A4A4A"/>
          <w:sz w:val="17"/>
        </w:rPr>
        <w:t>Every drawing (M-xx), schematic sheet and layout view (Figure 8-n), measured sketch (MS-xx) and assembly photograph (Figure 4-1xx) with its page. All entries are also PDF bookmarks.</w:t>
      </w:r>
    </w:p>
    <w:p>
      <w:r>
        <w:fldChar w:fldCharType="begin"/>
        <w:instrText xml:space="preserve">TOC \h \z \t "GLD Figure Title,1"</w:instrText>
      </w:r>
      <w:r>
        <w:fldChar w:fldCharType="separate"/>
      </w:r>
      <w:r>
        <w:t>Right-click and choose Update Field to generate the list of drawings.</w:t>
      </w:r>
      <w:r>
        <w:fldChar w:fldCharType="end"/>
      </w:r>
    </w:p>
    <w:p>
      <w:r>
        <w:br w:type="page"/>
      </w:r>
    </w:p>
    <w:p>
      <w:pPr>
        <w:pStyle w:val="Heading1"/>
      </w:pPr>
      <w:r>
        <w:t>1. Basic Information (Application and Organization)</w:t>
      </w:r>
    </w:p>
    <w:p>
      <w:pPr>
        <w:spacing w:after="160"/>
      </w:pPr>
      <w:r>
        <w:rPr>
          <w:b w:val="0"/>
          <w:i/>
          <w:color w:val="4A4A4A"/>
          <w:sz w:val="19"/>
        </w:rPr>
        <w:t>Application form (provided by ExCB as a template). Manufacturer's business license/company registration certificate. Manufacturer's organizational chart and contact information. Address of manufacturing plant and brief introduction of production facilities. (If applicable) ISO 9001 certificate, quality manual, and directory of procedure documents (for QAR/QAN review).</w:t>
      </w:r>
    </w:p>
    <w:p>
      <w:pPr>
        <w:pStyle w:val="Heading2"/>
      </w:pPr>
      <w:r>
        <w:t>1.1 · Application Form</w:t>
      </w:r>
    </w:p>
    <w:p>
      <w:pPr>
        <w:spacing w:after="160"/>
      </w:pPr>
      <w:r>
        <w:rPr>
          <w:b w:val="0"/>
          <w:i w:val="0"/>
          <w:sz w:val="21"/>
        </w:rPr>
        <w:t>Issued by the ExCB as a template (application form A0); the template has been received, completed by the applicant and submitted together with this dossier.</w:t>
      </w:r>
    </w:p>
    <w:p>
      <w:pPr>
        <w:spacing w:after="200"/>
      </w:pPr>
      <w:r>
        <w:rPr>
          <w:b/>
          <w:color w:val="4A4A4A"/>
          <w:sz w:val="19"/>
        </w:rPr>
        <w:t xml:space="preserve">Status: </w:t>
      </w:r>
      <w:r>
        <w:rPr>
          <w:i/>
          <w:color w:val="4A4A4A"/>
          <w:sz w:val="19"/>
        </w:rPr>
        <w:t>Template received from the ExCB; completed form submitted with the dossier.</w:t>
      </w:r>
    </w:p>
    <w:p>
      <w:pPr>
        <w:pStyle w:val="Heading2"/>
      </w:pPr>
      <w:r>
        <w:t>1.2 · Manufacturer's Business License / Company Registration Certificate</w:t>
      </w:r>
    </w:p>
    <w:p>
      <w:pPr>
        <w:spacing w:after="160"/>
      </w:pPr>
      <w:r>
        <w:rPr>
          <w:b w:val="0"/>
          <w:i w:val="0"/>
          <w:sz w:val="21"/>
        </w:rPr>
        <w:t>The Applicant and Manufacturer named in this application is PT Galaksi Megatama Indonesia, which holds the Indonesian industrial manufacturing business license (NIB) relevant to fabricating the equipment.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Particular</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Registered legal name</w:t>
            </w:r>
          </w:p>
        </w:tc>
        <w:tc>
          <w:tcPr>
            <w:tcW w:type="dxa" w:w="6048"/>
          </w:tcPr>
          <w:p>
            <w:pPr>
              <w:spacing w:after="40"/>
            </w:pPr>
            <w:r>
              <w:rPr>
                <w:sz w:val="19"/>
              </w:rPr>
              <w:t>PT Galaksi Megatama Indonesia</w:t>
            </w:r>
          </w:p>
        </w:tc>
      </w:tr>
      <w:tr>
        <w:tc>
          <w:tcPr>
            <w:tcW w:type="dxa" w:w="3312"/>
          </w:tcPr>
          <w:p>
            <w:pPr>
              <w:spacing w:after="40"/>
            </w:pPr>
            <w:r>
              <w:rPr>
                <w:sz w:val="19"/>
              </w:rPr>
              <w:t>Legal form</w:t>
            </w:r>
          </w:p>
        </w:tc>
        <w:tc>
          <w:tcPr>
            <w:tcW w:type="dxa" w:w="6048"/>
          </w:tcPr>
          <w:p>
            <w:pPr>
              <w:spacing w:after="40"/>
            </w:pPr>
            <w:r>
              <w:rPr>
                <w:sz w:val="19"/>
              </w:rPr>
              <w:t>Perseroan Terbatas (limited liability company), National Private / PMDN, Small Enterprise scale</w:t>
            </w:r>
          </w:p>
        </w:tc>
      </w:tr>
      <w:tr>
        <w:tc>
          <w:tcPr>
            <w:tcW w:type="dxa" w:w="3312"/>
          </w:tcPr>
          <w:p>
            <w:pPr>
              <w:spacing w:after="40"/>
            </w:pPr>
            <w:r>
              <w:rPr>
                <w:sz w:val="19"/>
              </w:rPr>
              <w:t>Business registration number (NIB)</w:t>
            </w:r>
          </w:p>
        </w:tc>
        <w:tc>
          <w:tcPr>
            <w:tcW w:type="dxa" w:w="6048"/>
          </w:tcPr>
          <w:p>
            <w:pPr>
              <w:spacing w:after="40"/>
            </w:pPr>
            <w:r>
              <w:rPr>
                <w:sz w:val="19"/>
              </w:rPr>
              <w:t>0510220020593, issued 5 Oct 2022 (OSS system)</w:t>
            </w:r>
          </w:p>
        </w:tc>
      </w:tr>
      <w:tr>
        <w:tc>
          <w:tcPr>
            <w:tcW w:type="dxa" w:w="3312"/>
          </w:tcPr>
          <w:p>
            <w:pPr>
              <w:spacing w:after="40"/>
            </w:pPr>
            <w:r>
              <w:rPr>
                <w:sz w:val="19"/>
              </w:rPr>
              <w:t>Taxpayer ID (NPWP)</w:t>
            </w:r>
          </w:p>
        </w:tc>
        <w:tc>
          <w:tcPr>
            <w:tcW w:type="dxa" w:w="6048"/>
          </w:tcPr>
          <w:p>
            <w:pPr>
              <w:spacing w:after="40"/>
            </w:pPr>
            <w:r>
              <w:rPr>
                <w:sz w:val="19"/>
              </w:rPr>
              <w:t>61.126.496.1-427.000, registered 29 Sep 2022</w:t>
            </w:r>
          </w:p>
        </w:tc>
      </w:tr>
      <w:tr>
        <w:tc>
          <w:tcPr>
            <w:tcW w:type="dxa" w:w="3312"/>
          </w:tcPr>
          <w:p>
            <w:pPr>
              <w:spacing w:after="40"/>
            </w:pPr>
            <w:r>
              <w:rPr>
                <w:sz w:val="19"/>
              </w:rPr>
              <w:t>Deed of establishment</w:t>
            </w:r>
          </w:p>
        </w:tc>
        <w:tc>
          <w:tcPr>
            <w:tcW w:type="dxa" w:w="6048"/>
          </w:tcPr>
          <w:p>
            <w:pPr>
              <w:spacing w:after="40"/>
            </w:pPr>
            <w:r>
              <w:rPr>
                <w:sz w:val="19"/>
              </w:rPr>
              <w:t>Deed No. 52, 22 Sep 2022 (Notary Steffi Alphanie, S.H., M.Kn., Cilegon City)</w:t>
            </w:r>
          </w:p>
        </w:tc>
      </w:tr>
      <w:tr>
        <w:tc>
          <w:tcPr>
            <w:tcW w:type="dxa" w:w="3312"/>
          </w:tcPr>
          <w:p>
            <w:pPr>
              <w:spacing w:after="40"/>
            </w:pPr>
            <w:r>
              <w:rPr>
                <w:sz w:val="19"/>
              </w:rPr>
              <w:t>Ministerial ratification</w:t>
            </w:r>
          </w:p>
        </w:tc>
        <w:tc>
          <w:tcPr>
            <w:tcW w:type="dxa" w:w="6048"/>
          </w:tcPr>
          <w:p>
            <w:pPr>
              <w:spacing w:after="40"/>
            </w:pPr>
            <w:r>
              <w:rPr>
                <w:sz w:val="19"/>
              </w:rPr>
              <w:t>MOLHR Decree No. AHU-0067398.AH.01.01.Year 2022 (29 Sep 2022)</w:t>
            </w:r>
          </w:p>
        </w:tc>
      </w:tr>
      <w:tr>
        <w:tc>
          <w:tcPr>
            <w:tcW w:type="dxa" w:w="3312"/>
          </w:tcPr>
          <w:p>
            <w:pPr>
              <w:spacing w:after="40"/>
            </w:pPr>
            <w:r>
              <w:rPr>
                <w:sz w:val="19"/>
              </w:rPr>
              <w:t>Registered (domicile) address</w:t>
            </w:r>
          </w:p>
        </w:tc>
        <w:tc>
          <w:tcPr>
            <w:tcW w:type="dxa" w:w="6048"/>
          </w:tcPr>
          <w:p>
            <w:pPr>
              <w:spacing w:after="40"/>
            </w:pPr>
            <w:r>
              <w:rPr>
                <w:sz w:val="19"/>
              </w:rPr>
              <w:t>Plaza Summarecon Bekasi, Jl. Bulevar Ahmad Yani Kav. K.01, Level 7, Bekasi City, West Java 17143</w:t>
            </w:r>
          </w:p>
        </w:tc>
      </w:tr>
      <w:tr>
        <w:tc>
          <w:tcPr>
            <w:tcW w:type="dxa" w:w="3312"/>
          </w:tcPr>
          <w:p>
            <w:pPr>
              <w:spacing w:after="40"/>
            </w:pPr>
            <w:r>
              <w:rPr>
                <w:sz w:val="19"/>
              </w:rPr>
              <w:t>Relevant KBLI (business scope)</w:t>
            </w:r>
          </w:p>
        </w:tc>
        <w:tc>
          <w:tcPr>
            <w:tcW w:type="dxa" w:w="6048"/>
          </w:tcPr>
          <w:p>
            <w:pPr>
              <w:spacing w:after="40"/>
            </w:pPr>
            <w:r>
              <w:rPr>
                <w:sz w:val="19"/>
              </w:rPr>
              <w:t>25119, 25120 (tanks/reservoirs/containers of metal, incl. pressurized gas cylinders), 28221, 25920</w:t>
            </w:r>
          </w:p>
        </w:tc>
      </w:tr>
    </w:tbl>
    <w:p>
      <w:pPr>
        <w:spacing w:after="120"/>
      </w:pPr>
    </w:p>
    <w:p>
      <w:pPr>
        <w:spacing w:after="200"/>
      </w:pPr>
      <w:r>
        <w:rPr>
          <w:b/>
          <w:color w:val="4A4A4A"/>
          <w:sz w:val="19"/>
        </w:rPr>
        <w:t xml:space="preserve">Status: </w:t>
      </w:r>
      <w:r>
        <w:rPr>
          <w:i/>
          <w:color w:val="4A4A4A"/>
          <w:sz w:val="19"/>
        </w:rPr>
        <w:t>Available — legal documents on file with sworn English translations (Fikri Said Obed, S.S., 19 Sep 2026). Legal form/shareholding, business registration, and domicile address confirmed; ISO 9001 certification status addressed separately below.</w:t>
      </w:r>
    </w:p>
    <w:p>
      <w:pPr>
        <w:pStyle w:val="Heading2"/>
      </w:pPr>
      <w:r>
        <w:t>1.3 · Manufacturer's Organizational Chart and Contact Information</w:t>
      </w:r>
    </w:p>
    <w:p>
      <w:pPr>
        <w:spacing w:after="160"/>
      </w:pPr>
      <w:r>
        <w:rPr>
          <w:b w:val="0"/>
          <w:i w:val="0"/>
          <w:sz w:val="21"/>
        </w:rPr>
        <w:t>The statutory Board of Directors and Board of Commissioners are known from the deed of establishment: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Position</w:t>
            </w:r>
          </w:p>
        </w:tc>
        <w:tc>
          <w:tcPr>
            <w:tcW w:type="dxa" w:w="6048"/>
            <w:shd w:val="clear" w:color="auto" w:fill="EFEFEF"/>
          </w:tcPr>
          <w:p>
            <w:pPr>
              <w:spacing w:after="40"/>
            </w:pPr>
            <w:r>
              <w:rPr>
                <w:b/>
                <w:color w:val="4A4A4A"/>
                <w:sz w:val="18"/>
              </w:rPr>
              <w:t>Name</w:t>
            </w:r>
          </w:p>
        </w:tc>
      </w:tr>
      <w:tr>
        <w:tc>
          <w:tcPr>
            <w:tcW w:type="dxa" w:w="3312"/>
          </w:tcPr>
          <w:p>
            <w:pPr>
              <w:spacing w:after="40"/>
            </w:pPr>
            <w:r>
              <w:rPr>
                <w:sz w:val="19"/>
              </w:rPr>
              <w:t>President Director</w:t>
            </w:r>
          </w:p>
        </w:tc>
        <w:tc>
          <w:tcPr>
            <w:tcW w:type="dxa" w:w="6048"/>
          </w:tcPr>
          <w:p>
            <w:pPr>
              <w:spacing w:after="40"/>
            </w:pPr>
            <w:r>
              <w:rPr>
                <w:sz w:val="19"/>
              </w:rPr>
              <w:t>Nur Rohman</w:t>
            </w:r>
          </w:p>
        </w:tc>
      </w:tr>
      <w:tr>
        <w:tc>
          <w:tcPr>
            <w:tcW w:type="dxa" w:w="3312"/>
          </w:tcPr>
          <w:p>
            <w:pPr>
              <w:spacing w:after="40"/>
            </w:pPr>
            <w:r>
              <w:rPr>
                <w:sz w:val="19"/>
              </w:rPr>
              <w:t>Director</w:t>
            </w:r>
          </w:p>
        </w:tc>
        <w:tc>
          <w:tcPr>
            <w:tcW w:type="dxa" w:w="6048"/>
          </w:tcPr>
          <w:p>
            <w:pPr>
              <w:spacing w:after="40"/>
            </w:pPr>
            <w:r>
              <w:rPr>
                <w:sz w:val="19"/>
              </w:rPr>
              <w:t>Antonius Prasetyo</w:t>
            </w:r>
          </w:p>
        </w:tc>
      </w:tr>
      <w:tr>
        <w:tc>
          <w:tcPr>
            <w:tcW w:type="dxa" w:w="3312"/>
          </w:tcPr>
          <w:p>
            <w:pPr>
              <w:spacing w:after="40"/>
            </w:pPr>
            <w:r>
              <w:rPr>
                <w:sz w:val="19"/>
              </w:rPr>
              <w:t>Commissioner</w:t>
            </w:r>
          </w:p>
        </w:tc>
        <w:tc>
          <w:tcPr>
            <w:tcW w:type="dxa" w:w="6048"/>
          </w:tcPr>
          <w:p>
            <w:pPr>
              <w:spacing w:after="40"/>
            </w:pPr>
            <w:r>
              <w:rPr>
                <w:sz w:val="19"/>
              </w:rPr>
              <w:t>Crisa Andi Sujatmiko</w:t>
            </w:r>
          </w:p>
        </w:tc>
      </w:tr>
    </w:tbl>
    <w:p>
      <w:pPr>
        <w:spacing w:after="120"/>
      </w:pPr>
    </w:p>
    <w:p>
      <w:pPr>
        <w:spacing w:after="200"/>
      </w:pPr>
      <w:r>
        <w:rPr>
          <w:b/>
          <w:color w:val="4A4A4A"/>
          <w:sz w:val="19"/>
        </w:rPr>
        <w:t xml:space="preserve">Status: </w:t>
      </w:r>
      <w:r>
        <w:rPr>
          <w:i/>
          <w:color w:val="4A4A4A"/>
          <w:sz w:val="19"/>
        </w:rPr>
        <w:t>Partially available — statutory officers known. A functional organizational chart (design/production/quality reporting lines) and named ExCB correspondence contacts (certification project contact, technical contact, quality contact) have not yet been provided.</w:t>
      </w:r>
    </w:p>
    <w:p>
      <w:pPr>
        <w:pStyle w:val="Heading2"/>
      </w:pPr>
      <w:r>
        <w:t>1.4 · Address of Manufacturing Plant and Brief Introduction of Production Facilities</w:t>
      </w:r>
    </w:p>
    <w:p>
      <w:pPr>
        <w:spacing w:after="160"/>
      </w:pPr>
      <w:r>
        <w:rPr>
          <w:b w:val="0"/>
          <w:i w:val="0"/>
          <w:sz w:val="21"/>
        </w:rPr>
        <w:t>Registered office and NIB-registered production sites of the Manufacturer, PT Galaksi Megatama Indonesia:</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Site</w:t>
            </w:r>
          </w:p>
        </w:tc>
        <w:tc>
          <w:tcPr>
            <w:tcW w:type="dxa" w:w="6048"/>
            <w:shd w:val="clear" w:color="auto" w:fill="EFEFEF"/>
          </w:tcPr>
          <w:p>
            <w:pPr>
              <w:spacing w:after="40"/>
            </w:pPr>
            <w:r>
              <w:rPr>
                <w:b/>
                <w:color w:val="4A4A4A"/>
                <w:sz w:val="18"/>
              </w:rPr>
              <w:t>Address / Role</w:t>
            </w:r>
          </w:p>
        </w:tc>
      </w:tr>
      <w:tr>
        <w:tc>
          <w:tcPr>
            <w:tcW w:type="dxa" w:w="3312"/>
          </w:tcPr>
          <w:p>
            <w:pPr>
              <w:spacing w:after="40"/>
            </w:pPr>
            <w:r>
              <w:rPr>
                <w:sz w:val="19"/>
              </w:rPr>
              <w:t>Registered office</w:t>
            </w:r>
          </w:p>
        </w:tc>
        <w:tc>
          <w:tcPr>
            <w:tcW w:type="dxa" w:w="6048"/>
          </w:tcPr>
          <w:p>
            <w:pPr>
              <w:spacing w:after="40"/>
            </w:pPr>
            <w:r>
              <w:rPr>
                <w:sz w:val="19"/>
              </w:rPr>
              <w:t>Plaza Summarecon Bekasi, Jl. Bulevar Ahmad Yani Kav. K.01, Level 7, Bekasi City, West Java</w:t>
            </w:r>
          </w:p>
        </w:tc>
      </w:tr>
      <w:tr>
        <w:tc>
          <w:tcPr>
            <w:tcW w:type="dxa" w:w="3312"/>
          </w:tcPr>
          <w:p>
            <w:pPr>
              <w:spacing w:after="40"/>
            </w:pPr>
            <w:r>
              <w:rPr>
                <w:sz w:val="19"/>
              </w:rPr>
              <w:t>Production site 1</w:t>
            </w:r>
          </w:p>
        </w:tc>
        <w:tc>
          <w:tcPr>
            <w:tcW w:type="dxa" w:w="6048"/>
          </w:tcPr>
          <w:p>
            <w:pPr>
              <w:spacing w:after="40"/>
            </w:pPr>
            <w:r>
              <w:rPr>
                <w:sz w:val="19"/>
              </w:rPr>
              <w:t>Jl. Kp. Jatipilar, Cikarang Selatan, Bekasi Regency</w:t>
            </w:r>
          </w:p>
        </w:tc>
      </w:tr>
      <w:tr>
        <w:tc>
          <w:tcPr>
            <w:tcW w:type="dxa" w:w="3312"/>
          </w:tcPr>
          <w:p>
            <w:pPr>
              <w:spacing w:after="40"/>
            </w:pPr>
            <w:r>
              <w:rPr>
                <w:sz w:val="19"/>
              </w:rPr>
              <w:t>Production site 2</w:t>
            </w:r>
          </w:p>
        </w:tc>
        <w:tc>
          <w:tcPr>
            <w:tcW w:type="dxa" w:w="6048"/>
          </w:tcPr>
          <w:p>
            <w:pPr>
              <w:spacing w:after="40"/>
            </w:pPr>
            <w:r>
              <w:rPr>
                <w:sz w:val="19"/>
              </w:rPr>
              <w:t>Jl. WR Supratman, Mustikajaya, Bekasi City</w:t>
            </w:r>
          </w:p>
        </w:tc>
      </w:tr>
      <w:tr>
        <w:tc>
          <w:tcPr>
            <w:tcW w:type="dxa" w:w="3312"/>
          </w:tcPr>
          <w:p>
            <w:pPr>
              <w:spacing w:after="40"/>
            </w:pPr>
            <w:r>
              <w:rPr>
                <w:sz w:val="19"/>
              </w:rPr>
              <w:t>Electronics design/assembly</w:t>
            </w:r>
          </w:p>
        </w:tc>
        <w:tc>
          <w:tcPr>
            <w:tcW w:type="dxa" w:w="6048"/>
          </w:tcPr>
          <w:p>
            <w:pPr>
              <w:spacing w:after="40"/>
            </w:pPr>
            <w:r>
              <w:rPr>
                <w:sz w:val="19"/>
              </w:rPr>
              <w:t>Native EasyEDA/JLCPCB project; fabrication/assembly provider and its address to be confirmed in writing</w:t>
            </w:r>
          </w:p>
        </w:tc>
      </w:tr>
    </w:tbl>
    <w:p>
      <w:pPr>
        <w:spacing w:after="120"/>
      </w:pPr>
    </w:p>
    <w:p>
      <w:pPr>
        <w:spacing w:after="200"/>
      </w:pPr>
      <w:r>
        <w:rPr>
          <w:b/>
          <w:color w:val="4A4A4A"/>
          <w:sz w:val="19"/>
        </w:rPr>
        <w:t xml:space="preserve">Status: </w:t>
      </w:r>
      <w:r>
        <w:rPr>
          <w:i/>
          <w:color w:val="4A4A4A"/>
          <w:sz w:val="19"/>
        </w:rPr>
        <w:t>Partially available — registered addresses on file (general metal-fabrication license, KBLI 25120 covers pressurized gas cylinders; not an Ex-specific manufacturing license). Floor area, principal equipment, staffing, and nominal throughput (“brief introduction” requested by the checklist) not yet provided. Production location for serial units has not been fixed — the product is at prototype stage.</w:t>
      </w:r>
    </w:p>
    <w:p>
      <w:pPr>
        <w:pStyle w:val="Heading2"/>
      </w:pPr>
      <w:r>
        <w:t>1.5 · ISO 9001 Certificate, Quality Manual, and Directory of Procedure Documents (for QAR/QAN review)</w:t>
      </w:r>
    </w:p>
    <w:p>
      <w:pPr>
        <w:spacing w:after="160"/>
      </w:pPr>
      <w:r>
        <w:rPr>
          <w:b w:val="0"/>
          <w:i w:val="0"/>
          <w:sz w:val="21"/>
        </w:rPr>
        <w:t>ISO 9001 certification of the manufacturer is currently in progress, with the certification audit planned for October 2026. The certificate, quality manual, and procedure-document index will be submitted once available.</w:t>
      </w:r>
    </w:p>
    <w:p>
      <w:pPr>
        <w:spacing w:after="200"/>
      </w:pPr>
      <w:r>
        <w:rPr>
          <w:b/>
          <w:color w:val="4A4A4A"/>
          <w:sz w:val="19"/>
        </w:rPr>
        <w:t xml:space="preserve">Status: </w:t>
      </w:r>
      <w:r>
        <w:rPr>
          <w:i/>
          <w:color w:val="4A4A4A"/>
          <w:sz w:val="19"/>
        </w:rPr>
        <w:t>Open — certification and supporting documents in progress. Under both IECEx and ATEX schemes, a quality system covering Ex production is expected before certificates are issued (IECEx Quality Assessment Report, or the corresponding production-quality/product-verification route under ATEX) whether or not ISO 9001 is held; the applicable route is to be confirmed with the ExCB.</w:t>
      </w:r>
    </w:p>
    <w:p>
      <w:r>
        <w:br w:type="page"/>
      </w:r>
    </w:p>
    <w:p>
      <w:pPr>
        <w:pStyle w:val="Heading1"/>
      </w:pPr>
      <w:r>
        <w:t>2. Technical Documentation</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Ambient gas enters through the front stainless-steel mesh; an internal DC fan assists the flow towards the eight MQ sensors, each with its own integrated stainless-steel protective mesh. When the multi-sensor response pattern and the configured alarm criteria indicate a leak, the unit triggers a local alarm (an integrated visual/audible alarm module) and simultaneously transmits an alarm notification over the LoRa network, via the cluster head and gateway, to the operator dashboard.</w:t>
      </w:r>
    </w:p>
    <w:p>
      <w:pPr>
        <w:spacing w:after="160"/>
      </w:pPr>
      <w:r>
        <w:rPr>
          <w:b w:val="0"/>
          <w:i w:val="0"/>
          <w:sz w:val="21"/>
        </w:rPr>
        <w:t>The enclosure is designed for hazardous-area deployment at refinery sites, using metal materials (aluminum alloy — ADC12 die-cast grade — and stainless steel) and mounted via a U-bolt mounting plate to existing structures without drilling or welding. The current production power configuration is continuous 24 VDC, supplied via an AC/DC adapter (220 VAC/50 Hz → 24 VDC) connected to the site electrical supply. The Node Sensor (GLD) itself receives only 24 VDC at its terminal and never carries 220 VAC internally — the AC/DC adapter is a separate, site-supplied device outside the physical boundary of the certified unit.</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Important: this design-intent description does not constitute a claim that the enclosure has passed testing or has been Ex-certified. The explosion-protection scheme, gas group, temperature class, and target installation zone are addressed in Section 2.5.</w:t>
            </w:r>
          </w:p>
        </w:tc>
      </w:tr>
    </w:tbl>
    <w:p>
      <w:pPr>
        <w:spacing w:after="80"/>
      </w:pPr>
    </w:p>
    <w:p>
      <w:pPr>
        <w:pStyle w:val="Heading2"/>
      </w:pPr>
      <w:r>
        <w:t>2.2 · Product Name, Model, and Specification List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Field</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Product name</w:t>
            </w:r>
          </w:p>
        </w:tc>
        <w:tc>
          <w:tcPr>
            <w:tcW w:type="dxa" w:w="6048"/>
          </w:tcPr>
          <w:p>
            <w:pPr>
              <w:spacing w:after="40"/>
            </w:pPr>
            <w:r>
              <w:rPr>
                <w:sz w:val="19"/>
              </w:rPr>
              <w:t>Gas Leak Detector (GLD)</w:t>
            </w:r>
          </w:p>
        </w:tc>
      </w:tr>
      <w:tr>
        <w:tc>
          <w:tcPr>
            <w:tcW w:type="dxa" w:w="3312"/>
          </w:tcPr>
          <w:p>
            <w:pPr>
              <w:spacing w:after="40"/>
            </w:pPr>
            <w:r>
              <w:rPr>
                <w:sz w:val="19"/>
              </w:rPr>
              <w:t>Model / version</w:t>
            </w:r>
          </w:p>
        </w:tc>
        <w:tc>
          <w:tcPr>
            <w:tcW w:type="dxa" w:w="6048"/>
          </w:tcPr>
          <w:p>
            <w:pPr>
              <w:spacing w:after="40"/>
            </w:pPr>
            <w:r>
              <w:rPr>
                <w:sz w:val="19"/>
              </w:rPr>
              <w:t>GLD V2</w:t>
            </w:r>
          </w:p>
        </w:tc>
      </w:tr>
      <w:tr>
        <w:tc>
          <w:tcPr>
            <w:tcW w:type="dxa" w:w="3312"/>
          </w:tcPr>
          <w:p>
            <w:pPr>
              <w:spacing w:after="40"/>
            </w:pPr>
            <w:r>
              <w:rPr>
                <w:sz w:val="19"/>
              </w:rPr>
              <w:t>Manufacturer</w:t>
            </w:r>
          </w:p>
        </w:tc>
        <w:tc>
          <w:tcPr>
            <w:tcW w:type="dxa" w:w="6048"/>
          </w:tcPr>
          <w:p>
            <w:pPr>
              <w:spacing w:after="40"/>
            </w:pPr>
            <w:r>
              <w:rPr>
                <w:sz w:val="19"/>
              </w:rPr>
              <w:t>PT Galaksi Megatama Indonesia</w:t>
            </w:r>
          </w:p>
        </w:tc>
      </w:tr>
      <w:tr>
        <w:tc>
          <w:tcPr>
            <w:tcW w:type="dxa" w:w="3312"/>
          </w:tcPr>
          <w:p>
            <w:pPr>
              <w:spacing w:after="40"/>
            </w:pPr>
            <w:r>
              <w:rPr>
                <w:sz w:val="19"/>
              </w:rPr>
              <w:t>Program owner</w:t>
            </w:r>
          </w:p>
        </w:tc>
        <w:tc>
          <w:tcPr>
            <w:tcW w:type="dxa" w:w="6048"/>
          </w:tcPr>
          <w:p>
            <w:pPr>
              <w:spacing w:after="40"/>
            </w:pPr>
            <w:r>
              <w:rPr>
                <w:sz w:val="19"/>
              </w:rPr>
              <w:t>PT Pertamina Patra Niaga (initial deployment site: Refinery Unit IV, Cilacap)</w:t>
            </w:r>
          </w:p>
        </w:tc>
      </w:tr>
      <w:tr>
        <w:tc>
          <w:tcPr>
            <w:tcW w:type="dxa" w:w="3312"/>
          </w:tcPr>
          <w:p>
            <w:pPr>
              <w:spacing w:after="40"/>
            </w:pPr>
            <w:r>
              <w:rPr>
                <w:sz w:val="19"/>
              </w:rPr>
              <w:t>Primary function</w:t>
            </w:r>
          </w:p>
        </w:tc>
        <w:tc>
          <w:tcPr>
            <w:tcW w:type="dxa" w:w="6048"/>
          </w:tcPr>
          <w:p>
            <w:pPr>
              <w:spacing w:after="40"/>
            </w:pPr>
            <w:r>
              <w:rPr>
                <w:sz w:val="19"/>
              </w:rPr>
              <w:t>Acquisition of 8-channel gas sensor data and LoRa transmission</w:t>
            </w:r>
          </w:p>
        </w:tc>
      </w:tr>
      <w:tr>
        <w:tc>
          <w:tcPr>
            <w:tcW w:type="dxa" w:w="3312"/>
          </w:tcPr>
          <w:p>
            <w:pPr>
              <w:spacing w:after="40"/>
            </w:pPr>
            <w:r>
              <w:rPr>
                <w:sz w:val="19"/>
              </w:rPr>
              <w:t>Microcontroller</w:t>
            </w:r>
          </w:p>
        </w:tc>
        <w:tc>
          <w:tcPr>
            <w:tcW w:type="dxa" w:w="6048"/>
          </w:tcPr>
          <w:p>
            <w:pPr>
              <w:spacing w:after="40"/>
            </w:pPr>
            <w:r>
              <w:rPr>
                <w:sz w:val="19"/>
              </w:rPr>
              <w:t>ESP32-S3-WROOM-1U-N16R8</w:t>
            </w:r>
          </w:p>
        </w:tc>
      </w:tr>
      <w:tr>
        <w:tc>
          <w:tcPr>
            <w:tcW w:type="dxa" w:w="3312"/>
          </w:tcPr>
          <w:p>
            <w:pPr>
              <w:spacing w:after="40"/>
            </w:pPr>
            <w:r>
              <w:rPr>
                <w:sz w:val="19"/>
              </w:rPr>
              <w:t>LoRa radio module</w:t>
            </w:r>
          </w:p>
        </w:tc>
        <w:tc>
          <w:tcPr>
            <w:tcW w:type="dxa" w:w="6048"/>
          </w:tcPr>
          <w:p>
            <w:pPr>
              <w:spacing w:after="40"/>
            </w:pPr>
            <w:r>
              <w:rPr>
                <w:sz w:val="19"/>
              </w:rPr>
              <w:t>E22-900MM22S</w:t>
            </w:r>
          </w:p>
        </w:tc>
      </w:tr>
      <w:tr>
        <w:tc>
          <w:tcPr>
            <w:tcW w:type="dxa" w:w="3312"/>
          </w:tcPr>
          <w:p>
            <w:pPr>
              <w:spacing w:after="40"/>
            </w:pPr>
            <w:r>
              <w:rPr>
                <w:sz w:val="19"/>
              </w:rPr>
              <w:t>Dimensions (L×W×H)</w:t>
            </w:r>
          </w:p>
        </w:tc>
        <w:tc>
          <w:tcPr>
            <w:tcW w:type="dxa" w:w="6048"/>
          </w:tcPr>
          <w:p>
            <w:pPr>
              <w:spacing w:after="40"/>
            </w:pPr>
            <w:r>
              <w:rPr>
                <w:sz w:val="19"/>
              </w:rPr>
              <w:t>200 × 90 × 290 mm</w:t>
            </w:r>
          </w:p>
        </w:tc>
      </w:tr>
      <w:tr>
        <w:tc>
          <w:tcPr>
            <w:tcW w:type="dxa" w:w="3312"/>
          </w:tcPr>
          <w:p>
            <w:pPr>
              <w:spacing w:after="40"/>
            </w:pPr>
            <w:r>
              <w:rPr>
                <w:sz w:val="19"/>
              </w:rPr>
              <w:t>Enclosure material</w:t>
            </w:r>
          </w:p>
        </w:tc>
        <w:tc>
          <w:tcPr>
            <w:tcW w:type="dxa" w:w="6048"/>
          </w:tcPr>
          <w:p>
            <w:pPr>
              <w:spacing w:after="40"/>
            </w:pPr>
            <w:r>
              <w:rPr>
                <w:sz w:val="19"/>
              </w:rPr>
              <w:t>Aluminum alloy (ADC12 die-cast) + stainless steel</w:t>
            </w:r>
          </w:p>
        </w:tc>
      </w:tr>
    </w:tbl>
    <w:p>
      <w:pPr>
        <w:spacing w:after="120"/>
      </w:pPr>
    </w:p>
    <w:p>
      <w:pPr>
        <w:pStyle w:val="Heading2"/>
      </w:pPr>
      <w:r>
        <w:t>2.3 · Complete and Clear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or immediately (event-driven) when an alarm condition is detected. Gas alarms are triggered through two parallel channels: a local visual/audible alarm module on the unit itself, and a push notification transmitted over the LoRa network to the dashboard.</w:t>
      </w:r>
    </w:p>
    <w:p>
      <w:pPr>
        <w:spacing w:after="60"/>
      </w:pPr>
      <w:r>
        <w:rPr>
          <w:b/>
          <w:i w:val="0"/>
          <w:sz w:val="21"/>
        </w:rPr>
        <w:t>Electrical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Input voltage</w:t>
            </w:r>
          </w:p>
        </w:tc>
        <w:tc>
          <w:tcPr>
            <w:tcW w:type="dxa" w:w="6048"/>
          </w:tcPr>
          <w:p>
            <w:pPr>
              <w:spacing w:after="40"/>
            </w:pPr>
            <w:r>
              <w:rPr>
                <w:sz w:val="19"/>
              </w:rPr>
              <w:t>24 VDC (continuous)</w:t>
            </w:r>
          </w:p>
        </w:tc>
      </w:tr>
      <w:tr>
        <w:tc>
          <w:tcPr>
            <w:tcW w:type="dxa" w:w="3312"/>
          </w:tcPr>
          <w:p>
            <w:pPr>
              <w:spacing w:after="40"/>
            </w:pPr>
            <w:r>
              <w:rPr>
                <w:sz w:val="19"/>
              </w:rPr>
              <w:t>Source adapter (if AC-fed)</w:t>
            </w:r>
          </w:p>
        </w:tc>
        <w:tc>
          <w:tcPr>
            <w:tcW w:type="dxa" w:w="6048"/>
          </w:tcPr>
          <w:p>
            <w:pPr>
              <w:spacing w:after="40"/>
            </w:pPr>
            <w:r>
              <w:rPr>
                <w:sz w:val="19"/>
              </w:rPr>
              <w:t>220 VAC / 50 Hz input → 24 VDC output</w:t>
            </w:r>
          </w:p>
        </w:tc>
      </w:tr>
      <w:tr>
        <w:tc>
          <w:tcPr>
            <w:tcW w:type="dxa" w:w="3312"/>
          </w:tcPr>
          <w:p>
            <w:pPr>
              <w:spacing w:after="40"/>
            </w:pPr>
            <w:r>
              <w:rPr>
                <w:sz w:val="19"/>
              </w:rPr>
              <w:t>Internal voltage rails</w:t>
            </w:r>
          </w:p>
        </w:tc>
        <w:tc>
          <w:tcPr>
            <w:tcW w:type="dxa" w:w="6048"/>
          </w:tcPr>
          <w:p>
            <w:pPr>
              <w:spacing w:after="40"/>
            </w:pPr>
            <w:r>
              <w:rPr>
                <w:sz w:val="19"/>
              </w:rPr>
              <w:t>5 VDC (sensor/heater circuitry), 3.3 VDC (ESP32-S3 logic)</w:t>
            </w:r>
          </w:p>
        </w:tc>
      </w:tr>
      <w:tr>
        <w:tc>
          <w:tcPr>
            <w:tcW w:type="dxa" w:w="3312"/>
          </w:tcPr>
          <w:p>
            <w:pPr>
              <w:spacing w:after="40"/>
            </w:pPr>
            <w:r>
              <w:rPr>
                <w:sz w:val="19"/>
              </w:rPr>
              <w:t>Measured power consumption</w:t>
            </w:r>
          </w:p>
        </w:tc>
        <w:tc>
          <w:tcPr>
            <w:tcW w:type="dxa" w:w="6048"/>
          </w:tcPr>
          <w:p>
            <w:pPr>
              <w:spacing w:after="40"/>
            </w:pPr>
            <w:r>
              <w:rPr>
                <w:sz w:val="19"/>
              </w:rPr>
              <w:t>8 W @ 24 VDC (≈ 0.33 A) — production configuration</w:t>
            </w:r>
          </w:p>
        </w:tc>
      </w:tr>
      <w:tr>
        <w:tc>
          <w:tcPr>
            <w:tcW w:type="dxa" w:w="3312"/>
          </w:tcPr>
          <w:p>
            <w:pPr>
              <w:spacing w:after="40"/>
            </w:pPr>
            <w:r>
              <w:rPr>
                <w:sz w:val="19"/>
              </w:rPr>
              <w:t>Cable/PSU sizing margin</w:t>
            </w:r>
          </w:p>
        </w:tc>
        <w:tc>
          <w:tcPr>
            <w:tcW w:type="dxa" w:w="6048"/>
          </w:tcPr>
          <w:p>
            <w:pPr>
              <w:spacing w:after="40"/>
            </w:pPr>
            <w:r>
              <w:rPr>
                <w:sz w:val="19"/>
              </w:rPr>
              <w:t>≥ 1 A per unit (sizing margin only; actual draw is well below this)</w:t>
            </w:r>
          </w:p>
        </w:tc>
      </w:tr>
      <w:tr>
        <w:tc>
          <w:tcPr>
            <w:tcW w:type="dxa" w:w="3312"/>
          </w:tcPr>
          <w:p>
            <w:pPr>
              <w:spacing w:after="40"/>
            </w:pPr>
            <w:r>
              <w:rPr>
                <w:sz w:val="19"/>
              </w:rPr>
              <w:t>Power cable</w:t>
            </w:r>
          </w:p>
        </w:tc>
        <w:tc>
          <w:tcPr>
            <w:tcW w:type="dxa" w:w="6048"/>
          </w:tcPr>
          <w:p>
            <w:pPr>
              <w:spacing w:after="40"/>
            </w:pPr>
            <w:r>
              <w:rPr>
                <w:sz w:val="19"/>
              </w:rPr>
              <w:t>2-conductor, labeled L+/L− (positive/negative of the 24 VDC supply), each conductor ≈ 0.75 mm diameter</w:t>
            </w:r>
          </w:p>
        </w:tc>
      </w:tr>
      <w:tr>
        <w:tc>
          <w:tcPr>
            <w:tcW w:type="dxa" w:w="3312"/>
          </w:tcPr>
          <w:p>
            <w:pPr>
              <w:spacing w:after="40"/>
            </w:pPr>
            <w:r>
              <w:rPr>
                <w:sz w:val="19"/>
              </w:rPr>
              <w:t>Electrical protection</w:t>
            </w:r>
          </w:p>
        </w:tc>
        <w:tc>
          <w:tcPr>
            <w:tcW w:type="dxa" w:w="6048"/>
          </w:tcPr>
          <w:p>
            <w:pPr>
              <w:spacing w:after="40"/>
            </w:pPr>
            <w:r>
              <w:rPr>
                <w:sz w:val="19"/>
              </w:rPr>
              <w:t>Resettable PPTC fuses (F1/F2), TVS/ESD suppression diodes, Schottky diodes on power rails</w:t>
            </w:r>
          </w:p>
        </w:tc>
      </w:tr>
    </w:tbl>
    <w:p>
      <w:pPr>
        <w:spacing w:after="120"/>
      </w:pPr>
    </w:p>
    <w:p>
      <w:pPr>
        <w:spacing w:after="60"/>
      </w:pPr>
      <w:r>
        <w:rPr>
          <w:b/>
          <w:i w:val="0"/>
          <w:sz w:val="21"/>
        </w:rPr>
        <w:t>Sensor and Communication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Gas sensor array</w:t>
            </w:r>
          </w:p>
        </w:tc>
        <w:tc>
          <w:tcPr>
            <w:tcW w:type="dxa" w:w="6048"/>
          </w:tcPr>
          <w:p>
            <w:pPr>
              <w:spacing w:after="40"/>
            </w:pPr>
            <w:r>
              <w:rPr>
                <w:sz w:val="19"/>
              </w:rPr>
              <w:t>8 channels, metal-oxide (MQ-2, MQ-3B, MQ-4, MQ-5, MQ-6, MQ-7B, MQ-8, MQ-135)</w:t>
            </w:r>
          </w:p>
        </w:tc>
      </w:tr>
      <w:tr>
        <w:tc>
          <w:tcPr>
            <w:tcW w:type="dxa" w:w="3312"/>
          </w:tcPr>
          <w:p>
            <w:pPr>
              <w:spacing w:after="40"/>
            </w:pPr>
            <w:r>
              <w:rPr>
                <w:sz w:val="19"/>
              </w:rPr>
              <w:t>Signal acquisition</w:t>
            </w:r>
          </w:p>
        </w:tc>
        <w:tc>
          <w:tcPr>
            <w:tcW w:type="dxa" w:w="6048"/>
          </w:tcPr>
          <w:p>
            <w:pPr>
              <w:spacing w:after="40"/>
            </w:pPr>
            <w:r>
              <w:rPr>
                <w:sz w:val="19"/>
              </w:rPr>
              <w:t>24-bit multi-channel ADC (ADS1256IDBR, 30,000 SPS), 500 ms scan interval</w:t>
            </w:r>
          </w:p>
        </w:tc>
      </w:tr>
      <w:tr>
        <w:tc>
          <w:tcPr>
            <w:tcW w:type="dxa" w:w="3312"/>
          </w:tcPr>
          <w:p>
            <w:pPr>
              <w:spacing w:after="40"/>
            </w:pPr>
            <w:r>
              <w:rPr>
                <w:sz w:val="19"/>
              </w:rPr>
              <w:t>AI gas-classification model</w:t>
            </w:r>
          </w:p>
        </w:tc>
        <w:tc>
          <w:tcPr>
            <w:tcW w:type="dxa" w:w="6048"/>
          </w:tcPr>
          <w:p>
            <w:pPr>
              <w:spacing w:after="40"/>
            </w:pPr>
            <w:r>
              <w:rPr>
                <w:sz w:val="19"/>
              </w:rPr>
              <w:t>On-device classifier — 3 classes: Clean Air, LPG, H₂; alarm at confidence ≥ 30%. Does not yet cover CO₂, Benzene, CO, or H₂S</w:t>
            </w:r>
          </w:p>
        </w:tc>
      </w:tr>
      <w:tr>
        <w:tc>
          <w:tcPr>
            <w:tcW w:type="dxa" w:w="3312"/>
          </w:tcPr>
          <w:p>
            <w:pPr>
              <w:spacing w:after="40"/>
            </w:pPr>
            <w:r>
              <w:rPr>
                <w:sz w:val="19"/>
              </w:rPr>
              <w:t>Temperature/humidity telemetry</w:t>
            </w:r>
          </w:p>
        </w:tc>
        <w:tc>
          <w:tcPr>
            <w:tcW w:type="dxa" w:w="6048"/>
          </w:tcPr>
          <w:p>
            <w:pPr>
              <w:spacing w:after="40"/>
            </w:pPr>
            <w:r>
              <w:rPr>
                <w:sz w:val="19"/>
              </w:rPr>
              <w:t>SHT40 sensor (auxiliary)</w:t>
            </w:r>
          </w:p>
        </w:tc>
      </w:tr>
      <w:tr>
        <w:tc>
          <w:tcPr>
            <w:tcW w:type="dxa" w:w="3312"/>
          </w:tcPr>
          <w:p>
            <w:pPr>
              <w:spacing w:after="40"/>
            </w:pPr>
            <w:r>
              <w:rPr>
                <w:sz w:val="19"/>
              </w:rPr>
              <w:t>LoRa radio</w:t>
            </w:r>
          </w:p>
        </w:tc>
        <w:tc>
          <w:tcPr>
            <w:tcW w:type="dxa" w:w="6048"/>
          </w:tcPr>
          <w:p>
            <w:pPr>
              <w:spacing w:after="40"/>
            </w:pPr>
            <w:r>
              <w:rPr>
                <w:sz w:val="19"/>
              </w:rPr>
              <w:t>E22-900MM22S, star-topology transmission, 920–923 MHz ISM band (Indonesia)</w:t>
            </w:r>
          </w:p>
        </w:tc>
      </w:tr>
      <w:tr>
        <w:tc>
          <w:tcPr>
            <w:tcW w:type="dxa" w:w="3312"/>
          </w:tcPr>
          <w:p>
            <w:pPr>
              <w:spacing w:after="40"/>
            </w:pPr>
            <w:r>
              <w:rPr>
                <w:sz w:val="19"/>
              </w:rPr>
              <w:t>Data transmission interval</w:t>
            </w:r>
          </w:p>
        </w:tc>
        <w:tc>
          <w:tcPr>
            <w:tcW w:type="dxa" w:w="6048"/>
          </w:tcPr>
          <w:p>
            <w:pPr>
              <w:spacing w:after="40"/>
            </w:pPr>
            <w:r>
              <w:rPr>
                <w:sz w:val="19"/>
              </w:rPr>
              <w:t>Configurable, default 10 s; alarm events transmitted immediately</w:t>
            </w:r>
          </w:p>
        </w:tc>
      </w:tr>
      <w:tr>
        <w:tc>
          <w:tcPr>
            <w:tcW w:type="dxa" w:w="3312"/>
          </w:tcPr>
          <w:p>
            <w:pPr>
              <w:spacing w:after="40"/>
            </w:pPr>
            <w:r>
              <w:rPr>
                <w:sz w:val="19"/>
              </w:rPr>
              <w:t>RS-485 / Modbus interface</w:t>
            </w:r>
          </w:p>
        </w:tc>
        <w:tc>
          <w:tcPr>
            <w:tcW w:type="dxa" w:w="6048"/>
          </w:tcPr>
          <w:p>
            <w:pPr>
              <w:spacing w:after="40"/>
            </w:pPr>
            <w:r>
              <w:rPr>
                <w:sz w:val="19"/>
              </w:rPr>
              <w:t>Read-only Modbus RTU slave, 9600 bit/s 8N1, Unit ID 1 (THVD1410DR) — 8 read-only registers for external integration; not used for product control</w:t>
            </w:r>
          </w:p>
        </w:tc>
      </w:tr>
    </w:tbl>
    <w:p>
      <w:pPr>
        <w:spacing w:after="120"/>
      </w:pPr>
    </w:p>
    <w:p>
      <w:pPr>
        <w:spacing w:after="60"/>
      </w:pPr>
      <w:r>
        <w:rPr>
          <w:b/>
          <w:i w:val="0"/>
          <w:sz w:val="21"/>
        </w:rPr>
        <w:t>Mechanical Parameters:</w:t>
      </w:r>
    </w:p>
    <w:tbl>
      <w:tblPr>
        <w:tblStyle w:val="TableGrid"/>
        <w:tblW w:type="auto" w:w="0"/>
        <w:jc w:val="center"/>
        <w:tblLook w:firstColumn="1" w:firstRow="1" w:lastColumn="0" w:lastRow="0" w:noHBand="0" w:noVBand="1" w:val="04A0"/>
      </w:tblPr>
      <w:tblGrid>
        <w:gridCol w:w="3249"/>
        <w:gridCol w:w="3249"/>
        <w:gridCol w:w="3249"/>
      </w:tblGrid>
      <w:tr>
        <w:tc>
          <w:tcPr>
            <w:tcW w:type="dxa" w:w="3024"/>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Specification</w:t>
            </w:r>
          </w:p>
        </w:tc>
        <w:tc>
          <w:tcPr>
            <w:tcW w:type="dxa" w:w="2160"/>
            <w:shd w:val="clear" w:color="auto" w:fill="EFEFEF"/>
          </w:tcPr>
          <w:p>
            <w:pPr>
              <w:spacing w:after="40"/>
            </w:pPr>
            <w:r>
              <w:rPr>
                <w:b/>
                <w:color w:val="4A4A4A"/>
                <w:sz w:val="18"/>
              </w:rPr>
              <w:t>Status</w:t>
            </w:r>
          </w:p>
        </w:tc>
      </w:tr>
      <w:tr>
        <w:tc>
          <w:tcPr>
            <w:tcW w:type="dxa" w:w="3024"/>
          </w:tcPr>
          <w:p>
            <w:pPr>
              <w:spacing w:after="40"/>
            </w:pPr>
            <w:r>
              <w:rPr>
                <w:sz w:val="19"/>
              </w:rPr>
              <w:t>Dimensions (L×W×H)</w:t>
            </w:r>
          </w:p>
        </w:tc>
        <w:tc>
          <w:tcPr>
            <w:tcW w:type="dxa" w:w="4176"/>
          </w:tcPr>
          <w:p>
            <w:pPr>
              <w:spacing w:after="40"/>
            </w:pPr>
            <w:r>
              <w:rPr>
                <w:sz w:val="19"/>
              </w:rPr>
              <w:t>200 × 90 × 290 mm</w:t>
            </w:r>
          </w:p>
        </w:tc>
        <w:tc>
          <w:tcPr>
            <w:tcW w:type="dxa" w:w="2160"/>
          </w:tcPr>
          <w:p>
            <w:pPr>
              <w:spacing w:after="40"/>
            </w:pPr>
            <w:r>
              <w:rPr>
                <w:sz w:val="19"/>
              </w:rPr>
              <w:t>Final</w:t>
            </w:r>
          </w:p>
        </w:tc>
      </w:tr>
      <w:tr>
        <w:tc>
          <w:tcPr>
            <w:tcW w:type="dxa" w:w="3024"/>
          </w:tcPr>
          <w:p>
            <w:pPr>
              <w:spacing w:after="40"/>
            </w:pPr>
            <w:r>
              <w:rPr>
                <w:sz w:val="19"/>
              </w:rPr>
              <w:t>Total weight</w:t>
            </w:r>
          </w:p>
        </w:tc>
        <w:tc>
          <w:tcPr>
            <w:tcW w:type="dxa" w:w="4176"/>
          </w:tcPr>
          <w:p>
            <w:pPr>
              <w:spacing w:after="40"/>
            </w:pPr>
            <w:r>
              <w:rPr>
                <w:sz w:val="19"/>
              </w:rPr>
              <w:t>2.378 kg</w:t>
            </w:r>
          </w:p>
        </w:tc>
        <w:tc>
          <w:tcPr>
            <w:tcW w:type="dxa" w:w="2160"/>
          </w:tcPr>
          <w:p>
            <w:pPr>
              <w:spacing w:after="40"/>
            </w:pPr>
            <w:r>
              <w:rPr>
                <w:sz w:val="19"/>
              </w:rPr>
              <w:t>Final (project-confirmed, not yet calibration-verified)</w:t>
            </w:r>
          </w:p>
        </w:tc>
      </w:tr>
      <w:tr>
        <w:tc>
          <w:tcPr>
            <w:tcW w:type="dxa" w:w="3024"/>
          </w:tcPr>
          <w:p>
            <w:pPr>
              <w:spacing w:after="40"/>
            </w:pPr>
            <w:r>
              <w:rPr>
                <w:sz w:val="19"/>
              </w:rPr>
              <w:t>Enclosure material</w:t>
            </w:r>
          </w:p>
        </w:tc>
        <w:tc>
          <w:tcPr>
            <w:tcW w:type="dxa" w:w="4176"/>
          </w:tcPr>
          <w:p>
            <w:pPr>
              <w:spacing w:after="40"/>
            </w:pPr>
            <w:r>
              <w:rPr>
                <w:sz w:val="19"/>
              </w:rPr>
              <w:t>Aluminum alloy (ADC12 die-cast) + stainless steel</w:t>
            </w:r>
          </w:p>
        </w:tc>
        <w:tc>
          <w:tcPr>
            <w:tcW w:type="dxa" w:w="2160"/>
          </w:tcPr>
          <w:p>
            <w:pPr>
              <w:spacing w:after="40"/>
            </w:pPr>
            <w:r>
              <w:rPr>
                <w:sz w:val="19"/>
              </w:rPr>
              <w:t>Final (see caveat below)</w:t>
            </w:r>
          </w:p>
        </w:tc>
      </w:tr>
      <w:tr>
        <w:tc>
          <w:tcPr>
            <w:tcW w:type="dxa" w:w="3024"/>
          </w:tcPr>
          <w:p>
            <w:pPr>
              <w:spacing w:after="40"/>
            </w:pPr>
            <w:r>
              <w:rPr>
                <w:sz w:val="19"/>
              </w:rPr>
              <w:t>Mounting method</w:t>
            </w:r>
          </w:p>
        </w:tc>
        <w:tc>
          <w:tcPr>
            <w:tcW w:type="dxa" w:w="4176"/>
          </w:tcPr>
          <w:p>
            <w:pPr>
              <w:spacing w:after="40"/>
            </w:pPr>
            <w:r>
              <w:rPr>
                <w:sz w:val="19"/>
              </w:rPr>
              <w:t>U-bolt mounting plate (2″/DN50), no drilling/welding</w:t>
            </w:r>
          </w:p>
        </w:tc>
        <w:tc>
          <w:tcPr>
            <w:tcW w:type="dxa" w:w="2160"/>
          </w:tcPr>
          <w:p>
            <w:pPr>
              <w:spacing w:after="40"/>
            </w:pPr>
            <w:r>
              <w:rPr>
                <w:sz w:val="19"/>
              </w:rPr>
              <w:t>Final</w:t>
            </w:r>
          </w:p>
        </w:tc>
      </w:tr>
      <w:tr>
        <w:tc>
          <w:tcPr>
            <w:tcW w:type="dxa" w:w="3024"/>
          </w:tcPr>
          <w:p>
            <w:pPr>
              <w:spacing w:after="40"/>
            </w:pPr>
            <w:r>
              <w:rPr>
                <w:sz w:val="19"/>
              </w:rPr>
              <w:t>Ingress protection (IP rating)</w:t>
            </w:r>
          </w:p>
        </w:tc>
        <w:tc>
          <w:tcPr>
            <w:tcW w:type="dxa" w:w="4176"/>
          </w:tcPr>
          <w:p>
            <w:pPr>
              <w:spacing w:after="40"/>
            </w:pPr>
            <w:r>
              <w:rPr>
                <w:sz w:val="19"/>
              </w:rPr>
              <w:t>IP66</w:t>
            </w:r>
          </w:p>
        </w:tc>
        <w:tc>
          <w:tcPr>
            <w:tcW w:type="dxa" w:w="2160"/>
          </w:tcPr>
          <w:p>
            <w:pPr>
              <w:spacing w:after="40"/>
            </w:pPr>
            <w:r>
              <w:rPr>
                <w:sz w:val="19"/>
              </w:rPr>
              <w:t>Final</w:t>
            </w:r>
          </w:p>
        </w:tc>
      </w:tr>
      <w:tr>
        <w:tc>
          <w:tcPr>
            <w:tcW w:type="dxa" w:w="3024"/>
          </w:tcPr>
          <w:p>
            <w:pPr>
              <w:spacing w:after="40"/>
            </w:pPr>
            <w:r>
              <w:rPr>
                <w:sz w:val="19"/>
              </w:rPr>
              <w:t>Cable entry (gland)</w:t>
            </w:r>
          </w:p>
        </w:tc>
        <w:tc>
          <w:tcPr>
            <w:tcW w:type="dxa" w:w="4176"/>
          </w:tcPr>
          <w:p>
            <w:pPr>
              <w:spacing w:after="40"/>
            </w:pPr>
            <w:r>
              <w:rPr>
                <w:sz w:val="19"/>
              </w:rPr>
              <w:t>M20×1.5 cable gland (IP66-rated), power cable L+/L−, ≈ 0.75 mm/conductor</w:t>
            </w:r>
          </w:p>
        </w:tc>
        <w:tc>
          <w:tcPr>
            <w:tcW w:type="dxa" w:w="2160"/>
          </w:tcPr>
          <w:p>
            <w:pPr>
              <w:spacing w:after="40"/>
            </w:pPr>
            <w:r>
              <w:rPr>
                <w:sz w:val="19"/>
              </w:rPr>
              <w:t>Final (see note below)</w:t>
            </w:r>
          </w:p>
        </w:tc>
      </w:tr>
      <w:tr>
        <w:tc>
          <w:tcPr>
            <w:tcW w:type="dxa" w:w="3024"/>
          </w:tcPr>
          <w:p>
            <w:pPr>
              <w:spacing w:after="40"/>
            </w:pPr>
            <w:r>
              <w:rPr>
                <w:sz w:val="19"/>
              </w:rPr>
              <w:t>Antenna mounting</w:t>
            </w:r>
          </w:p>
        </w:tc>
        <w:tc>
          <w:tcPr>
            <w:tcW w:type="dxa" w:w="4176"/>
          </w:tcPr>
          <w:p>
            <w:pPr>
              <w:spacing w:after="40"/>
            </w:pPr>
            <w:r>
              <w:rPr>
                <w:sz w:val="19"/>
              </w:rPr>
              <w:t>External, SMA male connector</w:t>
            </w:r>
          </w:p>
        </w:tc>
        <w:tc>
          <w:tcPr>
            <w:tcW w:type="dxa" w:w="2160"/>
          </w:tcPr>
          <w:p>
            <w:pPr>
              <w:spacing w:after="40"/>
            </w:pPr>
            <w:r>
              <w:rPr>
                <w:sz w:val="19"/>
              </w:rPr>
              <w:t>Final</w:t>
            </w:r>
          </w:p>
        </w:tc>
      </w:tr>
      <w:tr>
        <w:tc>
          <w:tcPr>
            <w:tcW w:type="dxa" w:w="3024"/>
          </w:tcPr>
          <w:p>
            <w:pPr>
              <w:spacing w:after="40"/>
            </w:pPr>
            <w:r>
              <w:rPr>
                <w:sz w:val="19"/>
              </w:rPr>
              <w:t>Operating temperature range</w:t>
            </w:r>
          </w:p>
        </w:tc>
        <w:tc>
          <w:tcPr>
            <w:tcW w:type="dxa" w:w="4176"/>
          </w:tcPr>
          <w:p>
            <w:pPr>
              <w:spacing w:after="40"/>
            </w:pPr>
            <w:r>
              <w:rPr>
                <w:sz w:val="19"/>
              </w:rPr>
              <w:t>−20°C to +60°C (ambient)</w:t>
            </w:r>
          </w:p>
        </w:tc>
        <w:tc>
          <w:tcPr>
            <w:tcW w:type="dxa" w:w="2160"/>
          </w:tcPr>
          <w:p>
            <w:pPr>
              <w:spacing w:after="40"/>
            </w:pPr>
            <w:r>
              <w:rPr>
                <w:sz w:val="19"/>
              </w:rPr>
              <w:t>Final (project-confirmed)</w:t>
            </w:r>
          </w:p>
        </w:tc>
      </w:tr>
      <w:tr>
        <w:tc>
          <w:tcPr>
            <w:tcW w:type="dxa" w:w="3024"/>
          </w:tcPr>
          <w:p>
            <w:pPr>
              <w:spacing w:after="40"/>
            </w:pPr>
            <w:r>
              <w:rPr>
                <w:sz w:val="19"/>
              </w:rPr>
              <w:t>Operating humidity range</w:t>
            </w:r>
          </w:p>
        </w:tc>
        <w:tc>
          <w:tcPr>
            <w:tcW w:type="dxa" w:w="4176"/>
          </w:tcPr>
          <w:p>
            <w:pPr>
              <w:spacing w:after="40"/>
            </w:pPr>
            <w:r>
              <w:rPr>
                <w:sz w:val="19"/>
              </w:rPr>
              <w:t>5–95% RH, non-condensing</w:t>
            </w:r>
          </w:p>
        </w:tc>
        <w:tc>
          <w:tcPr>
            <w:tcW w:type="dxa" w:w="2160"/>
          </w:tcPr>
          <w:p>
            <w:pPr>
              <w:spacing w:after="40"/>
            </w:pPr>
            <w:r>
              <w:rPr>
                <w:sz w:val="19"/>
              </w:rPr>
              <w:t>Final (project-confirmed)</w:t>
            </w:r>
          </w:p>
        </w:tc>
      </w:tr>
    </w:tbl>
    <w:p>
      <w:pPr>
        <w:spacing w:after="12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the ADC12 enclosure grade. ADC12 is the material called out on a Chinese enclosure-component manufacturer's drawing for a related die-cast sub-component (“Universal Base,” part no. BP18-1Z, from the same casing-partner supply chain — Section 2.6.a); the “GLD ATEX CASE v3” drawing of the main enclosure body itself does not carry its own material callout. ADC12 has been confirmed as the enclosure grade on the basis that the same casing manufacturer's die-cast product line uses this alloy consistently — an extrapolation from the supplier's sub-component drawing, not a direct material callout on the main enclosure drawing. This should be verified against the casing partner's own datasheet for the enclosure body before formal ExCB submission.</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cable gland. M20×1.5 matches the thread size used on the BP18-1Z reference drawing from the same casing manufacturer (Section 2.6.a) and is a standard, IP66-rated gland size well suited to a 2-conductor cable with ≈0.75 mm conductors — selected by engineering judgment from that reference, not from an independent gland datasheet or fit test on GLD's own enclosure. This should be confirmed by test/fit-check before formal ExCB submission. The operating temperature and humidity ranges above are current project-specification values (24 Sep 2026), not yet documented against a calibrated test record.</w:t>
            </w:r>
          </w:p>
        </w:tc>
      </w:tr>
    </w:tbl>
    <w:p>
      <w:pPr>
        <w:spacing w:after="80"/>
      </w:pPr>
    </w:p>
    <w:p>
      <w:pPr>
        <w:spacing w:after="160"/>
      </w:pPr>
      <w:r>
        <w:rPr>
          <w:b w:val="0"/>
          <w:i w:val="0"/>
          <w:sz w:val="21"/>
        </w:rPr>
        <w:t>Three operating modes are distinguished at firmware level:</w:t>
      </w:r>
    </w:p>
    <w:tbl>
      <w:tblPr>
        <w:tblStyle w:val="TableGrid"/>
        <w:tblW w:type="auto" w:w="0"/>
        <w:jc w:val="center"/>
        <w:tblLook w:firstColumn="1" w:firstRow="1" w:lastColumn="0" w:lastRow="0" w:noHBand="0" w:noVBand="1" w:val="04A0"/>
      </w:tblPr>
      <w:tblGrid>
        <w:gridCol w:w="3249"/>
        <w:gridCol w:w="3249"/>
        <w:gridCol w:w="3249"/>
      </w:tblGrid>
      <w:tr>
        <w:tc>
          <w:tcPr>
            <w:tcW w:type="dxa" w:w="1872"/>
            <w:shd w:val="clear" w:color="auto" w:fill="EFEFEF"/>
          </w:tcPr>
          <w:p>
            <w:pPr>
              <w:spacing w:after="40"/>
            </w:pPr>
            <w:r>
              <w:rPr>
                <w:b/>
                <w:color w:val="4A4A4A"/>
                <w:sz w:val="18"/>
              </w:rPr>
              <w:t>Mode</w:t>
            </w:r>
          </w:p>
        </w:tc>
        <w:tc>
          <w:tcPr>
            <w:tcW w:type="dxa" w:w="4464"/>
            <w:shd w:val="clear" w:color="auto" w:fill="EFEFEF"/>
          </w:tcPr>
          <w:p>
            <w:pPr>
              <w:spacing w:after="40"/>
            </w:pPr>
            <w:r>
              <w:rPr>
                <w:b/>
                <w:color w:val="4A4A4A"/>
                <w:sz w:val="18"/>
              </w:rPr>
              <w:t>Purpose</w:t>
            </w:r>
          </w:p>
        </w:tc>
        <w:tc>
          <w:tcPr>
            <w:tcW w:type="dxa" w:w="3312"/>
            <w:shd w:val="clear" w:color="auto" w:fill="EFEFEF"/>
          </w:tcPr>
          <w:p>
            <w:pPr>
              <w:spacing w:after="40"/>
            </w:pPr>
            <w:r>
              <w:rPr>
                <w:b/>
                <w:color w:val="4A4A4A"/>
                <w:sz w:val="18"/>
              </w:rPr>
              <w:t>Use restriction</w:t>
            </w:r>
          </w:p>
        </w:tc>
      </w:tr>
      <w:tr>
        <w:tc>
          <w:tcPr>
            <w:tcW w:type="dxa" w:w="1872"/>
          </w:tcPr>
          <w:p>
            <w:pPr>
              <w:spacing w:after="40"/>
            </w:pPr>
            <w:r>
              <w:rPr>
                <w:sz w:val="19"/>
              </w:rPr>
              <w:t>Inference</w:t>
            </w:r>
          </w:p>
        </w:tc>
        <w:tc>
          <w:tcPr>
            <w:tcW w:type="dxa" w:w="4464"/>
          </w:tcPr>
          <w:p>
            <w:pPr>
              <w:spacing w:after="40"/>
            </w:pPr>
            <w:r>
              <w:rPr>
                <w:sz w:val="19"/>
              </w:rPr>
              <w:t>Normal gas-class inference and alarm operation</w:t>
            </w:r>
          </w:p>
        </w:tc>
        <w:tc>
          <w:tcPr>
            <w:tcW w:type="dxa" w:w="3312"/>
          </w:tcPr>
          <w:p>
            <w:pPr>
              <w:spacing w:after="40"/>
            </w:pPr>
            <w:r>
              <w:rPr>
                <w:sz w:val="19"/>
              </w:rPr>
              <w:t>Production operating mode after commissioning</w:t>
            </w:r>
          </w:p>
        </w:tc>
      </w:tr>
      <w:tr>
        <w:tc>
          <w:tcPr>
            <w:tcW w:type="dxa" w:w="1872"/>
          </w:tcPr>
          <w:p>
            <w:pPr>
              <w:spacing w:after="40"/>
            </w:pPr>
            <w:r>
              <w:rPr>
                <w:sz w:val="19"/>
              </w:rPr>
              <w:t>Dataset</w:t>
            </w:r>
          </w:p>
        </w:tc>
        <w:tc>
          <w:tcPr>
            <w:tcW w:type="dxa" w:w="4464"/>
          </w:tcPr>
          <w:p>
            <w:pPr>
              <w:spacing w:after="40"/>
            </w:pPr>
            <w:r>
              <w:rPr>
                <w:sz w:val="19"/>
              </w:rPr>
              <w:t>Engineering / data-collection activity</w:t>
            </w:r>
          </w:p>
        </w:tc>
        <w:tc>
          <w:tcPr>
            <w:tcW w:type="dxa" w:w="3312"/>
          </w:tcPr>
          <w:p>
            <w:pPr>
              <w:spacing w:after="40"/>
            </w:pPr>
            <w:r>
              <w:rPr>
                <w:sz w:val="19"/>
              </w:rPr>
              <w:t>Not a substitute for approved detection operation</w:t>
            </w:r>
          </w:p>
        </w:tc>
      </w:tr>
      <w:tr>
        <w:tc>
          <w:tcPr>
            <w:tcW w:type="dxa" w:w="1872"/>
          </w:tcPr>
          <w:p>
            <w:pPr>
              <w:spacing w:after="40"/>
            </w:pPr>
            <w:r>
              <w:rPr>
                <w:sz w:val="19"/>
              </w:rPr>
              <w:t>Nulling</w:t>
            </w:r>
          </w:p>
        </w:tc>
        <w:tc>
          <w:tcPr>
            <w:tcW w:type="dxa" w:w="4464"/>
          </w:tcPr>
          <w:p>
            <w:pPr>
              <w:spacing w:after="40"/>
            </w:pPr>
            <w:r>
              <w:rPr>
                <w:sz w:val="19"/>
              </w:rPr>
              <w:t>Sensor baseline / calibration activity</w:t>
            </w:r>
          </w:p>
        </w:tc>
        <w:tc>
          <w:tcPr>
            <w:tcW w:type="dxa" w:w="3312"/>
          </w:tcPr>
          <w:p>
            <w:pPr>
              <w:spacing w:after="40"/>
            </w:pPr>
            <w:r>
              <w:rPr>
                <w:sz w:val="19"/>
              </w:rPr>
              <w:t>Clean air only; approved procedure; requires complete 8/8 result</w:t>
            </w:r>
          </w:p>
        </w:tc>
      </w:tr>
    </w:tbl>
    <w:p>
      <w:pPr>
        <w:spacing w:after="120"/>
      </w:pPr>
    </w:p>
    <w:p>
      <w:pPr>
        <w:pStyle w:val="Heading2"/>
      </w:pPr>
      <w:r>
        <w:t>2.4 · Clear Product Photos (Overall and Key Components)</w:t>
      </w:r>
    </w:p>
    <w:p>
      <w:pPr>
        <w:spacing w:after="160"/>
      </w:pPr>
      <w:r>
        <w:rPr>
          <w:b w:val="0"/>
          <w:i w:val="0"/>
          <w:sz w:val="21"/>
        </w:rPr>
        <w:t>The photographs below were taken directly from the Node Sensor (GLD) V2 prototype unit.</w:t>
      </w:r>
    </w:p>
    <w:p>
      <w:pPr>
        <w:jc w:val="center"/>
      </w:pPr>
      <w:r>
        <w:drawing>
          <wp:inline xmlns:a="http://schemas.openxmlformats.org/drawingml/2006/main" xmlns:pic="http://schemas.openxmlformats.org/drawingml/2006/picture">
            <wp:extent cx="1987074" cy="329184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987074" cy="3291840"/>
                    </a:xfrm>
                    <a:prstGeom prst="rect"/>
                  </pic:spPr>
                </pic:pic>
              </a:graphicData>
            </a:graphic>
          </wp:inline>
        </w:drawing>
      </w:r>
    </w:p>
    <w:p>
      <w:pPr>
        <w:spacing w:after="240"/>
        <w:jc w:val="center"/>
      </w:pPr>
      <w:r>
        <w:rPr>
          <w:i/>
          <w:color w:val="4A4A4A"/>
          <w:sz w:val="17"/>
        </w:rPr>
        <w:t>Assembled unit — motherboard, sensor module, mesh cover, casing, external antenna, and local alarm module.</w:t>
      </w:r>
    </w:p>
    <w:p>
      <w:pPr>
        <w:jc w:val="center"/>
      </w:pPr>
      <w:r>
        <w:drawing>
          <wp:inline xmlns:a="http://schemas.openxmlformats.org/drawingml/2006/main" xmlns:pic="http://schemas.openxmlformats.org/drawingml/2006/picture">
            <wp:extent cx="2468880" cy="329184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2468880" cy="3291840"/>
                    </a:xfrm>
                    <a:prstGeom prst="rect"/>
                  </pic:spPr>
                </pic:pic>
              </a:graphicData>
            </a:graphic>
          </wp:inline>
        </w:drawing>
      </w:r>
    </w:p>
    <w:p>
      <w:pPr>
        <w:spacing w:after="240"/>
        <w:jc w:val="center"/>
      </w:pPr>
      <w:r>
        <w:rPr>
          <w:i/>
          <w:color w:val="4A4A4A"/>
          <w:sz w:val="17"/>
        </w:rPr>
        <w:t>Enclosure, rear view — mounting flange and cable-entry area.</w:t>
      </w: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M-A2 and M-B1…M-B4.</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E3F1E6"/>
          </w:tcPr>
          <w:p>
            <w:pPr>
              <w:spacing w:after="20"/>
            </w:pPr>
            <w:r>
              <w:rPr>
                <w:b/>
                <w:sz w:val="16"/>
              </w:rPr>
              <w:t>Available</w:t>
            </w:r>
          </w:p>
        </w:tc>
        <w:tc>
          <w:tcPr>
            <w:tcW w:type="dxa" w:w="4608"/>
          </w:tcPr>
          <w:p>
            <w:pPr>
              <w:spacing w:after="20"/>
            </w:pPr>
            <w:r>
              <w:rPr>
                <w:sz w:val="16"/>
              </w:rPr>
              <w:t>Figure 4-124: flat top face of the base beside the antenna; marking draft, plate not yet fitted.</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top/bottom renders of main board and PCB cover (Figure 8-11); layout views 2.6.a.8. Photograph of the real board underside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E3F1E6"/>
          </w:tcPr>
          <w:p>
            <w:pPr>
              <w:spacing w:after="20"/>
            </w:pPr>
            <w:r>
              <w:rPr>
                <w:b/>
                <w:sz w:val="16"/>
              </w:rPr>
              <w:t>Available</w:t>
            </w:r>
          </w:p>
        </w:tc>
        <w:tc>
          <w:tcPr>
            <w:tcW w:type="dxa" w:w="4608"/>
          </w:tcPr>
          <w:p>
            <w:pPr>
              <w:spacing w:after="20"/>
            </w:pPr>
            <w:r>
              <w:rPr>
                <w:sz w:val="16"/>
              </w:rPr>
              <w:t>Figures 4-112 (cable gland), 4-110 (beacon entry), 4-119 (blanking plug), 4-125/4-126 (antenna bulkhead outside and inside), 4-127 (cover and entry threads), 4-128–4-137 (caliper and rule measurements of the base, cover and O-ring).</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p>
      <w:pPr>
        <w:pStyle w:val="Heading5"/>
        <w:keepNext/>
        <w:spacing w:before="160" w:after="80"/>
      </w:pPr>
      <w:r>
        <w:rPr>
          <w:rFonts w:ascii="Calibri" w:hAnsi="Calibri"/>
          <w:b/>
          <w:i w:val="0"/>
          <w:color w:val="1B335F"/>
          <w:sz w:val="20"/>
        </w:rPr>
        <w:t>Assembly sequence — base, main board, sensors, fan, alarm, cable entry, cover (Figures 4-101 to 4-117)</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 name="Picture 3"/>
                  <wp:cNvGraphicFramePr>
                    <a:graphicFrameLocks noChangeAspect="1"/>
                  </wp:cNvGraphicFramePr>
                  <a:graphic>
                    <a:graphicData uri="http://schemas.openxmlformats.org/drawingml/2006/picture">
                      <pic:pic>
                        <pic:nvPicPr>
                          <pic:cNvPr id="0" name="IMG_14.02.34.jpg"/>
                          <pic:cNvPicPr/>
                        </pic:nvPicPr>
                        <pic:blipFill>
                          <a:blip r:embed="rId13"/>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4-101. GLD V2 – Base enclosure before assembly.</w:t>
            </w:r>
          </w:p>
          <w:p>
            <w:pPr>
              <w:spacing w:after="160"/>
              <w:jc w:val="center"/>
            </w:pP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4" name="Picture 4"/>
                  <wp:cNvGraphicFramePr>
                    <a:graphicFrameLocks noChangeAspect="1"/>
                  </wp:cNvGraphicFramePr>
                  <a:graphic>
                    <a:graphicData uri="http://schemas.openxmlformats.org/drawingml/2006/picture">
                      <pic:pic>
                        <pic:nvPicPr>
                          <pic:cNvPr id="0" name="IMG_14.03.09.jpg"/>
                          <pic:cNvPicPr/>
                        </pic:nvPicPr>
                        <pic:blipFill>
                          <a:blip r:embed="rId14"/>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4-102. GLD V2 – Main board placed in the base enclosure.</w:t>
            </w:r>
          </w:p>
          <w:p>
            <w:pPr>
              <w:spacing w:after="160"/>
              <w:jc w:val="center"/>
            </w:pP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5" name="Picture 5"/>
                  <wp:cNvGraphicFramePr>
                    <a:graphicFrameLocks noChangeAspect="1"/>
                  </wp:cNvGraphicFramePr>
                  <a:graphic>
                    <a:graphicData uri="http://schemas.openxmlformats.org/drawingml/2006/picture">
                      <pic:pic>
                        <pic:nvPicPr>
                          <pic:cNvPr id="0" name="IMG_14.03.33.jpg"/>
                          <pic:cNvPicPr/>
                        </pic:nvPicPr>
                        <pic:blipFill>
                          <a:blip r:embed="rId15"/>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4-103. GLD V2 – Antenna lead connected to the main board.</w:t>
            </w:r>
          </w:p>
          <w:p>
            <w:pPr>
              <w:spacing w:after="160"/>
              <w:jc w:val="center"/>
            </w:pP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6" name="Picture 6"/>
                  <wp:cNvGraphicFramePr>
                    <a:graphicFrameLocks noChangeAspect="1"/>
                  </wp:cNvGraphicFramePr>
                  <a:graphic>
                    <a:graphicData uri="http://schemas.openxmlformats.org/drawingml/2006/picture">
                      <pic:pic>
                        <pic:nvPicPr>
                          <pic:cNvPr id="0" name="IMG_14.03.58.jpg"/>
                          <pic:cNvPicPr/>
                        </pic:nvPicPr>
                        <pic:blipFill>
                          <a:blip r:embed="rId16"/>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4-104. GLD V2 – PCB cover / terminal board fitted.</w:t>
            </w:r>
          </w:p>
          <w:p>
            <w:pPr>
              <w:spacing w:after="160"/>
              <w:jc w:val="center"/>
            </w:pP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7" name="Picture 7"/>
                  <wp:cNvGraphicFramePr>
                    <a:graphicFrameLocks noChangeAspect="1"/>
                  </wp:cNvGraphicFramePr>
                  <a:graphic>
                    <a:graphicData uri="http://schemas.openxmlformats.org/drawingml/2006/picture">
                      <pic:pic>
                        <pic:nvPicPr>
                          <pic:cNvPr id="0" name="IMG_14.04.17.jpg"/>
                          <pic:cNvPicPr/>
                        </pic:nvPicPr>
                        <pic:blipFill>
                          <a:blip r:embed="rId17"/>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4-105. GLD V2 – Sensor module.</w:t>
            </w:r>
          </w:p>
          <w:p>
            <w:pPr>
              <w:spacing w:after="160"/>
              <w:jc w:val="center"/>
            </w:pP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4.34.jpg"/>
                          <pic:cNvPicPr/>
                        </pic:nvPicPr>
                        <pic:blipFill>
                          <a:blip r:embed="rId18"/>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4-106. GLD V2 – Sensor module being inserted.</w:t>
            </w:r>
          </w:p>
          <w:p>
            <w:pPr>
              <w:spacing w:after="160"/>
              <w:jc w:val="center"/>
            </w:pP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4.49.jpg"/>
                          <pic:cNvPicPr/>
                        </pic:nvPicPr>
                        <pic:blipFill>
                          <a:blip r:embed="rId19"/>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4-107. GLD V2 – Sensor modules fitted.</w:t>
            </w:r>
          </w:p>
          <w:p>
            <w:pPr>
              <w:spacing w:after="160"/>
              <w:jc w:val="center"/>
            </w:pP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5.01.jpg"/>
                          <pic:cNvPicPr/>
                        </pic:nvPicPr>
                        <pic:blipFill>
                          <a:blip r:embed="rId20"/>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4-108. GLD V2 – DC sampling fan.</w:t>
            </w:r>
          </w:p>
          <w:p>
            <w:pPr>
              <w:spacing w:after="160"/>
              <w:jc w:val="center"/>
            </w:pP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1" name="Picture 11"/>
                  <wp:cNvGraphicFramePr>
                    <a:graphicFrameLocks noChangeAspect="1"/>
                  </wp:cNvGraphicFramePr>
                  <a:graphic>
                    <a:graphicData uri="http://schemas.openxmlformats.org/drawingml/2006/picture">
                      <pic:pic>
                        <pic:nvPicPr>
                          <pic:cNvPr id="0" name="IMG_14.05.32.jpg"/>
                          <pic:cNvPicPr/>
                        </pic:nvPicPr>
                        <pic:blipFill>
                          <a:blip r:embed="rId21"/>
                          <a:stretch>
                            <a:fillRect/>
                          </a:stretch>
                        </pic:blipFill>
                        <pic:spPr>
                          <a:xfrm>
                            <a:off x="0" y="0"/>
                            <a:ext cx="2653223" cy="2834640"/>
                          </a:xfrm>
                          <a:prstGeom prst="rect"/>
                        </pic:spPr>
                      </pic:pic>
                    </a:graphicData>
                  </a:graphic>
                </wp:inline>
              </w:drawing>
            </w:r>
          </w:p>
          <w:p>
            <w:pPr>
              <w:pStyle w:val="GLDFigureTitle"/>
              <w:spacing w:after="0"/>
              <w:jc w:val="center"/>
            </w:pPr>
            <w:r>
              <w:rPr>
                <w:b/>
                <w:color w:val="1B335F"/>
                <w:sz w:val="17"/>
              </w:rPr>
              <w:t>Figure 4-109. GLD V2 – Fan leads terminated.</w:t>
            </w:r>
          </w:p>
          <w:p>
            <w:pPr>
              <w:spacing w:after="160"/>
              <w:jc w:val="center"/>
            </w:pP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2" name="Picture 12"/>
                  <wp:cNvGraphicFramePr>
                    <a:graphicFrameLocks noChangeAspect="1"/>
                  </wp:cNvGraphicFramePr>
                  <a:graphic>
                    <a:graphicData uri="http://schemas.openxmlformats.org/drawingml/2006/picture">
                      <pic:pic>
                        <pic:nvPicPr>
                          <pic:cNvPr id="0" name="IMG_14.06.08.jpg"/>
                          <pic:cNvPicPr/>
                        </pic:nvPicPr>
                        <pic:blipFill>
                          <a:blip r:embed="rId22"/>
                          <a:stretch>
                            <a:fillRect/>
                          </a:stretch>
                        </pic:blipFill>
                        <pic:spPr>
                          <a:xfrm>
                            <a:off x="0" y="0"/>
                            <a:ext cx="2743200" cy="2570378"/>
                          </a:xfrm>
                          <a:prstGeom prst="rect"/>
                        </pic:spPr>
                      </pic:pic>
                    </a:graphicData>
                  </a:graphic>
                </wp:inline>
              </w:drawing>
            </w:r>
          </w:p>
          <w:p>
            <w:pPr>
              <w:pStyle w:val="GLDFigureTitle"/>
              <w:spacing w:after="0"/>
              <w:jc w:val="center"/>
            </w:pPr>
            <w:r>
              <w:rPr>
                <w:b/>
                <w:color w:val="1B335F"/>
                <w:sz w:val="17"/>
              </w:rPr>
              <w:t>Figure 4-110. GLD V2 – Alarm beacon fitted.</w:t>
            </w:r>
          </w:p>
          <w:p>
            <w:pPr>
              <w:spacing w:after="160"/>
              <w:jc w:val="center"/>
            </w:pP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3" name="Picture 13"/>
                  <wp:cNvGraphicFramePr>
                    <a:graphicFrameLocks noChangeAspect="1"/>
                  </wp:cNvGraphicFramePr>
                  <a:graphic>
                    <a:graphicData uri="http://schemas.openxmlformats.org/drawingml/2006/picture">
                      <pic:pic>
                        <pic:nvPicPr>
                          <pic:cNvPr id="0" name="IMG_14.07.08.jpg"/>
                          <pic:cNvPicPr/>
                        </pic:nvPicPr>
                        <pic:blipFill>
                          <a:blip r:embed="rId23"/>
                          <a:stretch>
                            <a:fillRect/>
                          </a:stretch>
                        </pic:blipFill>
                        <pic:spPr>
                          <a:xfrm>
                            <a:off x="0" y="0"/>
                            <a:ext cx="2743200" cy="2389327"/>
                          </a:xfrm>
                          <a:prstGeom prst="rect"/>
                        </pic:spPr>
                      </pic:pic>
                    </a:graphicData>
                  </a:graphic>
                </wp:inline>
              </w:drawing>
            </w:r>
          </w:p>
          <w:p>
            <w:pPr>
              <w:pStyle w:val="GLDFigureTitle"/>
              <w:spacing w:after="0"/>
              <w:jc w:val="center"/>
            </w:pPr>
            <w:r>
              <w:rPr>
                <w:b/>
                <w:color w:val="1B335F"/>
                <w:sz w:val="17"/>
              </w:rPr>
              <w:t>Figure 4-111. GLD V2 – Alarm leads terminated.</w:t>
            </w:r>
          </w:p>
          <w:p>
            <w:pPr>
              <w:spacing w:after="160"/>
              <w:jc w:val="center"/>
            </w:pP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4" name="Picture 14"/>
                  <wp:cNvGraphicFramePr>
                    <a:graphicFrameLocks noChangeAspect="1"/>
                  </wp:cNvGraphicFramePr>
                  <a:graphic>
                    <a:graphicData uri="http://schemas.openxmlformats.org/drawingml/2006/picture">
                      <pic:pic>
                        <pic:nvPicPr>
                          <pic:cNvPr id="0" name="IMG_14.08.05.jpg"/>
                          <pic:cNvPicPr/>
                        </pic:nvPicPr>
                        <pic:blipFill>
                          <a:blip r:embed="rId24"/>
                          <a:stretch>
                            <a:fillRect/>
                          </a:stretch>
                        </pic:blipFill>
                        <pic:spPr>
                          <a:xfrm>
                            <a:off x="0" y="0"/>
                            <a:ext cx="2743200" cy="2586838"/>
                          </a:xfrm>
                          <a:prstGeom prst="rect"/>
                        </pic:spPr>
                      </pic:pic>
                    </a:graphicData>
                  </a:graphic>
                </wp:inline>
              </w:drawing>
            </w:r>
          </w:p>
          <w:p>
            <w:pPr>
              <w:pStyle w:val="GLDFigureTitle"/>
              <w:spacing w:after="0"/>
              <w:jc w:val="center"/>
            </w:pPr>
            <w:r>
              <w:rPr>
                <w:b/>
                <w:color w:val="1B335F"/>
                <w:sz w:val="17"/>
              </w:rPr>
              <w:t>Figure 4-112. GLD V2 – Cable gland fitted to the left-hand entry.</w:t>
            </w:r>
          </w:p>
          <w:p>
            <w:pPr>
              <w:spacing w:after="160"/>
              <w:jc w:val="center"/>
            </w:pP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15" name="Picture 15"/>
                  <wp:cNvGraphicFramePr>
                    <a:graphicFrameLocks noChangeAspect="1"/>
                  </wp:cNvGraphicFramePr>
                  <a:graphic>
                    <a:graphicData uri="http://schemas.openxmlformats.org/drawingml/2006/picture">
                      <pic:pic>
                        <pic:nvPicPr>
                          <pic:cNvPr id="0" name="IMG_14.09.23.jpg"/>
                          <pic:cNvPicPr/>
                        </pic:nvPicPr>
                        <pic:blipFill>
                          <a:blip r:embed="rId25"/>
                          <a:stretch>
                            <a:fillRect/>
                          </a:stretch>
                        </pic:blipFill>
                        <pic:spPr>
                          <a:xfrm>
                            <a:off x="0" y="0"/>
                            <a:ext cx="2548341" cy="2834640"/>
                          </a:xfrm>
                          <a:prstGeom prst="rect"/>
                        </pic:spPr>
                      </pic:pic>
                    </a:graphicData>
                  </a:graphic>
                </wp:inline>
              </w:drawing>
            </w:r>
          </w:p>
          <w:p>
            <w:pPr>
              <w:pStyle w:val="GLDFigureTitle"/>
              <w:spacing w:after="0"/>
              <w:jc w:val="center"/>
            </w:pPr>
            <w:r>
              <w:rPr>
                <w:b/>
                <w:color w:val="1B335F"/>
                <w:sz w:val="17"/>
              </w:rPr>
              <w:t>Figure 4-113. GLD V2 – 24 VDC cable inserted.</w:t>
            </w:r>
          </w:p>
          <w:p>
            <w:pPr>
              <w:spacing w:after="160"/>
              <w:jc w:val="center"/>
            </w:pP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16" name="Picture 16"/>
                  <wp:cNvGraphicFramePr>
                    <a:graphicFrameLocks noChangeAspect="1"/>
                  </wp:cNvGraphicFramePr>
                  <a:graphic>
                    <a:graphicData uri="http://schemas.openxmlformats.org/drawingml/2006/picture">
                      <pic:pic>
                        <pic:nvPicPr>
                          <pic:cNvPr id="0" name="IMG_14.10.55.jpg"/>
                          <pic:cNvPicPr/>
                        </pic:nvPicPr>
                        <pic:blipFill>
                          <a:blip r:embed="rId26"/>
                          <a:stretch>
                            <a:fillRect/>
                          </a:stretch>
                        </pic:blipFill>
                        <pic:spPr>
                          <a:xfrm>
                            <a:off x="0" y="0"/>
                            <a:ext cx="2743200" cy="2723998"/>
                          </a:xfrm>
                          <a:prstGeom prst="rect"/>
                        </pic:spPr>
                      </pic:pic>
                    </a:graphicData>
                  </a:graphic>
                </wp:inline>
              </w:drawing>
            </w:r>
          </w:p>
          <w:p>
            <w:pPr>
              <w:pStyle w:val="GLDFigureTitle"/>
              <w:spacing w:after="0"/>
              <w:jc w:val="center"/>
            </w:pPr>
            <w:r>
              <w:rPr>
                <w:b/>
                <w:color w:val="1B335F"/>
                <w:sz w:val="17"/>
              </w:rPr>
              <w:t>Figure 4-114. GLD V2 – 24 VDC conductors terminated.</w:t>
            </w:r>
          </w:p>
          <w:p>
            <w:pPr>
              <w:spacing w:after="160"/>
              <w:jc w:val="center"/>
            </w:pP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17" name="Picture 17"/>
                  <wp:cNvGraphicFramePr>
                    <a:graphicFrameLocks noChangeAspect="1"/>
                  </wp:cNvGraphicFramePr>
                  <a:graphic>
                    <a:graphicData uri="http://schemas.openxmlformats.org/drawingml/2006/picture">
                      <pic:pic>
                        <pic:nvPicPr>
                          <pic:cNvPr id="0" name="IMG_14.12.07.jpg"/>
                          <pic:cNvPicPr/>
                        </pic:nvPicPr>
                        <pic:blipFill>
                          <a:blip r:embed="rId27"/>
                          <a:stretch>
                            <a:fillRect/>
                          </a:stretch>
                        </pic:blipFill>
                        <pic:spPr>
                          <a:xfrm>
                            <a:off x="0" y="0"/>
                            <a:ext cx="2743200" cy="2359152"/>
                          </a:xfrm>
                          <a:prstGeom prst="rect"/>
                        </pic:spPr>
                      </pic:pic>
                    </a:graphicData>
                  </a:graphic>
                </wp:inline>
              </w:drawing>
            </w:r>
          </w:p>
          <w:p>
            <w:pPr>
              <w:pStyle w:val="GLDFigureTitle"/>
              <w:spacing w:after="0"/>
              <w:jc w:val="center"/>
            </w:pPr>
            <w:r>
              <w:rPr>
                <w:b/>
                <w:color w:val="1B335F"/>
                <w:sz w:val="17"/>
              </w:rPr>
              <w:t>Figure 4-115. GLD V2 – Cover with sampling fan.</w:t>
            </w:r>
          </w:p>
          <w:p>
            <w:pPr>
              <w:spacing w:after="160"/>
              <w:jc w:val="center"/>
            </w:pP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18" name="Picture 18"/>
                  <wp:cNvGraphicFramePr>
                    <a:graphicFrameLocks noChangeAspect="1"/>
                  </wp:cNvGraphicFramePr>
                  <a:graphic>
                    <a:graphicData uri="http://schemas.openxmlformats.org/drawingml/2006/picture">
                      <pic:pic>
                        <pic:nvPicPr>
                          <pic:cNvPr id="0" name="IMG_14.17.20.jpg"/>
                          <pic:cNvPicPr/>
                        </pic:nvPicPr>
                        <pic:blipFill>
                          <a:blip r:embed="rId28"/>
                          <a:stretch>
                            <a:fillRect/>
                          </a:stretch>
                        </pic:blipFill>
                        <pic:spPr>
                          <a:xfrm>
                            <a:off x="0" y="0"/>
                            <a:ext cx="2743200" cy="2328977"/>
                          </a:xfrm>
                          <a:prstGeom prst="rect"/>
                        </pic:spPr>
                      </pic:pic>
                    </a:graphicData>
                  </a:graphic>
                </wp:inline>
              </w:drawing>
            </w:r>
          </w:p>
          <w:p>
            <w:pPr>
              <w:pStyle w:val="GLDFigureTitle"/>
              <w:spacing w:after="0"/>
              <w:jc w:val="center"/>
            </w:pPr>
            <w:r>
              <w:rPr>
                <w:b/>
                <w:color w:val="1B335F"/>
                <w:sz w:val="17"/>
              </w:rPr>
              <w:t>Figure 4-116. GLD V2 – Assembled unit — grounding.</w:t>
            </w:r>
          </w:p>
          <w:p>
            <w:pPr>
              <w:spacing w:after="160"/>
              <w:jc w:val="center"/>
            </w:pP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19" name="Picture 19"/>
                  <wp:cNvGraphicFramePr>
                    <a:graphicFrameLocks noChangeAspect="1"/>
                  </wp:cNvGraphicFramePr>
                  <a:graphic>
                    <a:graphicData uri="http://schemas.openxmlformats.org/drawingml/2006/picture">
                      <pic:pic>
                        <pic:nvPicPr>
                          <pic:cNvPr id="0" name="IMG_14.34.54.jpg"/>
                          <pic:cNvPicPr/>
                        </pic:nvPicPr>
                        <pic:blipFill>
                          <a:blip r:embed="rId29"/>
                          <a:stretch>
                            <a:fillRect/>
                          </a:stretch>
                        </pic:blipFill>
                        <pic:spPr>
                          <a:xfrm>
                            <a:off x="0" y="0"/>
                            <a:ext cx="2743200" cy="2416759"/>
                          </a:xfrm>
                          <a:prstGeom prst="rect"/>
                        </pic:spPr>
                      </pic:pic>
                    </a:graphicData>
                  </a:graphic>
                </wp:inline>
              </w:drawing>
            </w:r>
          </w:p>
          <w:p>
            <w:pPr>
              <w:pStyle w:val="GLDFigureTitle"/>
              <w:spacing w:after="0"/>
              <w:jc w:val="center"/>
            </w:pPr>
            <w:r>
              <w:rPr>
                <w:b/>
                <w:color w:val="1B335F"/>
                <w:sz w:val="17"/>
              </w:rPr>
              <w:t>Figure 4-117. GLD V2 – Threaded cover being closed.</w:t>
            </w:r>
          </w:p>
          <w:p>
            <w:pPr>
              <w:spacing w:after="160"/>
              <w:jc w:val="center"/>
            </w:pPr>
            <w:r>
              <w:rPr>
                <w:color w:val="555B66"/>
                <w:sz w:val="16"/>
              </w:rPr>
              <w:t>The threaded cover is screwed onto the base by hand.</w:t>
            </w:r>
          </w:p>
        </w:tc>
        <w:tc>
          <w:tcPr>
            <w:tcW w:type="dxa" w:w="4873"/>
          </w:tcPr>
          <w:p/>
        </w:tc>
      </w:tr>
    </w:tbl>
    <w:p>
      <w:pPr>
        <w:pStyle w:val="Heading5"/>
        <w:keepNext/>
        <w:spacing w:before="160" w:after="80"/>
      </w:pPr>
      <w:r>
        <w:rPr>
          <w:rFonts w:ascii="Calibri" w:hAnsi="Calibri"/>
          <w:b/>
          <w:i w:val="0"/>
          <w:color w:val="1B335F"/>
          <w:sz w:val="20"/>
        </w:rPr>
        <w:t>Assembled unit — external views (Figures 4-118 to 4-123)</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743200" cy="2021738"/>
                  <wp:docPr id="20" name="Picture 20"/>
                  <wp:cNvGraphicFramePr>
                    <a:graphicFrameLocks noChangeAspect="1"/>
                  </wp:cNvGraphicFramePr>
                  <a:graphic>
                    <a:graphicData uri="http://schemas.openxmlformats.org/drawingml/2006/picture">
                      <pic:pic>
                        <pic:nvPicPr>
                          <pic:cNvPr id="0" name="IMG_14.35.32.jpg"/>
                          <pic:cNvPicPr/>
                        </pic:nvPicPr>
                        <pic:blipFill>
                          <a:blip r:embed="rId30"/>
                          <a:stretch>
                            <a:fillRect/>
                          </a:stretch>
                        </pic:blipFill>
                        <pic:spPr>
                          <a:xfrm>
                            <a:off x="0" y="0"/>
                            <a:ext cx="2743200" cy="2021738"/>
                          </a:xfrm>
                          <a:prstGeom prst="rect"/>
                        </pic:spPr>
                      </pic:pic>
                    </a:graphicData>
                  </a:graphic>
                </wp:inline>
              </w:drawing>
            </w:r>
          </w:p>
          <w:p>
            <w:pPr>
              <w:pStyle w:val="GLDFigureTitle"/>
              <w:spacing w:after="0"/>
              <w:jc w:val="center"/>
            </w:pPr>
            <w:r>
              <w:rPr>
                <w:b/>
                <w:color w:val="1B335F"/>
                <w:sz w:val="17"/>
              </w:rPr>
              <w:t>Figure 4-118. GLD V2 – Assembled unit — front view.</w:t>
            </w:r>
          </w:p>
          <w:p>
            <w:pPr>
              <w:spacing w:after="160"/>
              <w:jc w:val="center"/>
            </w:pPr>
            <w:r>
              <w:rPr>
                <w:color w:val="555B66"/>
                <w:sz w:val="16"/>
              </w:rPr>
              <w:t>Stainless-steel mesh sensing face; cable gland (left), alarm beacon (right), antenna (top).</w:t>
            </w:r>
          </w:p>
        </w:tc>
        <w:tc>
          <w:tcPr>
            <w:tcW w:type="dxa" w:w="4873"/>
          </w:tcPr>
          <w:p>
            <w:pPr>
              <w:jc w:val="center"/>
            </w:pPr>
            <w:r>
              <w:drawing>
                <wp:inline xmlns:a="http://schemas.openxmlformats.org/drawingml/2006/main" xmlns:pic="http://schemas.openxmlformats.org/drawingml/2006/picture">
                  <wp:extent cx="2743200" cy="1870862"/>
                  <wp:docPr id="21" name="Picture 21"/>
                  <wp:cNvGraphicFramePr>
                    <a:graphicFrameLocks noChangeAspect="1"/>
                  </wp:cNvGraphicFramePr>
                  <a:graphic>
                    <a:graphicData uri="http://schemas.openxmlformats.org/drawingml/2006/picture">
                      <pic:pic>
                        <pic:nvPicPr>
                          <pic:cNvPr id="0" name="IMG_14.35.54.jpg"/>
                          <pic:cNvPicPr/>
                        </pic:nvPicPr>
                        <pic:blipFill>
                          <a:blip r:embed="rId31"/>
                          <a:stretch>
                            <a:fillRect/>
                          </a:stretch>
                        </pic:blipFill>
                        <pic:spPr>
                          <a:xfrm>
                            <a:off x="0" y="0"/>
                            <a:ext cx="2743200" cy="1870862"/>
                          </a:xfrm>
                          <a:prstGeom prst="rect"/>
                        </pic:spPr>
                      </pic:pic>
                    </a:graphicData>
                  </a:graphic>
                </wp:inline>
              </w:drawing>
            </w:r>
          </w:p>
          <w:p>
            <w:pPr>
              <w:pStyle w:val="GLDFigureTitle"/>
              <w:spacing w:after="0"/>
              <w:jc w:val="center"/>
            </w:pPr>
            <w:r>
              <w:rPr>
                <w:b/>
                <w:color w:val="1B335F"/>
                <w:sz w:val="17"/>
              </w:rPr>
              <w:t>Figure 4-119. GLD V2 – Assembled unit — side view with blanking plug.</w:t>
            </w:r>
          </w:p>
          <w:p>
            <w:pPr>
              <w:spacing w:after="160"/>
              <w:jc w:val="center"/>
            </w:pPr>
            <w:r>
              <w:rPr>
                <w:color w:val="555B66"/>
                <w:sz w:val="16"/>
              </w:rPr>
              <w:t>Hexagon blanking plug closing the lower entry; alarm beacon on the right.</w:t>
            </w:r>
          </w:p>
        </w:tc>
      </w:tr>
      <w:tr>
        <w:tc>
          <w:tcPr>
            <w:tcW w:type="dxa" w:w="4873"/>
          </w:tcPr>
          <w:p>
            <w:pPr>
              <w:jc w:val="center"/>
            </w:pPr>
            <w:r>
              <w:drawing>
                <wp:inline xmlns:a="http://schemas.openxmlformats.org/drawingml/2006/main" xmlns:pic="http://schemas.openxmlformats.org/drawingml/2006/picture">
                  <wp:extent cx="2743200" cy="1881835"/>
                  <wp:docPr id="22" name="Picture 22"/>
                  <wp:cNvGraphicFramePr>
                    <a:graphicFrameLocks noChangeAspect="1"/>
                  </wp:cNvGraphicFramePr>
                  <a:graphic>
                    <a:graphicData uri="http://schemas.openxmlformats.org/drawingml/2006/picture">
                      <pic:pic>
                        <pic:nvPicPr>
                          <pic:cNvPr id="0" name="IMG_14.36.39.jpg"/>
                          <pic:cNvPicPr/>
                        </pic:nvPicPr>
                        <pic:blipFill>
                          <a:blip r:embed="rId32"/>
                          <a:stretch>
                            <a:fillRect/>
                          </a:stretch>
                        </pic:blipFill>
                        <pic:spPr>
                          <a:xfrm>
                            <a:off x="0" y="0"/>
                            <a:ext cx="2743200" cy="1881835"/>
                          </a:xfrm>
                          <a:prstGeom prst="rect"/>
                        </pic:spPr>
                      </pic:pic>
                    </a:graphicData>
                  </a:graphic>
                </wp:inline>
              </w:drawing>
            </w:r>
          </w:p>
          <w:p>
            <w:pPr>
              <w:pStyle w:val="GLDFigureTitle"/>
              <w:spacing w:after="0"/>
              <w:jc w:val="center"/>
            </w:pPr>
            <w:r>
              <w:rPr>
                <w:b/>
                <w:color w:val="1B335F"/>
                <w:sz w:val="17"/>
              </w:rPr>
              <w:t>Figure 4-120. GLD V2 – Assembled unit — side view with cable entry.</w:t>
            </w:r>
          </w:p>
          <w:p>
            <w:pPr>
              <w:spacing w:after="160"/>
              <w:jc w:val="center"/>
            </w:pPr>
            <w:r>
              <w:rPr>
                <w:color w:val="555B66"/>
                <w:sz w:val="16"/>
              </w:rPr>
              <w:t>Cable gland, external grounding screw and antenna.</w:t>
            </w:r>
          </w:p>
        </w:tc>
        <w:tc>
          <w:tcPr>
            <w:tcW w:type="dxa" w:w="4873"/>
          </w:tcPr>
          <w:p>
            <w:pPr>
              <w:jc w:val="center"/>
            </w:pPr>
            <w:r>
              <w:drawing>
                <wp:inline xmlns:a="http://schemas.openxmlformats.org/drawingml/2006/main" xmlns:pic="http://schemas.openxmlformats.org/drawingml/2006/picture">
                  <wp:extent cx="2743200" cy="2153412"/>
                  <wp:docPr id="23" name="Picture 23"/>
                  <wp:cNvGraphicFramePr>
                    <a:graphicFrameLocks noChangeAspect="1"/>
                  </wp:cNvGraphicFramePr>
                  <a:graphic>
                    <a:graphicData uri="http://schemas.openxmlformats.org/drawingml/2006/picture">
                      <pic:pic>
                        <pic:nvPicPr>
                          <pic:cNvPr id="0" name="IMG_14.37.03.jpg"/>
                          <pic:cNvPicPr/>
                        </pic:nvPicPr>
                        <pic:blipFill>
                          <a:blip r:embed="rId33"/>
                          <a:stretch>
                            <a:fillRect/>
                          </a:stretch>
                        </pic:blipFill>
                        <pic:spPr>
                          <a:xfrm>
                            <a:off x="0" y="0"/>
                            <a:ext cx="2743200" cy="2153412"/>
                          </a:xfrm>
                          <a:prstGeom prst="rect"/>
                        </pic:spPr>
                      </pic:pic>
                    </a:graphicData>
                  </a:graphic>
                </wp:inline>
              </w:drawing>
            </w:r>
          </w:p>
          <w:p>
            <w:pPr>
              <w:pStyle w:val="GLDFigureTitle"/>
              <w:spacing w:after="0"/>
              <w:jc w:val="center"/>
            </w:pPr>
            <w:r>
              <w:rPr>
                <w:b/>
                <w:color w:val="1B335F"/>
                <w:sz w:val="17"/>
              </w:rPr>
              <w:t>Figure 4-121. GLD V2 – Assembled unit — side view with beacon.</w:t>
            </w:r>
          </w:p>
          <w:p>
            <w:pPr>
              <w:spacing w:after="160"/>
              <w:jc w:val="center"/>
            </w:pPr>
            <w:r>
              <w:rPr>
                <w:color w:val="555B66"/>
                <w:sz w:val="16"/>
              </w:rPr>
              <w:t>Alarm beacon and mounting lugs.</w:t>
            </w:r>
          </w:p>
        </w:tc>
      </w:tr>
      <w:tr>
        <w:tc>
          <w:tcPr>
            <w:tcW w:type="dxa" w:w="4873"/>
          </w:tcPr>
          <w:p>
            <w:pPr>
              <w:jc w:val="center"/>
            </w:pPr>
            <w:r>
              <w:drawing>
                <wp:inline xmlns:a="http://schemas.openxmlformats.org/drawingml/2006/main" xmlns:pic="http://schemas.openxmlformats.org/drawingml/2006/picture">
                  <wp:extent cx="2743200" cy="1868119"/>
                  <wp:docPr id="24" name="Picture 24"/>
                  <wp:cNvGraphicFramePr>
                    <a:graphicFrameLocks noChangeAspect="1"/>
                  </wp:cNvGraphicFramePr>
                  <a:graphic>
                    <a:graphicData uri="http://schemas.openxmlformats.org/drawingml/2006/picture">
                      <pic:pic>
                        <pic:nvPicPr>
                          <pic:cNvPr id="0" name="IMG_14.37.30.jpg"/>
                          <pic:cNvPicPr/>
                        </pic:nvPicPr>
                        <pic:blipFill>
                          <a:blip r:embed="rId34"/>
                          <a:stretch>
                            <a:fillRect/>
                          </a:stretch>
                        </pic:blipFill>
                        <pic:spPr>
                          <a:xfrm>
                            <a:off x="0" y="0"/>
                            <a:ext cx="2743200" cy="1868119"/>
                          </a:xfrm>
                          <a:prstGeom prst="rect"/>
                        </pic:spPr>
                      </pic:pic>
                    </a:graphicData>
                  </a:graphic>
                </wp:inline>
              </w:drawing>
            </w:r>
          </w:p>
          <w:p>
            <w:pPr>
              <w:pStyle w:val="GLDFigureTitle"/>
              <w:spacing w:after="0"/>
              <w:jc w:val="center"/>
            </w:pPr>
            <w:r>
              <w:rPr>
                <w:b/>
                <w:color w:val="1B335F"/>
                <w:sz w:val="17"/>
              </w:rPr>
              <w:t>Figure 4-122. GLD V2 – Assembled unit — side view of the base.</w:t>
            </w:r>
          </w:p>
          <w:p>
            <w:pPr>
              <w:spacing w:after="160"/>
              <w:jc w:val="center"/>
            </w:pPr>
            <w:r>
              <w:rPr>
                <w:color w:val="555B66"/>
                <w:sz w:val="16"/>
              </w:rPr>
              <w:t>Beacon entry (left), cable gland (right) and antenna.</w:t>
            </w:r>
          </w:p>
        </w:tc>
        <w:tc>
          <w:tcPr>
            <w:tcW w:type="dxa" w:w="4873"/>
          </w:tcPr>
          <w:p>
            <w:pPr>
              <w:jc w:val="center"/>
            </w:pPr>
            <w:r>
              <w:drawing>
                <wp:inline xmlns:a="http://schemas.openxmlformats.org/drawingml/2006/main" xmlns:pic="http://schemas.openxmlformats.org/drawingml/2006/picture">
                  <wp:extent cx="2743200" cy="2029968"/>
                  <wp:docPr id="25" name="Picture 25"/>
                  <wp:cNvGraphicFramePr>
                    <a:graphicFrameLocks noChangeAspect="1"/>
                  </wp:cNvGraphicFramePr>
                  <a:graphic>
                    <a:graphicData uri="http://schemas.openxmlformats.org/drawingml/2006/picture">
                      <pic:pic>
                        <pic:nvPicPr>
                          <pic:cNvPr id="0" name="IMG_14.38.01.jpg"/>
                          <pic:cNvPicPr/>
                        </pic:nvPicPr>
                        <pic:blipFill>
                          <a:blip r:embed="rId35"/>
                          <a:stretch>
                            <a:fillRect/>
                          </a:stretch>
                        </pic:blipFill>
                        <pic:spPr>
                          <a:xfrm>
                            <a:off x="0" y="0"/>
                            <a:ext cx="2743200" cy="2029968"/>
                          </a:xfrm>
                          <a:prstGeom prst="rect"/>
                        </pic:spPr>
                      </pic:pic>
                    </a:graphicData>
                  </a:graphic>
                </wp:inline>
              </w:drawing>
            </w:r>
          </w:p>
          <w:p>
            <w:pPr>
              <w:pStyle w:val="GLDFigureTitle"/>
              <w:spacing w:after="0"/>
              <w:jc w:val="center"/>
            </w:pPr>
            <w:r>
              <w:rPr>
                <w:b/>
                <w:color w:val="1B335F"/>
                <w:sz w:val="17"/>
              </w:rPr>
              <w:t>Figure 4-123. GLD V2 – Assembled unit — rear view.</w:t>
            </w:r>
          </w:p>
          <w:p>
            <w:pPr>
              <w:spacing w:after="160"/>
              <w:jc w:val="center"/>
            </w:pPr>
            <w:r>
              <w:rPr>
                <w:color w:val="555B66"/>
                <w:sz w:val="16"/>
              </w:rPr>
              <w:t>Rear face of the base with mounting lugs; antenna (top), beacon (left), cable gland (right).</w:t>
            </w:r>
          </w:p>
        </w:tc>
      </w:tr>
    </w:tbl>
    <w:p>
      <w:pPr>
        <w:pStyle w:val="Heading5"/>
        <w:keepNext/>
        <w:spacing w:before="160" w:after="80"/>
      </w:pPr>
      <w:r>
        <w:rPr>
          <w:rFonts w:ascii="Calibri" w:hAnsi="Calibri"/>
          <w:b/>
          <w:i w:val="0"/>
          <w:color w:val="1B335F"/>
          <w:sz w:val="20"/>
        </w:rPr>
        <w:t>Nameplate position, antenna interface and threads (Figures 4-124 to 4-127)</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26" name="Picture 26"/>
                  <wp:cNvGraphicFramePr>
                    <a:graphicFrameLocks noChangeAspect="1"/>
                  </wp:cNvGraphicFramePr>
                  <a:graphic>
                    <a:graphicData uri="http://schemas.openxmlformats.org/drawingml/2006/picture">
                      <pic:pic>
                        <pic:nvPicPr>
                          <pic:cNvPr id="0" name="Nameplate_position_beside_antenna.jpg"/>
                          <pic:cNvPicPr/>
                        </pic:nvPicPr>
                        <pic:blipFill>
                          <a:blip r:embed="rId36"/>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4-124. GLD V2 – Nameplate position.</w:t>
            </w:r>
          </w:p>
          <w:p>
            <w:pPr>
              <w:spacing w:after="160"/>
              <w:jc w:val="center"/>
            </w:pPr>
            <w:r>
              <w:rPr>
                <w:color w:val="555B66"/>
                <w:sz w:val="16"/>
              </w:rPr>
              <w:t>Flat top face of the base enclosure beside the antenna, between the antenna and the mounting lug — the intended location of the nameplate (marking still draft; not yet fitted).</w:t>
            </w:r>
          </w:p>
        </w:tc>
        <w:tc>
          <w:tcPr>
            <w:tcW w:type="dxa" w:w="4873"/>
          </w:tcPr>
          <w:p>
            <w:pPr>
              <w:jc w:val="center"/>
            </w:pPr>
            <w:r>
              <w:drawing>
                <wp:inline xmlns:a="http://schemas.openxmlformats.org/drawingml/2006/main" xmlns:pic="http://schemas.openxmlformats.org/drawingml/2006/picture">
                  <wp:extent cx="2125980" cy="2834640"/>
                  <wp:docPr id="27" name="Picture 27"/>
                  <wp:cNvGraphicFramePr>
                    <a:graphicFrameLocks noChangeAspect="1"/>
                  </wp:cNvGraphicFramePr>
                  <a:graphic>
                    <a:graphicData uri="http://schemas.openxmlformats.org/drawingml/2006/picture">
                      <pic:pic>
                        <pic:nvPicPr>
                          <pic:cNvPr id="0" name="Antenna_interface_outside.jpg"/>
                          <pic:cNvPicPr/>
                        </pic:nvPicPr>
                        <pic:blipFill>
                          <a:blip r:embed="rId37"/>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4-125. GLD V2 – Antenna interface — outside.</w:t>
            </w:r>
          </w:p>
          <w:p>
            <w:pPr>
              <w:spacing w:after="160"/>
              <w:jc w:val="center"/>
            </w:pPr>
            <w:r>
              <w:rPr>
                <w:color w:val="555B66"/>
                <w:sz w:val="16"/>
              </w:rPr>
              <w:t>External antenna screwed onto its connector on the top face of the base enclosure; the threaded cover joint with its black O-ring and the hexagon blanking plug with O-ring are also visible.</w:t>
            </w:r>
          </w:p>
        </w:tc>
      </w:tr>
      <w:tr>
        <w:tc>
          <w:tcPr>
            <w:tcW w:type="dxa" w:w="4873"/>
          </w:tcPr>
          <w:p>
            <w:pPr>
              <w:jc w:val="center"/>
            </w:pPr>
            <w:r>
              <w:drawing>
                <wp:inline xmlns:a="http://schemas.openxmlformats.org/drawingml/2006/main" xmlns:pic="http://schemas.openxmlformats.org/drawingml/2006/picture">
                  <wp:extent cx="2125980" cy="2834640"/>
                  <wp:docPr id="28" name="Picture 28"/>
                  <wp:cNvGraphicFramePr>
                    <a:graphicFrameLocks noChangeAspect="1"/>
                  </wp:cNvGraphicFramePr>
                  <a:graphic>
                    <a:graphicData uri="http://schemas.openxmlformats.org/drawingml/2006/picture">
                      <pic:pic>
                        <pic:nvPicPr>
                          <pic:cNvPr id="0" name="Antenna_interface_inside.jpg"/>
                          <pic:cNvPicPr/>
                        </pic:nvPicPr>
                        <pic:blipFill>
                          <a:blip r:embed="rId38"/>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4-126. GLD V2 – Antenna interface — inside the enclosure.</w:t>
            </w:r>
          </w:p>
          <w:p>
            <w:pPr>
              <w:spacing w:after="160"/>
              <w:jc w:val="center"/>
            </w:pPr>
            <w:r>
              <w:rPr>
                <w:color w:val="555B66"/>
                <w:sz w:val="16"/>
              </w:rPr>
              <w:t>Brass SMA bulkhead seated in a spot-faced hole through the enclosure wall, with the U.FL pigtail running to the main board; PCB mounting boss below.</w:t>
            </w:r>
          </w:p>
        </w:tc>
        <w:tc>
          <w:tcPr>
            <w:tcW w:type="dxa" w:w="4873"/>
          </w:tcPr>
          <w:p>
            <w:pPr>
              <w:jc w:val="center"/>
            </w:pPr>
            <w:r>
              <w:drawing>
                <wp:inline xmlns:a="http://schemas.openxmlformats.org/drawingml/2006/main" xmlns:pic="http://schemas.openxmlformats.org/drawingml/2006/picture">
                  <wp:extent cx="2125980" cy="2834640"/>
                  <wp:docPr id="29" name="Picture 29"/>
                  <wp:cNvGraphicFramePr>
                    <a:graphicFrameLocks noChangeAspect="1"/>
                  </wp:cNvGraphicFramePr>
                  <a:graphic>
                    <a:graphicData uri="http://schemas.openxmlformats.org/drawingml/2006/picture">
                      <pic:pic>
                        <pic:nvPicPr>
                          <pic:cNvPr id="0" name="Cover_thread_and_entry_thread.jpg"/>
                          <pic:cNvPicPr/>
                        </pic:nvPicPr>
                        <pic:blipFill>
                          <a:blip r:embed="rId39"/>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4-127. GLD V2 – Cover thread and side-entry thread.</w:t>
            </w:r>
          </w:p>
          <w:p>
            <w:pPr>
              <w:spacing w:after="160"/>
              <w:jc w:val="center"/>
            </w:pPr>
            <w:r>
              <w:rPr>
                <w:color w:val="555B66"/>
                <w:sz w:val="16"/>
              </w:rPr>
              <w:t>External thread on the base neck that carries the threaded cover (about 10 visible threads), black O-ring at the root of the thread, and an internally threaded side entry (estimated M20 × 1.5). Caliper measurements of the same neck are given in Figures 4-128 to 4-131; see Section 2.6.e.3.</w:t>
            </w:r>
          </w:p>
        </w:tc>
      </w:tr>
    </w:tbl>
    <w:p>
      <w:pPr>
        <w:pStyle w:val="Heading5"/>
        <w:keepNext/>
        <w:spacing w:before="160" w:after="80"/>
      </w:pPr>
      <w:r>
        <w:rPr>
          <w:rFonts w:ascii="Calibri" w:hAnsi="Calibri"/>
          <w:b/>
          <w:i w:val="0"/>
          <w:color w:val="1B335F"/>
          <w:sz w:val="20"/>
        </w:rPr>
        <w:t>Dimensional check — caliper measurements of the base neck, bore and O-ring cord (Figures 4-128 to 4-132)</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0" name="Picture 30"/>
                  <wp:cNvGraphicFramePr>
                    <a:graphicFrameLocks noChangeAspect="1"/>
                  </wp:cNvGraphicFramePr>
                  <a:graphic>
                    <a:graphicData uri="http://schemas.openxmlformats.org/drawingml/2006/picture">
                      <pic:pic>
                        <pic:nvPicPr>
                          <pic:cNvPr id="0" name="Base_caliper_wall_at_Oring.jpg"/>
                          <pic:cNvPicPr/>
                        </pic:nvPicPr>
                        <pic:blipFill>
                          <a:blip r:embed="rId40"/>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4-128. GLD V2 – Base neck wall at the O-ring — caliper 10.50 mm.</w:t>
            </w:r>
          </w:p>
          <w:p>
            <w:pPr>
              <w:spacing w:after="160"/>
              <w:jc w:val="center"/>
            </w:pPr>
            <w:r>
              <w:rPr>
                <w:color w:val="555B66"/>
                <w:sz w:val="16"/>
              </w:rPr>
              <w:t>Vernier caliper (0.05 mm) across the neck wall at its root, just above the O-ring: reading 10.50 mm.</w:t>
            </w:r>
          </w:p>
        </w:tc>
        <w:tc>
          <w:tcPr>
            <w:tcW w:type="dxa" w:w="4873"/>
          </w:tcPr>
          <w:p>
            <w:pPr>
              <w:jc w:val="center"/>
            </w:pPr>
            <w:r>
              <w:drawing>
                <wp:inline xmlns:a="http://schemas.openxmlformats.org/drawingml/2006/main" xmlns:pic="http://schemas.openxmlformats.org/drawingml/2006/picture">
                  <wp:extent cx="2125980" cy="2834640"/>
                  <wp:docPr id="31" name="Picture 31"/>
                  <wp:cNvGraphicFramePr>
                    <a:graphicFrameLocks noChangeAspect="1"/>
                  </wp:cNvGraphicFramePr>
                  <a:graphic>
                    <a:graphicData uri="http://schemas.openxmlformats.org/drawingml/2006/picture">
                      <pic:pic>
                        <pic:nvPicPr>
                          <pic:cNvPr id="0" name="Base_caliper_wall_at_top.jpg"/>
                          <pic:cNvPicPr/>
                        </pic:nvPicPr>
                        <pic:blipFill>
                          <a:blip r:embed="rId41"/>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4-129. GLD V2 – Base neck wall at the top — caliper 5.80 mm.</w:t>
            </w:r>
          </w:p>
          <w:p>
            <w:pPr>
              <w:spacing w:after="160"/>
              <w:jc w:val="center"/>
            </w:pPr>
            <w:r>
              <w:rPr>
                <w:color w:val="555B66"/>
                <w:sz w:val="16"/>
              </w:rPr>
              <w:t>Caliper across the threaded neck wall at its top edge (inner bore to thread crest): reading 5.80 mm.</w:t>
            </w:r>
          </w:p>
        </w:tc>
      </w:tr>
      <w:tr>
        <w:tc>
          <w:tcPr>
            <w:tcW w:type="dxa" w:w="4873"/>
          </w:tcPr>
          <w:p>
            <w:pPr>
              <w:jc w:val="center"/>
            </w:pPr>
            <w:r>
              <w:drawing>
                <wp:inline xmlns:a="http://schemas.openxmlformats.org/drawingml/2006/main" xmlns:pic="http://schemas.openxmlformats.org/drawingml/2006/picture">
                  <wp:extent cx="2125980" cy="2834640"/>
                  <wp:docPr id="32" name="Picture 32"/>
                  <wp:cNvGraphicFramePr>
                    <a:graphicFrameLocks noChangeAspect="1"/>
                  </wp:cNvGraphicFramePr>
                  <a:graphic>
                    <a:graphicData uri="http://schemas.openxmlformats.org/drawingml/2006/picture">
                      <pic:pic>
                        <pic:nvPicPr>
                          <pic:cNvPr id="0" name="Base_caliper_thread_band_height.jpg"/>
                          <pic:cNvPicPr/>
                        </pic:nvPicPr>
                        <pic:blipFill>
                          <a:blip r:embed="rId42"/>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4-130. GLD V2 – Threaded neck height — caliper ≈14.8 mm.</w:t>
            </w:r>
          </w:p>
          <w:p>
            <w:pPr>
              <w:spacing w:after="160"/>
              <w:jc w:val="center"/>
            </w:pPr>
            <w:r>
              <w:rPr>
                <w:color w:val="555B66"/>
                <w:sz w:val="16"/>
              </w:rPr>
              <w:t>Caliper held vertically from the base shoulder (O-ring level) to the top of the threaded neck: reading ≈14.8 mm; about 10 thread crests are visible over this height.</w:t>
            </w:r>
          </w:p>
        </w:tc>
        <w:tc>
          <w:tcPr>
            <w:tcW w:type="dxa" w:w="4873"/>
          </w:tcPr>
          <w:p>
            <w:pPr>
              <w:jc w:val="center"/>
            </w:pPr>
            <w:r>
              <w:drawing>
                <wp:inline xmlns:a="http://schemas.openxmlformats.org/drawingml/2006/main" xmlns:pic="http://schemas.openxmlformats.org/drawingml/2006/picture">
                  <wp:extent cx="2125980" cy="2834640"/>
                  <wp:docPr id="33" name="Picture 33"/>
                  <wp:cNvGraphicFramePr>
                    <a:graphicFrameLocks noChangeAspect="1"/>
                  </wp:cNvGraphicFramePr>
                  <a:graphic>
                    <a:graphicData uri="http://schemas.openxmlformats.org/drawingml/2006/picture">
                      <pic:pic>
                        <pic:nvPicPr>
                          <pic:cNvPr id="0" name="Base_caliper_inner_bore.jpg"/>
                          <pic:cNvPicPr/>
                        </pic:nvPicPr>
                        <pic:blipFill>
                          <a:blip r:embed="rId43"/>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4-131. GLD V2 – Base inner bore — caliper ≈84.7 mm.</w:t>
            </w:r>
          </w:p>
          <w:p>
            <w:pPr>
              <w:spacing w:after="160"/>
              <w:jc w:val="center"/>
            </w:pPr>
            <w:r>
              <w:rPr>
                <w:color w:val="555B66"/>
                <w:sz w:val="16"/>
              </w:rPr>
              <w:t>Inside jaws across the bore of the base at the top of the neck: reading ≈84.7 mm.</w:t>
            </w:r>
          </w:p>
        </w:tc>
      </w:tr>
      <w:tr>
        <w:tc>
          <w:tcPr>
            <w:tcW w:type="dxa" w:w="4873"/>
          </w:tcPr>
          <w:p>
            <w:pPr>
              <w:jc w:val="center"/>
            </w:pPr>
            <w:r>
              <w:drawing>
                <wp:inline xmlns:a="http://schemas.openxmlformats.org/drawingml/2006/main" xmlns:pic="http://schemas.openxmlformats.org/drawingml/2006/picture">
                  <wp:extent cx="2125980" cy="2834640"/>
                  <wp:docPr id="34" name="Picture 34"/>
                  <wp:cNvGraphicFramePr>
                    <a:graphicFrameLocks noChangeAspect="1"/>
                  </wp:cNvGraphicFramePr>
                  <a:graphic>
                    <a:graphicData uri="http://schemas.openxmlformats.org/drawingml/2006/picture">
                      <pic:pic>
                        <pic:nvPicPr>
                          <pic:cNvPr id="0" name="Gasket_caliper_cord_section.jpg"/>
                          <pic:cNvPicPr/>
                        </pic:nvPicPr>
                        <pic:blipFill>
                          <a:blip r:embed="rId44"/>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4-132. GLD V2 – Cover O-ring — cord cross-section 2.70 mm.</w:t>
            </w:r>
          </w:p>
          <w:p>
            <w:pPr>
              <w:spacing w:after="160"/>
              <w:jc w:val="center"/>
            </w:pPr>
            <w:r>
              <w:rPr>
                <w:color w:val="555B66"/>
                <w:sz w:val="16"/>
              </w:rPr>
              <w:t>Black rubber O-ring of the cover-to-base joint measured across its cord: reading 2.70 mm.</w:t>
            </w:r>
          </w:p>
        </w:tc>
        <w:tc>
          <w:tcPr>
            <w:tcW w:type="dxa" w:w="4873"/>
          </w:tcPr>
          <w:p/>
        </w:tc>
      </w:tr>
    </w:tbl>
    <w:p>
      <w:pPr>
        <w:pStyle w:val="Heading5"/>
        <w:keepNext/>
        <w:spacing w:before="160" w:after="80"/>
      </w:pPr>
      <w:r>
        <w:rPr>
          <w:rFonts w:ascii="Calibri" w:hAnsi="Calibri"/>
          <w:b/>
          <w:i w:val="0"/>
          <w:color w:val="1B335F"/>
          <w:sz w:val="20"/>
        </w:rPr>
        <w:t>Dimensional check — depths, cover thread length and O-ring diameter (Figures 4-133 to 4-137)</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5" name="Picture 35"/>
                  <wp:cNvGraphicFramePr>
                    <a:graphicFrameLocks noChangeAspect="1"/>
                  </wp:cNvGraphicFramePr>
                  <a:graphic>
                    <a:graphicData uri="http://schemas.openxmlformats.org/drawingml/2006/picture">
                      <pic:pic>
                        <pic:nvPicPr>
                          <pic:cNvPr id="0" name="Base_ruler_internal_depth.jpg"/>
                          <pic:cNvPicPr/>
                        </pic:nvPicPr>
                        <pic:blipFill>
                          <a:blip r:embed="rId45"/>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4-133. GLD V2 – Base internal depth — steel rule ≈45 mm.</w:t>
            </w:r>
          </w:p>
          <w:p>
            <w:pPr>
              <w:spacing w:after="160"/>
              <w:jc w:val="center"/>
            </w:pPr>
            <w:r>
              <w:rPr>
                <w:color w:val="555B66"/>
                <w:sz w:val="16"/>
              </w:rPr>
              <w:t>Steel rule standing on the PCB-boss ledge inside the base: rim top at about 45 mm (rule reading, ±1 mm); the floor below the ledge is not included.</w:t>
            </w:r>
          </w:p>
        </w:tc>
        <w:tc>
          <w:tcPr>
            <w:tcW w:type="dxa" w:w="4873"/>
          </w:tcPr>
          <w:p>
            <w:pPr>
              <w:jc w:val="center"/>
            </w:pPr>
            <w:r>
              <w:drawing>
                <wp:inline xmlns:a="http://schemas.openxmlformats.org/drawingml/2006/main" xmlns:pic="http://schemas.openxmlformats.org/drawingml/2006/picture">
                  <wp:extent cx="2743200" cy="2057400"/>
                  <wp:docPr id="36" name="Picture 36"/>
                  <wp:cNvGraphicFramePr>
                    <a:graphicFrameLocks noChangeAspect="1"/>
                  </wp:cNvGraphicFramePr>
                  <a:graphic>
                    <a:graphicData uri="http://schemas.openxmlformats.org/drawingml/2006/picture">
                      <pic:pic>
                        <pic:nvPicPr>
                          <pic:cNvPr id="0" name="Oring_caliper_outer_diameter.jpg"/>
                          <pic:cNvPicPr/>
                        </pic:nvPicPr>
                        <pic:blipFill>
                          <a:blip r:embed="rId46"/>
                          <a:stretch>
                            <a:fillRect/>
                          </a:stretch>
                        </pic:blipFill>
                        <pic:spPr>
                          <a:xfrm>
                            <a:off x="0" y="0"/>
                            <a:ext cx="2743200" cy="2057400"/>
                          </a:xfrm>
                          <a:prstGeom prst="rect"/>
                        </pic:spPr>
                      </pic:pic>
                    </a:graphicData>
                  </a:graphic>
                </wp:inline>
              </w:drawing>
            </w:r>
          </w:p>
          <w:p>
            <w:pPr>
              <w:pStyle w:val="GLDFigureTitle"/>
              <w:spacing w:after="0"/>
              <w:jc w:val="center"/>
            </w:pPr>
            <w:r>
              <w:rPr>
                <w:b/>
                <w:color w:val="1B335F"/>
                <w:sz w:val="17"/>
              </w:rPr>
              <w:t>Figure 4-134. GLD V2 – Cover O-ring — outer diameter ≈91.0 mm.</w:t>
            </w:r>
          </w:p>
          <w:p>
            <w:pPr>
              <w:spacing w:after="160"/>
              <w:jc w:val="center"/>
            </w:pPr>
            <w:r>
              <w:rPr>
                <w:color w:val="555B66"/>
                <w:sz w:val="16"/>
              </w:rPr>
              <w:t>O-ring removed and measured across its outside with the caliper jaws: reading ≈91.0 mm (unstretched; the inner diameter is ≈85.6 mm by subtracting 2 × 2.70 mm cord).</w:t>
            </w:r>
          </w:p>
        </w:tc>
      </w:tr>
      <w:tr>
        <w:tc>
          <w:tcPr>
            <w:tcW w:type="dxa" w:w="4873"/>
          </w:tcPr>
          <w:p>
            <w:pPr>
              <w:jc w:val="center"/>
            </w:pPr>
            <w:r>
              <w:drawing>
                <wp:inline xmlns:a="http://schemas.openxmlformats.org/drawingml/2006/main" xmlns:pic="http://schemas.openxmlformats.org/drawingml/2006/picture">
                  <wp:extent cx="2125980" cy="2834640"/>
                  <wp:docPr id="37" name="Picture 37"/>
                  <wp:cNvGraphicFramePr>
                    <a:graphicFrameLocks noChangeAspect="1"/>
                  </wp:cNvGraphicFramePr>
                  <a:graphic>
                    <a:graphicData uri="http://schemas.openxmlformats.org/drawingml/2006/picture">
                      <pic:pic>
                        <pic:nvPicPr>
                          <pic:cNvPr id="0" name="Cover_caliper_internal_thread_length.jpg"/>
                          <pic:cNvPicPr/>
                        </pic:nvPicPr>
                        <pic:blipFill>
                          <a:blip r:embed="rId47"/>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4-135. GLD V2 – Cover internal thread length — caliper ≈18.9 mm.</w:t>
            </w:r>
          </w:p>
          <w:p>
            <w:pPr>
              <w:spacing w:after="160"/>
              <w:jc w:val="center"/>
            </w:pPr>
            <w:r>
              <w:rPr>
                <w:color w:val="555B66"/>
                <w:sz w:val="16"/>
              </w:rPr>
              <w:t>Caliper held vertically inside the cover from the cover rim to the end of the internal thread: reading ≈18.9 mm.</w:t>
            </w:r>
          </w:p>
        </w:tc>
        <w:tc>
          <w:tcPr>
            <w:tcW w:type="dxa" w:w="4873"/>
          </w:tcPr>
          <w:p>
            <w:pPr>
              <w:jc w:val="center"/>
            </w:pPr>
            <w:r>
              <w:drawing>
                <wp:inline xmlns:a="http://schemas.openxmlformats.org/drawingml/2006/main" xmlns:pic="http://schemas.openxmlformats.org/drawingml/2006/picture">
                  <wp:extent cx="2125980" cy="2834640"/>
                  <wp:docPr id="38" name="Picture 38"/>
                  <wp:cNvGraphicFramePr>
                    <a:graphicFrameLocks noChangeAspect="1"/>
                  </wp:cNvGraphicFramePr>
                  <a:graphic>
                    <a:graphicData uri="http://schemas.openxmlformats.org/drawingml/2006/picture">
                      <pic:pic>
                        <pic:nvPicPr>
                          <pic:cNvPr id="0" name="Base_caliper_neck_height_from_body.jpg"/>
                          <pic:cNvPicPr/>
                        </pic:nvPicPr>
                        <pic:blipFill>
                          <a:blip r:embed="rId48"/>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4-136. GLD V2 – Base neck height from the body shoulder — caliper ≈20.2 mm.</w:t>
            </w:r>
          </w:p>
          <w:p>
            <w:pPr>
              <w:spacing w:after="160"/>
              <w:jc w:val="center"/>
            </w:pPr>
            <w:r>
              <w:rPr>
                <w:color w:val="555B66"/>
                <w:sz w:val="16"/>
              </w:rPr>
              <w:t>Caliper from the painted body shoulder below the O-ring to the top of the threaded neck: reading ≈20.2 mm (compare ≈14.8 mm measured from the O-ring level, Figure 4-130).</w:t>
            </w:r>
          </w:p>
        </w:tc>
      </w:tr>
      <w:tr>
        <w:tc>
          <w:tcPr>
            <w:tcW w:type="dxa" w:w="4873"/>
          </w:tcPr>
          <w:p>
            <w:pPr>
              <w:jc w:val="center"/>
            </w:pPr>
            <w:r>
              <w:drawing>
                <wp:inline xmlns:a="http://schemas.openxmlformats.org/drawingml/2006/main" xmlns:pic="http://schemas.openxmlformats.org/drawingml/2006/picture">
                  <wp:extent cx="2125980" cy="2834640"/>
                  <wp:docPr id="39" name="Picture 39"/>
                  <wp:cNvGraphicFramePr>
                    <a:graphicFrameLocks noChangeAspect="1"/>
                  </wp:cNvGraphicFramePr>
                  <a:graphic>
                    <a:graphicData uri="http://schemas.openxmlformats.org/drawingml/2006/picture">
                      <pic:pic>
                        <pic:nvPicPr>
                          <pic:cNvPr id="0" name="Cover_ruler_internal_depth.jpg"/>
                          <pic:cNvPicPr/>
                        </pic:nvPicPr>
                        <pic:blipFill>
                          <a:blip r:embed="rId49"/>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4-137. GLD V2 – Cover internal depth — steel rule ≈47.5 mm.</w:t>
            </w:r>
          </w:p>
          <w:p>
            <w:pPr>
              <w:spacing w:after="160"/>
              <w:jc w:val="center"/>
            </w:pPr>
            <w:r>
              <w:rPr>
                <w:color w:val="555B66"/>
                <w:sz w:val="16"/>
              </w:rPr>
              <w:t>Steel rule standing on the stainless-steel mesh inside the cover: cover rim at about 47.5 mm (rule reading, ±1 mm).</w:t>
            </w:r>
          </w:p>
        </w:tc>
        <w:tc>
          <w:tcPr>
            <w:tcW w:type="dxa" w:w="4873"/>
          </w:tcPr>
          <w:p/>
        </w:tc>
      </w:tr>
    </w:tbl>
    <w:p>
      <w:pPr>
        <w:spacing w:after="80"/>
      </w:pPr>
    </w:p>
    <w:p>
      <w:pPr>
        <w:pStyle w:val="Heading2"/>
      </w:pPr>
      <w:r>
        <w:t>2.5 · Description of Intended Use and Installation Environment</w:t>
      </w:r>
    </w:p>
    <w:p>
      <w:pPr>
        <w:spacing w:after="160"/>
      </w:pPr>
      <w:r>
        <w:rPr>
          <w:b w:val="0"/>
          <w:i w:val="0"/>
          <w:sz w:val="21"/>
        </w:rPr>
        <w:t>The GLD is intended for continuous, fixed-point monitoring of flammable and selected process gas leaks in oil &amp; gas refinery hazardous areas: process units, tank farms, pipe racks, and loading/unloading areas.</w:t>
      </w:r>
    </w:p>
    <w:tbl>
      <w:tblPr>
        <w:tblStyle w:val="TableGrid"/>
        <w:tblW w:type="auto" w:w="0"/>
        <w:jc w:val="center"/>
        <w:tblLook w:firstColumn="1" w:firstRow="1" w:lastColumn="0" w:lastRow="0" w:noHBand="0" w:noVBand="1" w:val="04A0"/>
      </w:tblPr>
      <w:tblGrid>
        <w:gridCol w:w="3249"/>
        <w:gridCol w:w="3249"/>
        <w:gridCol w:w="3249"/>
      </w:tblGrid>
      <w:tr>
        <w:tc>
          <w:tcPr>
            <w:tcW w:type="dxa" w:w="2592"/>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Value</w:t>
            </w:r>
          </w:p>
        </w:tc>
        <w:tc>
          <w:tcPr>
            <w:tcW w:type="dxa" w:w="2880"/>
            <w:shd w:val="clear" w:color="auto" w:fill="EFEFEF"/>
          </w:tcPr>
          <w:p>
            <w:pPr>
              <w:spacing w:after="40"/>
            </w:pPr>
            <w:r>
              <w:rPr>
                <w:b/>
                <w:color w:val="4A4A4A"/>
                <w:sz w:val="18"/>
              </w:rPr>
              <w:t>Status</w:t>
            </w:r>
          </w:p>
        </w:tc>
      </w:tr>
      <w:tr>
        <w:tc>
          <w:tcPr>
            <w:tcW w:type="dxa" w:w="2592"/>
          </w:tcPr>
          <w:p>
            <w:pPr>
              <w:spacing w:after="40"/>
            </w:pPr>
            <w:r>
              <w:rPr>
                <w:sz w:val="19"/>
              </w:rPr>
              <w:t>Gas group</w:t>
            </w:r>
          </w:p>
        </w:tc>
        <w:tc>
          <w:tcPr>
            <w:tcW w:type="dxa" w:w="4176"/>
          </w:tcPr>
          <w:p>
            <w:pPr>
              <w:spacing w:after="40"/>
            </w:pPr>
            <w:r>
              <w:rPr>
                <w:sz w:val="19"/>
              </w:rPr>
              <w:t>IIC</w:t>
            </w:r>
          </w:p>
        </w:tc>
        <w:tc>
          <w:tcPr>
            <w:tcW w:type="dxa" w:w="2880"/>
          </w:tcPr>
          <w:p>
            <w:pPr>
              <w:spacing w:after="40"/>
            </w:pPr>
            <w:r>
              <w:rPr>
                <w:sz w:val="19"/>
              </w:rPr>
              <w:t>Internal recommendation, not an ExCB decision</w:t>
            </w:r>
          </w:p>
        </w:tc>
      </w:tr>
      <w:tr>
        <w:tc>
          <w:tcPr>
            <w:tcW w:type="dxa" w:w="2592"/>
          </w:tcPr>
          <w:p>
            <w:pPr>
              <w:spacing w:after="40"/>
            </w:pPr>
            <w:r>
              <w:rPr>
                <w:sz w:val="19"/>
              </w:rPr>
              <w:t>Temperature class</w:t>
            </w:r>
          </w:p>
        </w:tc>
        <w:tc>
          <w:tcPr>
            <w:tcW w:type="dxa" w:w="4176"/>
          </w:tcPr>
          <w:p>
            <w:pPr>
              <w:spacing w:after="40"/>
            </w:pPr>
            <w:r>
              <w:rPr>
                <w:sz w:val="19"/>
              </w:rPr>
              <w:t>T4 (≤135°C)</w:t>
            </w:r>
          </w:p>
        </w:tc>
        <w:tc>
          <w:tcPr>
            <w:tcW w:type="dxa" w:w="2880"/>
          </w:tcPr>
          <w:p>
            <w:pPr>
              <w:spacing w:after="40"/>
            </w:pPr>
            <w:r>
              <w:rPr>
                <w:sz w:val="19"/>
              </w:rPr>
              <w:t>Target — preliminary internal measurement supports it (Section 2.6.f); formal verification outstanding</w:t>
            </w:r>
          </w:p>
        </w:tc>
      </w:tr>
      <w:tr>
        <w:tc>
          <w:tcPr>
            <w:tcW w:type="dxa" w:w="2592"/>
          </w:tcPr>
          <w:p>
            <w:pPr>
              <w:spacing w:after="40"/>
            </w:pPr>
            <w:r>
              <w:rPr>
                <w:sz w:val="19"/>
              </w:rPr>
              <w:t>Area classification</w:t>
            </w:r>
          </w:p>
        </w:tc>
        <w:tc>
          <w:tcPr>
            <w:tcW w:type="dxa" w:w="4176"/>
          </w:tcPr>
          <w:p>
            <w:pPr>
              <w:spacing w:after="40"/>
            </w:pPr>
            <w:r>
              <w:rPr>
                <w:sz w:val="19"/>
              </w:rPr>
              <w:t>Zone 1, Equipment Category 2G, Group II</w:t>
            </w:r>
          </w:p>
        </w:tc>
        <w:tc>
          <w:tcPr>
            <w:tcW w:type="dxa" w:w="2880"/>
          </w:tcPr>
          <w:p>
            <w:pPr>
              <w:spacing w:after="40"/>
            </w:pPr>
            <w:r>
              <w:rPr>
                <w:sz w:val="19"/>
              </w:rPr>
              <w:t>Requested — subject to ExCB assessment</w:t>
            </w:r>
          </w:p>
        </w:tc>
      </w:tr>
      <w:tr>
        <w:tc>
          <w:tcPr>
            <w:tcW w:type="dxa" w:w="2592"/>
          </w:tcPr>
          <w:p>
            <w:pPr>
              <w:spacing w:after="40"/>
            </w:pPr>
            <w:r>
              <w:rPr>
                <w:sz w:val="19"/>
              </w:rPr>
              <w:t>Type of protection</w:t>
            </w:r>
          </w:p>
        </w:tc>
        <w:tc>
          <w:tcPr>
            <w:tcW w:type="dxa" w:w="4176"/>
          </w:tcPr>
          <w:p>
            <w:pPr>
              <w:spacing w:after="40"/>
            </w:pPr>
            <w:r>
              <w:rPr>
                <w:sz w:val="19"/>
              </w:rPr>
              <w:t>Ex d — flameproof enclosure (II 2G Ex db IIC T4 Gb)</w:t>
            </w:r>
          </w:p>
        </w:tc>
        <w:tc>
          <w:tcPr>
            <w:tcW w:type="dxa" w:w="2880"/>
          </w:tcPr>
          <w:p>
            <w:pPr>
              <w:spacing w:after="40"/>
            </w:pPr>
            <w:r>
              <w:rPr>
                <w:sz w:val="19"/>
              </w:rPr>
              <w:t>Internal recommendation, not an ExCB decision</w:t>
            </w:r>
          </w:p>
        </w:tc>
      </w:tr>
      <w:tr>
        <w:tc>
          <w:tcPr>
            <w:tcW w:type="dxa" w:w="2592"/>
          </w:tcPr>
          <w:p>
            <w:pPr>
              <w:spacing w:after="40"/>
            </w:pPr>
            <w:r>
              <w:rPr>
                <w:sz w:val="19"/>
              </w:rPr>
              <w:t>Equipment protection level</w:t>
            </w:r>
          </w:p>
        </w:tc>
        <w:tc>
          <w:tcPr>
            <w:tcW w:type="dxa" w:w="4176"/>
          </w:tcPr>
          <w:p>
            <w:pPr>
              <w:spacing w:after="40"/>
            </w:pPr>
            <w:r>
              <w:rPr>
                <w:sz w:val="19"/>
              </w:rPr>
              <w:t>EPL Gb</w:t>
            </w:r>
          </w:p>
        </w:tc>
        <w:tc>
          <w:tcPr>
            <w:tcW w:type="dxa" w:w="2880"/>
          </w:tcPr>
          <w:p>
            <w:pPr>
              <w:spacing w:after="40"/>
            </w:pPr>
            <w:r>
              <w:rPr>
                <w:sz w:val="19"/>
              </w:rPr>
              <w:t>Proposed — subject to ExCB assessment</w:t>
            </w:r>
          </w:p>
        </w:tc>
      </w:tr>
      <w:tr>
        <w:tc>
          <w:tcPr>
            <w:tcW w:type="dxa" w:w="2592"/>
          </w:tcPr>
          <w:p>
            <w:pPr>
              <w:spacing w:after="40"/>
            </w:pPr>
            <w:r>
              <w:rPr>
                <w:sz w:val="19"/>
              </w:rPr>
              <w:t>Ambient temperature</w:t>
            </w:r>
          </w:p>
        </w:tc>
        <w:tc>
          <w:tcPr>
            <w:tcW w:type="dxa" w:w="4176"/>
          </w:tcPr>
          <w:p>
            <w:pPr>
              <w:spacing w:after="40"/>
            </w:pPr>
            <w:r>
              <w:rPr>
                <w:sz w:val="19"/>
              </w:rPr>
              <w:t>−20 °C to +60 °C</w:t>
            </w:r>
          </w:p>
        </w:tc>
        <w:tc>
          <w:tcPr>
            <w:tcW w:type="dxa" w:w="2880"/>
          </w:tcPr>
          <w:p>
            <w:pPr>
              <w:spacing w:after="40"/>
            </w:pPr>
            <w:r>
              <w:rPr>
                <w:sz w:val="19"/>
              </w:rPr>
              <w:t>Rated range</w:t>
            </w:r>
          </w:p>
        </w:tc>
      </w:tr>
      <w:tr>
        <w:tc>
          <w:tcPr>
            <w:tcW w:type="dxa" w:w="2592"/>
          </w:tcPr>
          <w:p>
            <w:pPr>
              <w:spacing w:after="40"/>
            </w:pPr>
            <w:r>
              <w:rPr>
                <w:sz w:val="19"/>
              </w:rPr>
              <w:t>Operating humidity</w:t>
            </w:r>
          </w:p>
        </w:tc>
        <w:tc>
          <w:tcPr>
            <w:tcW w:type="dxa" w:w="4176"/>
          </w:tcPr>
          <w:p>
            <w:pPr>
              <w:spacing w:after="40"/>
            </w:pPr>
            <w:r>
              <w:rPr>
                <w:sz w:val="19"/>
              </w:rPr>
              <w:t>5–95 % RH, non-condensing</w:t>
            </w:r>
          </w:p>
        </w:tc>
        <w:tc>
          <w:tcPr>
            <w:tcW w:type="dxa" w:w="2880"/>
          </w:tcPr>
          <w:p>
            <w:pPr>
              <w:spacing w:after="40"/>
            </w:pPr>
            <w:r>
              <w:rPr>
                <w:sz w:val="19"/>
              </w:rPr>
              <w:t>Rated range</w:t>
            </w:r>
          </w:p>
        </w:tc>
      </w:tr>
      <w:tr>
        <w:tc>
          <w:tcPr>
            <w:tcW w:type="dxa" w:w="2592"/>
          </w:tcPr>
          <w:p>
            <w:pPr>
              <w:spacing w:after="40"/>
            </w:pPr>
            <w:r>
              <w:rPr>
                <w:sz w:val="19"/>
              </w:rPr>
              <w:t>Explosive atmosphere</w:t>
            </w:r>
          </w:p>
        </w:tc>
        <w:tc>
          <w:tcPr>
            <w:tcW w:type="dxa" w:w="4176"/>
          </w:tcPr>
          <w:p>
            <w:pPr>
              <w:spacing w:after="40"/>
            </w:pPr>
            <w:r>
              <w:rPr>
                <w:sz w:val="19"/>
              </w:rPr>
              <w:t>Gas atmospheres only — combustible dust not included; no dust marking requested</w:t>
            </w:r>
          </w:p>
        </w:tc>
        <w:tc>
          <w:tcPr>
            <w:tcW w:type="dxa" w:w="2880"/>
          </w:tcPr>
          <w:p>
            <w:pPr>
              <w:spacing w:after="40"/>
            </w:pPr>
            <w:r>
              <w:rPr>
                <w:sz w:val="19"/>
              </w:rPr>
              <w:t>Final</w:t>
            </w:r>
          </w:p>
        </w:tc>
      </w:tr>
    </w:tbl>
    <w:p>
      <w:pPr>
        <w:spacing w:after="120"/>
      </w:pPr>
    </w:p>
    <w:p>
      <w:pPr>
        <w:spacing w:after="160"/>
      </w:pPr>
      <w:r>
        <w:rPr>
          <w:b w:val="0"/>
          <w:i/>
          <w:sz w:val="19"/>
        </w:rPr>
        <w:t>Type of protection selected over Ex e and Ex i based on the existing enclosure design: a die-cast aluminum (ADC12) housing whose front stainless-steel mesh is the intended flame-path element of the gas inlet (subject to type test or a certified flame arrestor) —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w:t>
      </w:r>
    </w:p>
    <w:p>
      <w:pPr>
        <w:spacing w:after="160"/>
      </w:pPr>
      <w:r>
        <w:rPr>
          <w:b w:val="0"/>
          <w:i/>
          <w:sz w:val="19"/>
        </w:rPr>
        <w:t>These classification parameters are the applicant's proposal, recorded here as a request, not as an agreed or granted classification. Installation: fixed mounting by the U-bolt mounting plate with the front mesh unobstructed; 24 VDC cable through a certified Ex d gland (M20 × 1.5); unused entries closed with certified Ex d plugs; external protective-earth connection; the cover must not be opened while an explosive atmosphere may be present.</w:t>
      </w:r>
    </w:p>
    <w:p>
      <w:pPr>
        <w:pStyle w:val="Heading2"/>
      </w:pPr>
      <w:r>
        <w:t>2.6 · Design and Manufacturing Information</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9-sheet block-diagram set exist for the GLD V2 main board, exported from the native EasyEDA/JLCPCB source project, with pin-to-net traceability evidence.</w:t>
      </w:r>
    </w:p>
    <w:p>
      <w:pPr>
        <w:jc w:val="center"/>
      </w:pPr>
      <w:r>
        <w:drawing>
          <wp:inline xmlns:a="http://schemas.openxmlformats.org/drawingml/2006/main" xmlns:pic="http://schemas.openxmlformats.org/drawingml/2006/picture">
            <wp:extent cx="5486400" cy="3657600"/>
            <wp:docPr id="40" name="Picture 40"/>
            <wp:cNvGraphicFramePr>
              <a:graphicFrameLocks noChangeAspect="1"/>
            </wp:cNvGraphicFramePr>
            <a:graphic>
              <a:graphicData uri="http://schemas.openxmlformats.org/drawingml/2006/picture">
                <pic:pic>
                  <pic:nvPicPr>
                    <pic:cNvPr id="0" name="02-diagram.png"/>
                    <pic:cNvPicPr/>
                  </pic:nvPicPr>
                  <pic:blipFill>
                    <a:blip r:embed="rId50"/>
                    <a:stretch>
                      <a:fillRect/>
                    </a:stretch>
                  </pic:blipFill>
                  <pic:spPr>
                    <a:xfrm>
                      <a:off x="0" y="0"/>
                      <a:ext cx="5486400" cy="3657600"/>
                    </a:xfrm>
                    <a:prstGeom prst="rect"/>
                  </pic:spPr>
                </pic:pic>
              </a:graphicData>
            </a:graphic>
          </wp:inline>
        </w:drawing>
      </w:r>
    </w:p>
    <w:p>
      <w:pPr>
        <w:spacing w:after="240"/>
        <w:jc w:val="center"/>
      </w:pPr>
      <w:r>
        <w:rPr>
          <w:i/>
          <w:color w:val="4A4A4A"/>
          <w:sz w:val="17"/>
        </w:rPr>
        <w:t>Schematic block diagram, sheet 2 of 9 — main power distribution.</w:t>
      </w:r>
    </w:p>
    <w:p>
      <w:pPr>
        <w:jc w:val="center"/>
      </w:pPr>
      <w:r>
        <w:drawing>
          <wp:inline xmlns:a="http://schemas.openxmlformats.org/drawingml/2006/main" xmlns:pic="http://schemas.openxmlformats.org/drawingml/2006/picture">
            <wp:extent cx="4188616" cy="4206240"/>
            <wp:docPr id="41" name="Picture 41"/>
            <wp:cNvGraphicFramePr>
              <a:graphicFrameLocks noChangeAspect="1"/>
            </wp:cNvGraphicFramePr>
            <a:graphic>
              <a:graphicData uri="http://schemas.openxmlformats.org/drawingml/2006/picture">
                <pic:pic>
                  <pic:nvPicPr>
                    <pic:cNvPr id="0" name="10-pcb-layout.png"/>
                    <pic:cNvPicPr/>
                  </pic:nvPicPr>
                  <pic:blipFill>
                    <a:blip r:embed="rId51"/>
                    <a:stretch>
                      <a:fillRect/>
                    </a:stretch>
                  </pic:blipFill>
                  <pic:spPr>
                    <a:xfrm>
                      <a:off x="0" y="0"/>
                      <a:ext cx="4188616" cy="4206240"/>
                    </a:xfrm>
                    <a:prstGeom prst="rect"/>
                  </pic:spPr>
                </pic:pic>
              </a:graphicData>
            </a:graphic>
          </wp:inline>
        </w:drawing>
      </w:r>
    </w:p>
    <w:p>
      <w:pPr>
        <w:spacing w:after="240"/>
        <w:jc w:val="center"/>
      </w:pPr>
      <w:r>
        <w:rPr>
          <w:i/>
          <w:color w:val="4A4A4A"/>
          <w:sz w:val="17"/>
        </w:rPr>
        <w:t>Main board PCB layout (top copper) — native EasyEDA/JLCPCB export, production-intent board.</w:t>
      </w:r>
    </w:p>
    <w:p>
      <w:pPr>
        <w:spacing w:after="160"/>
      </w:pPr>
      <w:r>
        <w:rPr>
          <w:b w:val="0"/>
          <w:i w:val="0"/>
          <w:sz w:val="21"/>
        </w:rPr>
        <w:t>A dimensioned mechanical drawing exists for the enclosure's external envelope and mounting hardware, drafted from a solid CAD model (STEP format, millimeter units):</w:t>
      </w:r>
    </w:p>
    <w:p>
      <w:pPr>
        <w:jc w:val="center"/>
      </w:pPr>
      <w:r>
        <w:drawing>
          <wp:inline xmlns:a="http://schemas.openxmlformats.org/drawingml/2006/main" xmlns:pic="http://schemas.openxmlformats.org/drawingml/2006/picture">
            <wp:extent cx="5669280" cy="3847707"/>
            <wp:docPr id="42" name="Picture 42"/>
            <wp:cNvGraphicFramePr>
              <a:graphicFrameLocks noChangeAspect="1"/>
            </wp:cNvGraphicFramePr>
            <a:graphic>
              <a:graphicData uri="http://schemas.openxmlformats.org/drawingml/2006/picture">
                <pic:pic>
                  <pic:nvPicPr>
                    <pic:cNvPr id="0" name="bracket-mounting-drawing.png"/>
                    <pic:cNvPicPr/>
                  </pic:nvPicPr>
                  <pic:blipFill>
                    <a:blip r:embed="rId52"/>
                    <a:stretch>
                      <a:fillRect/>
                    </a:stretch>
                  </pic:blipFill>
                  <pic:spPr>
                    <a:xfrm>
                      <a:off x="0" y="0"/>
                      <a:ext cx="5669280" cy="3847707"/>
                    </a:xfrm>
                    <a:prstGeom prst="rect"/>
                  </pic:spPr>
                </pic:pic>
              </a:graphicData>
            </a:graphic>
          </wp:inline>
        </w:drawing>
      </w:r>
    </w:p>
    <w:p>
      <w:pPr>
        <w:spacing w:after="240"/>
        <w:jc w:val="center"/>
      </w:pPr>
      <w:r>
        <w:rPr>
          <w:i/>
          <w:color w:val="4A4A4A"/>
          <w:sz w:val="17"/>
        </w:rPr>
        <w:t>Enclosure envelope &amp; U-bolt mounting plate assembly — dimensioned drawing sheet (drafted 31 Aug 2026, from a STEP solid model).</w:t>
      </w:r>
    </w:p>
    <w:p>
      <w:pPr>
        <w:spacing w:after="160"/>
      </w:pPr>
      <w:r>
        <w:rPr>
          <w:b w:val="0"/>
          <w:i w:val="0"/>
          <w:sz w:val="21"/>
        </w:rPr>
        <w:t>A separate, internal contingency/alternate enclosure design (“GLD ATEX CASE v3”) exists in parallel with the primary commercial-enclosure sourcing path referenced in Section 2.3:</w:t>
      </w:r>
    </w:p>
    <w:p>
      <w:pPr>
        <w:jc w:val="center"/>
      </w:pPr>
      <w:r>
        <w:drawing>
          <wp:inline xmlns:a="http://schemas.openxmlformats.org/drawingml/2006/main" xmlns:pic="http://schemas.openxmlformats.org/drawingml/2006/picture">
            <wp:extent cx="5669280" cy="3188136"/>
            <wp:docPr id="43" name="Picture 43"/>
            <wp:cNvGraphicFramePr>
              <a:graphicFrameLocks noChangeAspect="1"/>
            </wp:cNvGraphicFramePr>
            <a:graphic>
              <a:graphicData uri="http://schemas.openxmlformats.org/drawingml/2006/picture">
                <pic:pic>
                  <pic:nvPicPr>
                    <pic:cNvPr id="0" name="gld_atex_case_v3_dimensioned.png"/>
                    <pic:cNvPicPr/>
                  </pic:nvPicPr>
                  <pic:blipFill>
                    <a:blip r:embed="rId53"/>
                    <a:stretch>
                      <a:fillRect/>
                    </a:stretch>
                  </pic:blipFill>
                  <pic:spPr>
                    <a:xfrm>
                      <a:off x="0" y="0"/>
                      <a:ext cx="5669280" cy="3188136"/>
                    </a:xfrm>
                    <a:prstGeom prst="rect"/>
                  </pic:spPr>
                </pic:pic>
              </a:graphicData>
            </a:graphic>
          </wp:inline>
        </w:drawing>
      </w:r>
    </w:p>
    <w:p>
      <w:pPr>
        <w:spacing w:after="240"/>
        <w:jc w:val="center"/>
      </w:pPr>
      <w:r>
        <w:rPr>
          <w:i/>
          <w:color w:val="4A4A4A"/>
          <w:sz w:val="17"/>
        </w:rPr>
        <w:t>“GLD ATEX CASE v3” dimensioned drawing sheet (8 Sep 2026) — internal contingency/alternate enclosure design, not the confirmed production enclosure.</w:t>
      </w:r>
    </w:p>
    <w:p>
      <w:pPr>
        <w:spacing w:after="160"/>
      </w:pPr>
      <w:r>
        <w:rPr>
          <w:b w:val="0"/>
          <w:i w:val="0"/>
          <w:sz w:val="21"/>
        </w:rPr>
        <w:t>A candidate junction-box/terminal sub-component drawing has also been received via the casing partner's supply chain (Chinese enclosure-component manufacturer):</w:t>
      </w:r>
    </w:p>
    <w:p>
      <w:pPr>
        <w:jc w:val="center"/>
      </w:pPr>
      <w:r>
        <w:drawing>
          <wp:inline xmlns:a="http://schemas.openxmlformats.org/drawingml/2006/main" xmlns:pic="http://schemas.openxmlformats.org/drawingml/2006/picture">
            <wp:extent cx="5486400" cy="3875980"/>
            <wp:docPr id="44" name="Picture 44"/>
            <wp:cNvGraphicFramePr>
              <a:graphicFrameLocks noChangeAspect="1"/>
            </wp:cNvGraphicFramePr>
            <a:graphic>
              <a:graphicData uri="http://schemas.openxmlformats.org/drawingml/2006/picture">
                <pic:pic>
                  <pic:nvPicPr>
                    <pic:cNvPr id="0" name="bp18-1z_common_base_reference.png"/>
                    <pic:cNvPicPr/>
                  </pic:nvPicPr>
                  <pic:blipFill>
                    <a:blip r:embed="rId54"/>
                    <a:stretch>
                      <a:fillRect/>
                    </a:stretch>
                  </pic:blipFill>
                  <pic:spPr>
                    <a:xfrm>
                      <a:off x="0" y="0"/>
                      <a:ext cx="5486400" cy="3875980"/>
                    </a:xfrm>
                    <a:prstGeom prst="rect"/>
                  </pic:spPr>
                </pic:pic>
              </a:graphicData>
            </a:graphic>
          </wp:inline>
        </w:drawing>
      </w:r>
    </w:p>
    <w:p>
      <w:pPr>
        <w:spacing w:after="240"/>
        <w:jc w:val="center"/>
      </w:pPr>
      <w:r>
        <w:rPr>
          <w:i/>
          <w:color w:val="4A4A4A"/>
          <w:sz w:val="17"/>
        </w:rPr>
        <w:t>“Universal Base” BP18-1Z — supplier reference drawing (ADC12 die-cast aluminum alloy, 0.6 kg). Candidate component under evaluation; footprint does not match GLD's main enclosure, not yet confirmed as part of GLD's design.</w:t>
      </w:r>
    </w:p>
    <w:tbl>
      <w:tblPr>
        <w:tblStyle w:val="TableGrid"/>
        <w:tblW w:type="auto" w:w="0"/>
        <w:jc w:val="center"/>
        <w:tblLook w:firstColumn="1" w:firstRow="1" w:lastColumn="0" w:lastRow="0" w:noHBand="0" w:noVBand="1" w:val="04A0"/>
      </w:tblPr>
      <w:tblGrid>
        <w:gridCol w:w="4873"/>
        <w:gridCol w:w="4873"/>
      </w:tblGrid>
      <w:tr>
        <w:tc>
          <w:tcPr>
            <w:tcW w:type="dxa" w:w="4176"/>
            <w:shd w:val="clear" w:color="auto" w:fill="EFEFEF"/>
          </w:tcPr>
          <w:p>
            <w:pPr>
              <w:spacing w:after="40"/>
            </w:pPr>
            <w:r>
              <w:rPr>
                <w:b/>
                <w:color w:val="4A4A4A"/>
                <w:sz w:val="18"/>
              </w:rPr>
              <w:t>Drawing type</w:t>
            </w:r>
          </w:p>
        </w:tc>
        <w:tc>
          <w:tcPr>
            <w:tcW w:type="dxa" w:w="5184"/>
            <w:shd w:val="clear" w:color="auto" w:fill="EFEFEF"/>
          </w:tcPr>
          <w:p>
            <w:pPr>
              <w:spacing w:after="40"/>
            </w:pPr>
            <w:r>
              <w:rPr>
                <w:b/>
                <w:color w:val="4A4A4A"/>
                <w:sz w:val="18"/>
              </w:rPr>
              <w:t>Status</w:t>
            </w:r>
          </w:p>
        </w:tc>
      </w:tr>
      <w:tr>
        <w:tc>
          <w:tcPr>
            <w:tcW w:type="dxa" w:w="4176"/>
          </w:tcPr>
          <w:p>
            <w:pPr>
              <w:spacing w:after="40"/>
            </w:pPr>
            <w:r>
              <w:rPr>
                <w:sz w:val="19"/>
              </w:rPr>
              <w:t>Electrical schematic — main board</w:t>
            </w:r>
          </w:p>
        </w:tc>
        <w:tc>
          <w:tcPr>
            <w:tcW w:type="dxa" w:w="5184"/>
          </w:tcPr>
          <w:p>
            <w:pPr>
              <w:spacing w:after="40"/>
            </w:pPr>
            <w:r>
              <w:rPr>
                <w:sz w:val="19"/>
              </w:rPr>
              <w:t>Available — 26 sheets PGLD-GLD-V4-MB-SCH-01 to -26, rev. 1.0 (Section 2.6.a.7); sensor-module board schematic not yet included</w:t>
            </w:r>
          </w:p>
        </w:tc>
      </w:tr>
      <w:tr>
        <w:tc>
          <w:tcPr>
            <w:tcW w:type="dxa" w:w="4176"/>
          </w:tcPr>
          <w:p>
            <w:pPr>
              <w:spacing w:after="40"/>
            </w:pPr>
            <w:r>
              <w:rPr>
                <w:sz w:val="19"/>
              </w:rPr>
              <w:t>PCB layout — main board</w:t>
            </w:r>
          </w:p>
        </w:tc>
        <w:tc>
          <w:tcPr>
            <w:tcW w:type="dxa" w:w="5184"/>
          </w:tcPr>
          <w:p>
            <w:pPr>
              <w:spacing w:after="40"/>
            </w:pPr>
            <w:r>
              <w:rPr>
                <w:sz w:val="19"/>
              </w:rPr>
              <w:t>Partially available — 10 views PGLD-GLD-V4-MB-PCB-01 to -10 (Section 2.6.a.8); layout rev/date, laminate data and sensor-module board layout open</w:t>
            </w:r>
          </w:p>
        </w:tc>
      </w:tr>
      <w:tr>
        <w:tc>
          <w:tcPr>
            <w:tcW w:type="dxa" w:w="4176"/>
          </w:tcPr>
          <w:p>
            <w:pPr>
              <w:spacing w:after="40"/>
            </w:pPr>
            <w:r>
              <w:rPr>
                <w:sz w:val="19"/>
              </w:rPr>
              <w:t>Assembly drawing</w:t>
            </w:r>
          </w:p>
        </w:tc>
        <w:tc>
          <w:tcPr>
            <w:tcW w:type="dxa" w:w="5184"/>
          </w:tcPr>
          <w:p>
            <w:pPr>
              <w:spacing w:after="40"/>
            </w:pPr>
            <w:r>
              <w:rPr>
                <w:sz w:val="19"/>
              </w:rPr>
              <w:t>Partially available — covers external envelope and mounting hardware, not internal PCB/component assembly sequence</w:t>
            </w:r>
          </w:p>
        </w:tc>
      </w:tr>
      <w:tr>
        <w:tc>
          <w:tcPr>
            <w:tcW w:type="dxa" w:w="4176"/>
          </w:tcPr>
          <w:p>
            <w:pPr>
              <w:spacing w:after="40"/>
            </w:pPr>
            <w:r>
              <w:rPr>
                <w:sz w:val="19"/>
              </w:rPr>
              <w:t>Component drawing</w:t>
            </w:r>
          </w:p>
        </w:tc>
        <w:tc>
          <w:tcPr>
            <w:tcW w:type="dxa" w:w="5184"/>
          </w:tcPr>
          <w:p>
            <w:pPr>
              <w:spacing w:after="40"/>
            </w:pPr>
            <w:r>
              <w:rPr>
                <w:sz w:val="19"/>
              </w:rPr>
              <w:t>Not yet available</w:t>
            </w:r>
          </w:p>
        </w:tc>
      </w:tr>
      <w:tr>
        <w:tc>
          <w:tcPr>
            <w:tcW w:type="dxa" w:w="4176"/>
          </w:tcPr>
          <w:p>
            <w:pPr>
              <w:spacing w:after="40"/>
            </w:pPr>
            <w:r>
              <w:rPr>
                <w:sz w:val="19"/>
              </w:rPr>
              <w:t>Enclosure structure drawing (gap, length, volume)</w:t>
            </w:r>
          </w:p>
        </w:tc>
        <w:tc>
          <w:tcPr>
            <w:tcW w:type="dxa" w:w="5184"/>
          </w:tcPr>
          <w:p>
            <w:pPr>
              <w:spacing w:after="40"/>
            </w:pPr>
            <w:r>
              <w:rPr>
                <w:sz w:val="19"/>
              </w:rPr>
              <w:t>Partially available — external envelope dimensioned; Ex-d-specific flame-path parameters not yet called out</w:t>
            </w:r>
          </w:p>
        </w:tc>
      </w:tr>
      <w:tr>
        <w:tc>
          <w:tcPr>
            <w:tcW w:type="dxa" w:w="4176"/>
          </w:tcPr>
          <w:p>
            <w:pPr>
              <w:spacing w:after="40"/>
            </w:pPr>
            <w:r>
              <w:rPr>
                <w:sz w:val="19"/>
              </w:rPr>
              <w:t>Junction box / terminal / grounding connection drawings</w:t>
            </w:r>
          </w:p>
        </w:tc>
        <w:tc>
          <w:tcPr>
            <w:tcW w:type="dxa" w:w="5184"/>
          </w:tcPr>
          <w:p>
            <w:pPr>
              <w:spacing w:after="40"/>
            </w:pPr>
            <w:r>
              <w:rPr>
                <w:sz w:val="19"/>
              </w:rPr>
              <w:t>Candidate reference only — BP18-1Z drawing above, not yet confirmed as part of GLD's design</w:t>
            </w:r>
          </w:p>
        </w:tc>
      </w:tr>
    </w:tbl>
    <w:p>
      <w:pPr>
        <w:spacing w:after="12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pStyle w:val="Heading5"/>
        <w:keepNext/>
        <w:spacing w:after="80" w:before="160"/>
      </w:pPr>
      <w:r>
        <w:rPr>
          <w:rFonts w:ascii="Calibri" w:hAnsi="Calibri"/>
          <w:b/>
          <w:i w:val="0"/>
          <w:color w:val="1B335F"/>
          <w:sz w:val="22"/>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pStyle w:val="Heading5"/>
        <w:keepNext/>
        <w:spacing w:after="80" w:before="160"/>
      </w:pPr>
      <w:r>
        <w:rPr>
          <w:rFonts w:ascii="Calibri" w:hAnsi="Calibri"/>
          <w:b/>
          <w:i w:val="0"/>
          <w:color w:val="1B335F"/>
          <w:sz w:val="22"/>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45" name="Picture 45"/>
            <wp:cNvGraphicFramePr>
              <a:graphicFrameLocks noChangeAspect="1"/>
            </wp:cNvGraphicFramePr>
            <a:graphic>
              <a:graphicData uri="http://schemas.openxmlformats.org/drawingml/2006/picture">
                <pic:pic>
                  <pic:nvPicPr>
                    <pic:cNvPr id="0" name="casing_v2_sheet.jpg"/>
                    <pic:cNvPicPr/>
                  </pic:nvPicPr>
                  <pic:blipFill>
                    <a:blip r:embed="rId55"/>
                    <a:stretch>
                      <a:fillRect/>
                    </a:stretch>
                  </pic:blipFill>
                  <pic:spPr>
                    <a:xfrm>
                      <a:off x="0" y="0"/>
                      <a:ext cx="5669280" cy="3847707"/>
                    </a:xfrm>
                    <a:prstGeom prst="rect"/>
                  </pic:spPr>
                </pic:pic>
              </a:graphicData>
            </a:graphic>
          </wp:inline>
        </w:drawing>
      </w:r>
    </w:p>
    <w:p>
      <w:pPr>
        <w:pStyle w:val="GLDFigureTitle"/>
        <w:keepNext/>
        <w:spacing w:after="20" w:before="40"/>
        <w:jc w:val="center"/>
      </w:pPr>
      <w:r>
        <w:rPr>
          <w:rFonts w:ascii="Calibri" w:hAnsi="Calibri"/>
          <w:b/>
          <w:i w:val="0"/>
          <w:color w:val="1B335F"/>
          <w:sz w:val="19"/>
        </w:rPr>
        <w:t>M-A1. ATEX CASING v2 — enclosure envelope &amp; U-bolt mounting plate, dimensioned sheet</w:t>
      </w:r>
    </w:p>
    <w:p>
      <w:pPr>
        <w:spacing w:after="240"/>
        <w:jc w:val="center"/>
      </w:pP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46" name="Picture 46"/>
                  <wp:cNvGraphicFramePr>
                    <a:graphicFrameLocks noChangeAspect="1"/>
                  </wp:cNvGraphicFramePr>
                  <a:graphic>
                    <a:graphicData uri="http://schemas.openxmlformats.org/drawingml/2006/picture">
                      <pic:pic>
                        <pic:nvPicPr>
                          <pic:cNvPr id="0" name="casing_v2_front.jpg"/>
                          <pic:cNvPicPr/>
                        </pic:nvPicPr>
                        <pic:blipFill>
                          <a:blip r:embed="rId56"/>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47" name="Picture 47"/>
                  <wp:cNvGraphicFramePr>
                    <a:graphicFrameLocks noChangeAspect="1"/>
                  </wp:cNvGraphicFramePr>
                  <a:graphic>
                    <a:graphicData uri="http://schemas.openxmlformats.org/drawingml/2006/picture">
                      <pic:pic>
                        <pic:nvPicPr>
                          <pic:cNvPr id="0" name="casing_v2_rear.jpg"/>
                          <pic:cNvPicPr/>
                        </pic:nvPicPr>
                        <pic:blipFill>
                          <a:blip r:embed="rId57"/>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48" name="Picture 48"/>
                  <wp:cNvGraphicFramePr>
                    <a:graphicFrameLocks noChangeAspect="1"/>
                  </wp:cNvGraphicFramePr>
                  <a:graphic>
                    <a:graphicData uri="http://schemas.openxmlformats.org/drawingml/2006/picture">
                      <pic:pic>
                        <pic:nvPicPr>
                          <pic:cNvPr id="0" name="casing_v2_left.jpg"/>
                          <pic:cNvPicPr/>
                        </pic:nvPicPr>
                        <pic:blipFill>
                          <a:blip r:embed="rId58"/>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49" name="Picture 49"/>
                  <wp:cNvGraphicFramePr>
                    <a:graphicFrameLocks noChangeAspect="1"/>
                  </wp:cNvGraphicFramePr>
                  <a:graphic>
                    <a:graphicData uri="http://schemas.openxmlformats.org/drawingml/2006/picture">
                      <pic:pic>
                        <pic:nvPicPr>
                          <pic:cNvPr id="0" name="casing_v2_right.jpg"/>
                          <pic:cNvPicPr/>
                        </pic:nvPicPr>
                        <pic:blipFill>
                          <a:blip r:embed="rId59"/>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50" name="Picture 50"/>
                  <wp:cNvGraphicFramePr>
                    <a:graphicFrameLocks noChangeAspect="1"/>
                  </wp:cNvGraphicFramePr>
                  <a:graphic>
                    <a:graphicData uri="http://schemas.openxmlformats.org/drawingml/2006/picture">
                      <pic:pic>
                        <pic:nvPicPr>
                          <pic:cNvPr id="0" name="casing_v2_top.jpg"/>
                          <pic:cNvPicPr/>
                        </pic:nvPicPr>
                        <pic:blipFill>
                          <a:blip r:embed="rId60"/>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51" name="Picture 51"/>
                  <wp:cNvGraphicFramePr>
                    <a:graphicFrameLocks noChangeAspect="1"/>
                  </wp:cNvGraphicFramePr>
                  <a:graphic>
                    <a:graphicData uri="http://schemas.openxmlformats.org/drawingml/2006/picture">
                      <pic:pic>
                        <pic:nvPicPr>
                          <pic:cNvPr id="0" name="casing_v2_bottom.jpg"/>
                          <pic:cNvPicPr/>
                        </pic:nvPicPr>
                        <pic:blipFill>
                          <a:blip r:embed="rId61"/>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pStyle w:val="Heading5"/>
        <w:keepNext/>
        <w:spacing w:after="80" w:before="160"/>
      </w:pPr>
      <w:r>
        <w:rPr>
          <w:rFonts w:ascii="Calibri" w:hAnsi="Calibri"/>
          <w:b/>
          <w:i w:val="0"/>
          <w:color w:val="1B335F"/>
          <w:sz w:val="22"/>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52" name="Picture 52"/>
            <wp:cNvGraphicFramePr>
              <a:graphicFrameLocks noChangeAspect="1"/>
            </wp:cNvGraphicFramePr>
            <a:graphic>
              <a:graphicData uri="http://schemas.openxmlformats.org/drawingml/2006/picture">
                <pic:pic>
                  <pic:nvPicPr>
                    <pic:cNvPr id="0" name="case_v3-1.jpg"/>
                    <pic:cNvPicPr/>
                  </pic:nvPicPr>
                  <pic:blipFill>
                    <a:blip r:embed="rId62"/>
                    <a:stretch>
                      <a:fillRect/>
                    </a:stretch>
                  </pic:blipFill>
                  <pic:spPr>
                    <a:xfrm>
                      <a:off x="0" y="0"/>
                      <a:ext cx="5669280" cy="3370574"/>
                    </a:xfrm>
                    <a:prstGeom prst="rect"/>
                  </pic:spPr>
                </pic:pic>
              </a:graphicData>
            </a:graphic>
          </wp:inline>
        </w:drawing>
      </w:r>
    </w:p>
    <w:p>
      <w:pPr>
        <w:pStyle w:val="GLDFigureTitle"/>
        <w:keepNext/>
        <w:spacing w:after="20" w:before="40"/>
        <w:jc w:val="center"/>
      </w:pPr>
      <w:r>
        <w:rPr>
          <w:rFonts w:ascii="Calibri" w:hAnsi="Calibri"/>
          <w:b/>
          <w:i w:val="0"/>
          <w:color w:val="1B335F"/>
          <w:sz w:val="19"/>
        </w:rPr>
        <w:t>M-B1. GLD ATEX CASE v3 — sheet 1: isometric views of the assembled detector</w:t>
      </w:r>
    </w:p>
    <w:p>
      <w:pPr>
        <w:spacing w:after="240"/>
        <w:jc w:val="center"/>
      </w:pP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53" name="Picture 53"/>
            <wp:cNvGraphicFramePr>
              <a:graphicFrameLocks noChangeAspect="1"/>
            </wp:cNvGraphicFramePr>
            <a:graphic>
              <a:graphicData uri="http://schemas.openxmlformats.org/drawingml/2006/picture">
                <pic:pic>
                  <pic:nvPicPr>
                    <pic:cNvPr id="0" name="case_v3-2.jpg"/>
                    <pic:cNvPicPr/>
                  </pic:nvPicPr>
                  <pic:blipFill>
                    <a:blip r:embed="rId63"/>
                    <a:stretch>
                      <a:fillRect/>
                    </a:stretch>
                  </pic:blipFill>
                  <pic:spPr>
                    <a:xfrm>
                      <a:off x="0" y="0"/>
                      <a:ext cx="5669280" cy="1993015"/>
                    </a:xfrm>
                    <a:prstGeom prst="rect"/>
                  </pic:spPr>
                </pic:pic>
              </a:graphicData>
            </a:graphic>
          </wp:inline>
        </w:drawing>
      </w:r>
    </w:p>
    <w:p>
      <w:pPr>
        <w:pStyle w:val="GLDFigureTitle"/>
        <w:keepNext/>
        <w:spacing w:after="20" w:before="40"/>
        <w:jc w:val="center"/>
      </w:pPr>
      <w:r>
        <w:rPr>
          <w:rFonts w:ascii="Calibri" w:hAnsi="Calibri"/>
          <w:b/>
          <w:i w:val="0"/>
          <w:color w:val="1B335F"/>
          <w:sz w:val="19"/>
        </w:rPr>
        <w:t>M-B2. GLD ATEX CASE v3 — sheet 2: top and bottom views</w:t>
      </w:r>
    </w:p>
    <w:p>
      <w:pPr>
        <w:spacing w:after="240"/>
        <w:jc w:val="center"/>
      </w:pP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54" name="Picture 54"/>
            <wp:cNvGraphicFramePr>
              <a:graphicFrameLocks noChangeAspect="1"/>
            </wp:cNvGraphicFramePr>
            <a:graphic>
              <a:graphicData uri="http://schemas.openxmlformats.org/drawingml/2006/picture">
                <pic:pic>
                  <pic:nvPicPr>
                    <pic:cNvPr id="0" name="case_v3-3.jpg"/>
                    <pic:cNvPicPr/>
                  </pic:nvPicPr>
                  <pic:blipFill>
                    <a:blip r:embed="rId64"/>
                    <a:stretch>
                      <a:fillRect/>
                    </a:stretch>
                  </pic:blipFill>
                  <pic:spPr>
                    <a:xfrm>
                      <a:off x="0" y="0"/>
                      <a:ext cx="5669280" cy="3145195"/>
                    </a:xfrm>
                    <a:prstGeom prst="rect"/>
                  </pic:spPr>
                </pic:pic>
              </a:graphicData>
            </a:graphic>
          </wp:inline>
        </w:drawing>
      </w:r>
    </w:p>
    <w:p>
      <w:pPr>
        <w:pStyle w:val="GLDFigureTitle"/>
        <w:keepNext/>
        <w:spacing w:after="20" w:before="40"/>
        <w:jc w:val="center"/>
      </w:pPr>
      <w:r>
        <w:rPr>
          <w:rFonts w:ascii="Calibri" w:hAnsi="Calibri"/>
          <w:b/>
          <w:i w:val="0"/>
          <w:color w:val="1B335F"/>
          <w:sz w:val="19"/>
        </w:rPr>
        <w:t>M-B3. GLD ATEX CASE v3 — sheet 3: side and rear views</w:t>
      </w:r>
    </w:p>
    <w:p>
      <w:pPr>
        <w:spacing w:after="240"/>
        <w:jc w:val="center"/>
      </w:pP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55" name="Picture 55"/>
            <wp:cNvGraphicFramePr>
              <a:graphicFrameLocks noChangeAspect="1"/>
            </wp:cNvGraphicFramePr>
            <a:graphic>
              <a:graphicData uri="http://schemas.openxmlformats.org/drawingml/2006/picture">
                <pic:pic>
                  <pic:nvPicPr>
                    <pic:cNvPr id="0" name="case_v3-4.jpg"/>
                    <pic:cNvPicPr/>
                  </pic:nvPicPr>
                  <pic:blipFill>
                    <a:blip r:embed="rId65"/>
                    <a:stretch>
                      <a:fillRect/>
                    </a:stretch>
                  </pic:blipFill>
                  <pic:spPr>
                    <a:xfrm>
                      <a:off x="0" y="0"/>
                      <a:ext cx="5669280" cy="2465164"/>
                    </a:xfrm>
                    <a:prstGeom prst="rect"/>
                  </pic:spPr>
                </pic:pic>
              </a:graphicData>
            </a:graphic>
          </wp:inline>
        </w:drawing>
      </w:r>
    </w:p>
    <w:p>
      <w:pPr>
        <w:pStyle w:val="GLDFigureTitle"/>
        <w:keepNext/>
        <w:spacing w:after="20" w:before="40"/>
        <w:jc w:val="center"/>
      </w:pPr>
      <w:r>
        <w:rPr>
          <w:rFonts w:ascii="Calibri" w:hAnsi="Calibri"/>
          <w:b/>
          <w:i w:val="0"/>
          <w:color w:val="1B335F"/>
          <w:sz w:val="19"/>
        </w:rPr>
        <w:t>M-B4. GLD ATEX CASE v3 — sheet 4: front/back and mounting-lug views</w:t>
      </w:r>
    </w:p>
    <w:p>
      <w:pPr>
        <w:spacing w:after="240"/>
        <w:jc w:val="center"/>
      </w:pP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56" name="Picture 56"/>
            <wp:cNvGraphicFramePr>
              <a:graphicFrameLocks noChangeAspect="1"/>
            </wp:cNvGraphicFramePr>
            <a:graphic>
              <a:graphicData uri="http://schemas.openxmlformats.org/drawingml/2006/picture">
                <pic:pic>
                  <pic:nvPicPr>
                    <pic:cNvPr id="0" name="case_v3-5.jpg"/>
                    <pic:cNvPicPr/>
                  </pic:nvPicPr>
                  <pic:blipFill>
                    <a:blip r:embed="rId66"/>
                    <a:stretch>
                      <a:fillRect/>
                    </a:stretch>
                  </pic:blipFill>
                  <pic:spPr>
                    <a:xfrm>
                      <a:off x="0" y="0"/>
                      <a:ext cx="5669280" cy="1926401"/>
                    </a:xfrm>
                    <a:prstGeom prst="rect"/>
                  </pic:spPr>
                </pic:pic>
              </a:graphicData>
            </a:graphic>
          </wp:inline>
        </w:drawing>
      </w:r>
    </w:p>
    <w:p>
      <w:pPr>
        <w:pStyle w:val="GLDFigureTitle"/>
        <w:keepNext/>
        <w:spacing w:after="20" w:before="40"/>
        <w:jc w:val="center"/>
      </w:pPr>
      <w:r>
        <w:rPr>
          <w:rFonts w:ascii="Calibri" w:hAnsi="Calibri"/>
          <w:b/>
          <w:i w:val="0"/>
          <w:color w:val="1B335F"/>
          <w:sz w:val="19"/>
        </w:rPr>
        <w:t>M-B5. GLD ATEX CASE v3 — sheet 5: exploded views (four viewpoints)</w:t>
      </w:r>
    </w:p>
    <w:p>
      <w:pPr>
        <w:spacing w:after="240"/>
        <w:jc w:val="center"/>
      </w:pP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57" name="Picture 57"/>
            <wp:cNvGraphicFramePr>
              <a:graphicFrameLocks noChangeAspect="1"/>
            </wp:cNvGraphicFramePr>
            <a:graphic>
              <a:graphicData uri="http://schemas.openxmlformats.org/drawingml/2006/picture">
                <pic:pic>
                  <pic:nvPicPr>
                    <pic:cNvPr id="0" name="case_v3-6.jpg"/>
                    <pic:cNvPicPr/>
                  </pic:nvPicPr>
                  <pic:blipFill>
                    <a:blip r:embed="rId67"/>
                    <a:stretch>
                      <a:fillRect/>
                    </a:stretch>
                  </pic:blipFill>
                  <pic:spPr>
                    <a:xfrm>
                      <a:off x="0" y="0"/>
                      <a:ext cx="5669280" cy="2324790"/>
                    </a:xfrm>
                    <a:prstGeom prst="rect"/>
                  </pic:spPr>
                </pic:pic>
              </a:graphicData>
            </a:graphic>
          </wp:inline>
        </w:drawing>
      </w:r>
    </w:p>
    <w:p>
      <w:pPr>
        <w:pStyle w:val="GLDFigureTitle"/>
        <w:keepNext/>
        <w:spacing w:after="20" w:before="40"/>
        <w:jc w:val="center"/>
      </w:pPr>
      <w:r>
        <w:rPr>
          <w:rFonts w:ascii="Calibri" w:hAnsi="Calibri"/>
          <w:b/>
          <w:i w:val="0"/>
          <w:color w:val="1B335F"/>
          <w:sz w:val="19"/>
        </w:rPr>
        <w:t>M-B6. GLD ATEX CASE v3 — sheet 6: exploded views of the sensor-head stack</w:t>
      </w:r>
    </w:p>
    <w:p>
      <w:pPr>
        <w:spacing w:after="240"/>
        <w:jc w:val="center"/>
      </w:pP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58" name="Picture 58"/>
            <wp:cNvGraphicFramePr>
              <a:graphicFrameLocks noChangeAspect="1"/>
            </wp:cNvGraphicFramePr>
            <a:graphic>
              <a:graphicData uri="http://schemas.openxmlformats.org/drawingml/2006/picture">
                <pic:pic>
                  <pic:nvPicPr>
                    <pic:cNvPr id="0" name="case_v3-7.jpg"/>
                    <pic:cNvPicPr/>
                  </pic:nvPicPr>
                  <pic:blipFill>
                    <a:blip r:embed="rId68"/>
                    <a:stretch>
                      <a:fillRect/>
                    </a:stretch>
                  </pic:blipFill>
                  <pic:spPr>
                    <a:xfrm>
                      <a:off x="0" y="0"/>
                      <a:ext cx="5669280" cy="4015199"/>
                    </a:xfrm>
                    <a:prstGeom prst="rect"/>
                  </pic:spPr>
                </pic:pic>
              </a:graphicData>
            </a:graphic>
          </wp:inline>
        </w:drawing>
      </w:r>
    </w:p>
    <w:p>
      <w:pPr>
        <w:pStyle w:val="GLDFigureTitle"/>
        <w:keepNext/>
        <w:spacing w:after="20" w:before="40"/>
        <w:jc w:val="center"/>
      </w:pPr>
      <w:r>
        <w:rPr>
          <w:rFonts w:ascii="Calibri" w:hAnsi="Calibri"/>
          <w:b/>
          <w:i w:val="0"/>
          <w:color w:val="1B335F"/>
          <w:sz w:val="19"/>
        </w:rPr>
        <w:t>M-B7. GLD ATEX CASE v3 — sheet 7: dimensioned drawing with title block</w:t>
      </w:r>
    </w:p>
    <w:p>
      <w:pPr>
        <w:spacing w:after="240"/>
        <w:jc w:val="center"/>
      </w:pP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pStyle w:val="Heading5"/>
        <w:keepNext/>
        <w:spacing w:after="80" w:before="160"/>
      </w:pPr>
      <w:r>
        <w:rPr>
          <w:rFonts w:ascii="Calibri" w:hAnsi="Calibri"/>
          <w:b/>
          <w:i w:val="0"/>
          <w:color w:val="1B335F"/>
          <w:sz w:val="22"/>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59" name="Picture 59"/>
            <wp:cNvGraphicFramePr>
              <a:graphicFrameLocks noChangeAspect="1"/>
            </wp:cNvGraphicFramePr>
            <a:graphic>
              <a:graphicData uri="http://schemas.openxmlformats.org/drawingml/2006/picture">
                <pic:pic>
                  <pic:nvPicPr>
                    <pic:cNvPr id="0" name="bp18-1.jpg"/>
                    <pic:cNvPicPr/>
                  </pic:nvPicPr>
                  <pic:blipFill>
                    <a:blip r:embed="rId69"/>
                    <a:stretch>
                      <a:fillRect/>
                    </a:stretch>
                  </pic:blipFill>
                  <pic:spPr>
                    <a:xfrm>
                      <a:off x="0" y="0"/>
                      <a:ext cx="5669280" cy="4030343"/>
                    </a:xfrm>
                    <a:prstGeom prst="rect"/>
                  </pic:spPr>
                </pic:pic>
              </a:graphicData>
            </a:graphic>
          </wp:inline>
        </w:drawing>
      </w:r>
    </w:p>
    <w:p>
      <w:pPr>
        <w:pStyle w:val="GLDFigureTitle"/>
        <w:keepNext/>
        <w:spacing w:after="20" w:before="40"/>
        <w:jc w:val="center"/>
      </w:pPr>
      <w:r>
        <w:rPr>
          <w:rFonts w:ascii="Calibri" w:hAnsi="Calibri"/>
          <w:b/>
          <w:i w:val="0"/>
          <w:color w:val="1B335F"/>
          <w:sz w:val="19"/>
        </w:rPr>
        <w:t>M-C1. Universal Base BP18-1Z — supplier reference drawing</w:t>
      </w:r>
    </w:p>
    <w:p>
      <w:pPr>
        <w:spacing w:after="240"/>
        <w:jc w:val="center"/>
      </w:pP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pStyle w:val="Heading5"/>
        <w:keepNext/>
        <w:spacing w:after="80" w:before="160"/>
      </w:pPr>
      <w:r>
        <w:rPr>
          <w:rFonts w:ascii="Calibri" w:hAnsi="Calibri"/>
          <w:b/>
          <w:i w:val="0"/>
          <w:color w:val="1B335F"/>
          <w:sz w:val="22"/>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60" name="Picture 60"/>
            <wp:cNvGraphicFramePr>
              <a:graphicFrameLocks noChangeAspect="1"/>
            </wp:cNvGraphicFramePr>
            <a:graphic>
              <a:graphicData uri="http://schemas.openxmlformats.org/drawingml/2006/picture">
                <pic:pic>
                  <pic:nvPicPr>
                    <pic:cNvPr id="0" name="pkg_17.jpg"/>
                    <pic:cNvPicPr/>
                  </pic:nvPicPr>
                  <pic:blipFill>
                    <a:blip r:embed="rId70"/>
                    <a:stretch>
                      <a:fillRect/>
                    </a:stretch>
                  </pic:blipFill>
                  <pic:spPr>
                    <a:xfrm>
                      <a:off x="0" y="0"/>
                      <a:ext cx="2436273"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M-D1. LoRa antenna, MQ sensor and enclosure body &amp; cover</w:t>
      </w:r>
    </w:p>
    <w:p>
      <w:pPr>
        <w:spacing w:after="240"/>
        <w:jc w:val="center"/>
      </w:pP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61" name="Picture 61"/>
            <wp:cNvGraphicFramePr>
              <a:graphicFrameLocks noChangeAspect="1"/>
            </wp:cNvGraphicFramePr>
            <a:graphic>
              <a:graphicData uri="http://schemas.openxmlformats.org/drawingml/2006/picture">
                <pic:pic>
                  <pic:nvPicPr>
                    <pic:cNvPr id="0" name="pkg_18.jpg"/>
                    <pic:cNvPicPr/>
                  </pic:nvPicPr>
                  <pic:blipFill>
                    <a:blip r:embed="rId71"/>
                    <a:stretch>
                      <a:fillRect/>
                    </a:stretch>
                  </pic:blipFill>
                  <pic:spPr>
                    <a:xfrm>
                      <a:off x="0" y="0"/>
                      <a:ext cx="3034832"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M-D2. Rubber gasket — locations</w:t>
      </w:r>
    </w:p>
    <w:p>
      <w:pPr>
        <w:spacing w:after="240"/>
        <w:jc w:val="center"/>
      </w:pP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62" name="Picture 62"/>
            <wp:cNvGraphicFramePr>
              <a:graphicFrameLocks noChangeAspect="1"/>
            </wp:cNvGraphicFramePr>
            <a:graphic>
              <a:graphicData uri="http://schemas.openxmlformats.org/drawingml/2006/picture">
                <pic:pic>
                  <pic:nvPicPr>
                    <pic:cNvPr id="0" name="pkg_19.jpg"/>
                    <pic:cNvPicPr/>
                  </pic:nvPicPr>
                  <pic:blipFill>
                    <a:blip r:embed="rId72"/>
                    <a:stretch>
                      <a:fillRect/>
                    </a:stretch>
                  </pic:blipFill>
                  <pic:spPr>
                    <a:xfrm>
                      <a:off x="0" y="0"/>
                      <a:ext cx="3468970"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M-D3. Rubber gasket — part</w:t>
      </w:r>
    </w:p>
    <w:p>
      <w:pPr>
        <w:spacing w:after="240"/>
        <w:jc w:val="center"/>
      </w:pP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63" name="Picture 63"/>
            <wp:cNvGraphicFramePr>
              <a:graphicFrameLocks noChangeAspect="1"/>
            </wp:cNvGraphicFramePr>
            <a:graphic>
              <a:graphicData uri="http://schemas.openxmlformats.org/drawingml/2006/picture">
                <pic:pic>
                  <pic:nvPicPr>
                    <pic:cNvPr id="0" name="pkg_20.jpg"/>
                    <pic:cNvPicPr/>
                  </pic:nvPicPr>
                  <pic:blipFill>
                    <a:blip r:embed="rId73"/>
                    <a:stretch>
                      <a:fillRect/>
                    </a:stretch>
                  </pic:blipFill>
                  <pic:spPr>
                    <a:xfrm>
                      <a:off x="0" y="0"/>
                      <a:ext cx="2848325"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M-D4. Stainless wire-mesh plate</w:t>
      </w:r>
    </w:p>
    <w:p>
      <w:pPr>
        <w:spacing w:after="240"/>
        <w:jc w:val="center"/>
      </w:pP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64" name="Picture 64"/>
            <wp:cNvGraphicFramePr>
              <a:graphicFrameLocks noChangeAspect="1"/>
            </wp:cNvGraphicFramePr>
            <a:graphic>
              <a:graphicData uri="http://schemas.openxmlformats.org/drawingml/2006/picture">
                <pic:pic>
                  <pic:nvPicPr>
                    <pic:cNvPr id="0" name="pkg_21.jpg"/>
                    <pic:cNvPicPr/>
                  </pic:nvPicPr>
                  <pic:blipFill>
                    <a:blip r:embed="rId74"/>
                    <a:stretch>
                      <a:fillRect/>
                    </a:stretch>
                  </pic:blipFill>
                  <pic:spPr>
                    <a:xfrm>
                      <a:off x="0" y="0"/>
                      <a:ext cx="2579204"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M-D5. Visual/audible alarm beacon; motherboard inside base casing</w:t>
      </w:r>
    </w:p>
    <w:p>
      <w:pPr>
        <w:spacing w:after="240"/>
        <w:jc w:val="center"/>
      </w:pP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65" name="Picture 65"/>
            <wp:cNvGraphicFramePr>
              <a:graphicFrameLocks noChangeAspect="1"/>
            </wp:cNvGraphicFramePr>
            <a:graphic>
              <a:graphicData uri="http://schemas.openxmlformats.org/drawingml/2006/picture">
                <pic:pic>
                  <pic:nvPicPr>
                    <pic:cNvPr id="0" name="pkg_22.jpg"/>
                    <pic:cNvPicPr/>
                  </pic:nvPicPr>
                  <pic:blipFill>
                    <a:blip r:embed="rId75"/>
                    <a:stretch>
                      <a:fillRect/>
                    </a:stretch>
                  </pic:blipFill>
                  <pic:spPr>
                    <a:xfrm>
                      <a:off x="0" y="0"/>
                      <a:ext cx="3626477"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M-D6. Motherboard with MQ sensors inside base casing</w:t>
      </w:r>
    </w:p>
    <w:p>
      <w:pPr>
        <w:spacing w:after="240"/>
        <w:jc w:val="center"/>
      </w:pP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66" name="Picture 66"/>
            <wp:cNvGraphicFramePr>
              <a:graphicFrameLocks noChangeAspect="1"/>
            </wp:cNvGraphicFramePr>
            <a:graphic>
              <a:graphicData uri="http://schemas.openxmlformats.org/drawingml/2006/picture">
                <pic:pic>
                  <pic:nvPicPr>
                    <pic:cNvPr id="0" name="pkg_24.jpg"/>
                    <pic:cNvPicPr/>
                  </pic:nvPicPr>
                  <pic:blipFill>
                    <a:blip r:embed="rId76"/>
                    <a:stretch>
                      <a:fillRect/>
                    </a:stretch>
                  </pic:blipFill>
                  <pic:spPr>
                    <a:xfrm>
                      <a:off x="0" y="0"/>
                      <a:ext cx="4541367"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M-D7. Common base design</w:t>
      </w:r>
    </w:p>
    <w:p>
      <w:pPr>
        <w:spacing w:after="240"/>
        <w:jc w:val="center"/>
      </w:pP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67" name="Picture 67"/>
            <wp:cNvGraphicFramePr>
              <a:graphicFrameLocks noChangeAspect="1"/>
            </wp:cNvGraphicFramePr>
            <a:graphic>
              <a:graphicData uri="http://schemas.openxmlformats.org/drawingml/2006/picture">
                <pic:pic>
                  <pic:nvPicPr>
                    <pic:cNvPr id="0" name="pkg_25.jpg"/>
                    <pic:cNvPicPr/>
                  </pic:nvPicPr>
                  <pic:blipFill>
                    <a:blip r:embed="rId77"/>
                    <a:stretch>
                      <a:fillRect/>
                    </a:stretch>
                  </pic:blipFill>
                  <pic:spPr>
                    <a:xfrm>
                      <a:off x="0" y="0"/>
                      <a:ext cx="3032235"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M-D8. Overall exploded views I and II</w:t>
      </w:r>
    </w:p>
    <w:p>
      <w:pPr>
        <w:spacing w:after="240"/>
        <w:jc w:val="center"/>
      </w:pP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68" name="Picture 68"/>
            <wp:cNvGraphicFramePr>
              <a:graphicFrameLocks noChangeAspect="1"/>
            </wp:cNvGraphicFramePr>
            <a:graphic>
              <a:graphicData uri="http://schemas.openxmlformats.org/drawingml/2006/picture">
                <pic:pic>
                  <pic:nvPicPr>
                    <pic:cNvPr id="0" name="pkg_26.jpg"/>
                    <pic:cNvPicPr/>
                  </pic:nvPicPr>
                  <pic:blipFill>
                    <a:blip r:embed="rId78"/>
                    <a:stretch>
                      <a:fillRect/>
                    </a:stretch>
                  </pic:blipFill>
                  <pic:spPr>
                    <a:xfrm>
                      <a:off x="0" y="0"/>
                      <a:ext cx="3661204"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M-D9. Overall exploded view III</w:t>
      </w:r>
    </w:p>
    <w:p>
      <w:pPr>
        <w:spacing w:after="240"/>
        <w:jc w:val="center"/>
      </w:pP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69" name="Picture 69"/>
            <wp:cNvGraphicFramePr>
              <a:graphicFrameLocks noChangeAspect="1"/>
            </wp:cNvGraphicFramePr>
            <a:graphic>
              <a:graphicData uri="http://schemas.openxmlformats.org/drawingml/2006/picture">
                <pic:pic>
                  <pic:nvPicPr>
                    <pic:cNvPr id="0" name="pkg_27.jpg"/>
                    <pic:cNvPicPr/>
                  </pic:nvPicPr>
                  <pic:blipFill>
                    <a:blip r:embed="rId79"/>
                    <a:stretch>
                      <a:fillRect/>
                    </a:stretch>
                  </pic:blipFill>
                  <pic:spPr>
                    <a:xfrm>
                      <a:off x="0" y="0"/>
                      <a:ext cx="2216090" cy="3840478"/>
                    </a:xfrm>
                    <a:prstGeom prst="rect"/>
                  </pic:spPr>
                </pic:pic>
              </a:graphicData>
            </a:graphic>
          </wp:inline>
        </w:drawing>
      </w:r>
    </w:p>
    <w:p>
      <w:pPr>
        <w:pStyle w:val="GLDFigureTitle"/>
        <w:keepNext/>
        <w:spacing w:after="20" w:before="40"/>
        <w:jc w:val="center"/>
      </w:pPr>
      <w:r>
        <w:rPr>
          <w:rFonts w:ascii="Calibri" w:hAnsi="Calibri"/>
          <w:b/>
          <w:i w:val="0"/>
          <w:color w:val="1B335F"/>
          <w:sz w:val="19"/>
        </w:rPr>
        <w:t>M-D10. Motherboard PCB power-in and PCB cover (terminal module)</w:t>
      </w:r>
    </w:p>
    <w:p>
      <w:pPr>
        <w:spacing w:after="240"/>
        <w:jc w:val="center"/>
      </w:pP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70" name="Picture 70"/>
            <wp:cNvGraphicFramePr>
              <a:graphicFrameLocks noChangeAspect="1"/>
            </wp:cNvGraphicFramePr>
            <a:graphic>
              <a:graphicData uri="http://schemas.openxmlformats.org/drawingml/2006/picture">
                <pic:pic>
                  <pic:nvPicPr>
                    <pic:cNvPr id="0" name="pkg_28.jpg"/>
                    <pic:cNvPicPr/>
                  </pic:nvPicPr>
                  <pic:blipFill>
                    <a:blip r:embed="rId80"/>
                    <a:stretch>
                      <a:fillRect/>
                    </a:stretch>
                  </pic:blipFill>
                  <pic:spPr>
                    <a:xfrm>
                      <a:off x="0" y="0"/>
                      <a:ext cx="2529930"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M-D11. Motherboard and PCB cover</w:t>
      </w:r>
    </w:p>
    <w:p>
      <w:pPr>
        <w:spacing w:after="240"/>
        <w:jc w:val="center"/>
      </w:pP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71" name="Picture 71"/>
            <wp:cNvGraphicFramePr>
              <a:graphicFrameLocks noChangeAspect="1"/>
            </wp:cNvGraphicFramePr>
            <a:graphic>
              <a:graphicData uri="http://schemas.openxmlformats.org/drawingml/2006/picture">
                <pic:pic>
                  <pic:nvPicPr>
                    <pic:cNvPr id="0" name="pkg_42.jpg"/>
                    <pic:cNvPicPr/>
                  </pic:nvPicPr>
                  <pic:blipFill>
                    <a:blip r:embed="rId81"/>
                    <a:stretch>
                      <a:fillRect/>
                    </a:stretch>
                  </pic:blipFill>
                  <pic:spPr>
                    <a:xfrm>
                      <a:off x="0" y="0"/>
                      <a:ext cx="2245554"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M-D12. Component drawing</w:t>
      </w:r>
    </w:p>
    <w:p>
      <w:pPr>
        <w:spacing w:after="240"/>
        <w:jc w:val="center"/>
      </w:pP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72" name="Picture 72"/>
            <wp:cNvGraphicFramePr>
              <a:graphicFrameLocks noChangeAspect="1"/>
            </wp:cNvGraphicFramePr>
            <a:graphic>
              <a:graphicData uri="http://schemas.openxmlformats.org/drawingml/2006/picture">
                <pic:pic>
                  <pic:nvPicPr>
                    <pic:cNvPr id="0" name="pkg_43.jpg"/>
                    <pic:cNvPicPr/>
                  </pic:nvPicPr>
                  <pic:blipFill>
                    <a:blip r:embed="rId82"/>
                    <a:stretch>
                      <a:fillRect/>
                    </a:stretch>
                  </pic:blipFill>
                  <pic:spPr>
                    <a:xfrm>
                      <a:off x="0" y="0"/>
                      <a:ext cx="2870633"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M-D13. Electrical block diagram and enclosure structure</w:t>
      </w:r>
    </w:p>
    <w:p>
      <w:pPr>
        <w:spacing w:after="240"/>
        <w:jc w:val="center"/>
      </w:pP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73" name="Picture 73"/>
            <wp:cNvGraphicFramePr>
              <a:graphicFrameLocks noChangeAspect="1"/>
            </wp:cNvGraphicFramePr>
            <a:graphic>
              <a:graphicData uri="http://schemas.openxmlformats.org/drawingml/2006/picture">
                <pic:pic>
                  <pic:nvPicPr>
                    <pic:cNvPr id="0" name="pkg_44.jpg"/>
                    <pic:cNvPicPr/>
                  </pic:nvPicPr>
                  <pic:blipFill>
                    <a:blip r:embed="rId83"/>
                    <a:stretch>
                      <a:fillRect/>
                    </a:stretch>
                  </pic:blipFill>
                  <pic:spPr>
                    <a:xfrm>
                      <a:off x="0" y="0"/>
                      <a:ext cx="4048436"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M-D14. Terminal — 24 VDC power in</w:t>
      </w:r>
    </w:p>
    <w:p>
      <w:pPr>
        <w:spacing w:after="240"/>
        <w:jc w:val="center"/>
      </w:pP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74" name="Picture 74"/>
            <wp:cNvGraphicFramePr>
              <a:graphicFrameLocks noChangeAspect="1"/>
            </wp:cNvGraphicFramePr>
            <a:graphic>
              <a:graphicData uri="http://schemas.openxmlformats.org/drawingml/2006/picture">
                <pic:pic>
                  <pic:nvPicPr>
                    <pic:cNvPr id="0" name="pkg_45.jpg"/>
                    <pic:cNvPicPr/>
                  </pic:nvPicPr>
                  <pic:blipFill>
                    <a:blip r:embed="rId84"/>
                    <a:stretch>
                      <a:fillRect/>
                    </a:stretch>
                  </pic:blipFill>
                  <pic:spPr>
                    <a:xfrm>
                      <a:off x="0" y="0"/>
                      <a:ext cx="5669280" cy="3380612"/>
                    </a:xfrm>
                    <a:prstGeom prst="rect"/>
                  </pic:spPr>
                </pic:pic>
              </a:graphicData>
            </a:graphic>
          </wp:inline>
        </w:drawing>
      </w:r>
    </w:p>
    <w:p>
      <w:pPr>
        <w:pStyle w:val="GLDFigureTitle"/>
        <w:keepNext/>
        <w:spacing w:after="20" w:before="40"/>
        <w:jc w:val="center"/>
      </w:pPr>
      <w:r>
        <w:rPr>
          <w:rFonts w:ascii="Calibri" w:hAnsi="Calibri"/>
          <w:b/>
          <w:i w:val="0"/>
          <w:color w:val="1B335F"/>
          <w:sz w:val="19"/>
        </w:rPr>
        <w:t>M-D15. Grounding</w:t>
      </w:r>
    </w:p>
    <w:p>
      <w:pPr>
        <w:spacing w:after="240"/>
        <w:jc w:val="center"/>
      </w:pPr>
      <w:r>
        <w:rPr>
          <w:color w:val="555B66"/>
          <w:sz w:val="17"/>
        </w:rPr>
        <w:t>External grounding stud, marked with the protective-earth symbol, installed on the enclosure body.</w:t>
      </w:r>
    </w:p>
    <w:p>
      <w:r>
        <w:br w:type="page"/>
      </w:r>
    </w:p>
    <w:p>
      <w:pPr>
        <w:pStyle w:val="Heading5"/>
        <w:keepNext/>
        <w:spacing w:after="80" w:before="160"/>
      </w:pPr>
      <w:r>
        <w:rPr>
          <w:rFonts w:ascii="Calibri" w:hAnsi="Calibri"/>
          <w:b/>
          <w:i w:val="0"/>
          <w:color w:val="1B335F"/>
          <w:sz w:val="22"/>
        </w:rPr>
        <w:t>E. Assembly sequence</w:t>
      </w:r>
    </w:p>
    <w:p>
      <w:pPr>
        <w:keepNext/>
        <w:spacing w:after="40"/>
        <w:jc w:val="center"/>
      </w:pPr>
      <w:r>
        <w:drawing>
          <wp:inline xmlns:a="http://schemas.openxmlformats.org/drawingml/2006/main" xmlns:pic="http://schemas.openxmlformats.org/drawingml/2006/picture">
            <wp:extent cx="5669280" cy="5902664"/>
            <wp:docPr id="75" name="Picture 75"/>
            <wp:cNvGraphicFramePr>
              <a:graphicFrameLocks noChangeAspect="1"/>
            </wp:cNvGraphicFramePr>
            <a:graphic>
              <a:graphicData uri="http://schemas.openxmlformats.org/drawingml/2006/picture">
                <pic:pic>
                  <pic:nvPicPr>
                    <pic:cNvPr id="0" name="pkg_33.jpg"/>
                    <pic:cNvPicPr/>
                  </pic:nvPicPr>
                  <pic:blipFill>
                    <a:blip r:embed="rId85"/>
                    <a:stretch>
                      <a:fillRect/>
                    </a:stretch>
                  </pic:blipFill>
                  <pic:spPr>
                    <a:xfrm>
                      <a:off x="0" y="0"/>
                      <a:ext cx="5669280" cy="5902664"/>
                    </a:xfrm>
                    <a:prstGeom prst="rect"/>
                  </pic:spPr>
                </pic:pic>
              </a:graphicData>
            </a:graphic>
          </wp:inline>
        </w:drawing>
      </w:r>
    </w:p>
    <w:p>
      <w:pPr>
        <w:pStyle w:val="GLDFigureTitle"/>
        <w:keepNext/>
        <w:spacing w:after="20" w:before="40"/>
        <w:jc w:val="center"/>
      </w:pPr>
      <w:r>
        <w:rPr>
          <w:rFonts w:ascii="Calibri" w:hAnsi="Calibri"/>
          <w:b/>
          <w:i w:val="0"/>
          <w:color w:val="1B335F"/>
          <w:sz w:val="19"/>
        </w:rPr>
        <w:t>M-E1. Assembly drawing — exploded view</w:t>
      </w:r>
    </w:p>
    <w:p>
      <w:pPr>
        <w:spacing w:after="240"/>
        <w:jc w:val="center"/>
      </w:pP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76" name="Picture 76"/>
            <wp:cNvGraphicFramePr>
              <a:graphicFrameLocks noChangeAspect="1"/>
            </wp:cNvGraphicFramePr>
            <a:graphic>
              <a:graphicData uri="http://schemas.openxmlformats.org/drawingml/2006/picture">
                <pic:pic>
                  <pic:nvPicPr>
                    <pic:cNvPr id="0" name="pkg_34.jpg"/>
                    <pic:cNvPicPr/>
                  </pic:nvPicPr>
                  <pic:blipFill>
                    <a:blip r:embed="rId86"/>
                    <a:stretch>
                      <a:fillRect/>
                    </a:stretch>
                  </pic:blipFill>
                  <pic:spPr>
                    <a:xfrm>
                      <a:off x="0" y="0"/>
                      <a:ext cx="3730095" cy="7589518"/>
                    </a:xfrm>
                    <a:prstGeom prst="rect"/>
                  </pic:spPr>
                </pic:pic>
              </a:graphicData>
            </a:graphic>
          </wp:inline>
        </w:drawing>
      </w:r>
    </w:p>
    <w:p>
      <w:pPr>
        <w:pStyle w:val="GLDFigureTitle"/>
        <w:keepNext/>
        <w:spacing w:after="20" w:before="40"/>
        <w:jc w:val="center"/>
      </w:pPr>
      <w:r>
        <w:rPr>
          <w:rFonts w:ascii="Calibri" w:hAnsi="Calibri"/>
          <w:b/>
          <w:i w:val="0"/>
          <w:color w:val="1B335F"/>
          <w:sz w:val="19"/>
        </w:rPr>
        <w:t>M-E2. Assembly step — casing cover</w:t>
      </w:r>
    </w:p>
    <w:p>
      <w:pPr>
        <w:spacing w:after="240"/>
        <w:jc w:val="center"/>
      </w:pP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77" name="Picture 77"/>
            <wp:cNvGraphicFramePr>
              <a:graphicFrameLocks noChangeAspect="1"/>
            </wp:cNvGraphicFramePr>
            <a:graphic>
              <a:graphicData uri="http://schemas.openxmlformats.org/drawingml/2006/picture">
                <pic:pic>
                  <pic:nvPicPr>
                    <pic:cNvPr id="0" name="pkg_35.jpg"/>
                    <pic:cNvPicPr/>
                  </pic:nvPicPr>
                  <pic:blipFill>
                    <a:blip r:embed="rId87"/>
                    <a:stretch>
                      <a:fillRect/>
                    </a:stretch>
                  </pic:blipFill>
                  <pic:spPr>
                    <a:xfrm>
                      <a:off x="0" y="0"/>
                      <a:ext cx="4426422"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M-E3. Assembly step — sensor case and rubber gasket</w:t>
      </w:r>
    </w:p>
    <w:p>
      <w:pPr>
        <w:spacing w:after="240"/>
        <w:jc w:val="center"/>
      </w:pP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78" name="Picture 78"/>
            <wp:cNvGraphicFramePr>
              <a:graphicFrameLocks noChangeAspect="1"/>
            </wp:cNvGraphicFramePr>
            <a:graphic>
              <a:graphicData uri="http://schemas.openxmlformats.org/drawingml/2006/picture">
                <pic:pic>
                  <pic:nvPicPr>
                    <pic:cNvPr id="0" name="pkg_36.jpg"/>
                    <pic:cNvPicPr/>
                  </pic:nvPicPr>
                  <pic:blipFill>
                    <a:blip r:embed="rId88"/>
                    <a:stretch>
                      <a:fillRect/>
                    </a:stretch>
                  </pic:blipFill>
                  <pic:spPr>
                    <a:xfrm>
                      <a:off x="0" y="0"/>
                      <a:ext cx="5669280" cy="3180806"/>
                    </a:xfrm>
                    <a:prstGeom prst="rect"/>
                  </pic:spPr>
                </pic:pic>
              </a:graphicData>
            </a:graphic>
          </wp:inline>
        </w:drawing>
      </w:r>
    </w:p>
    <w:p>
      <w:pPr>
        <w:pStyle w:val="GLDFigureTitle"/>
        <w:keepNext/>
        <w:spacing w:after="20" w:before="40"/>
        <w:jc w:val="center"/>
      </w:pPr>
      <w:r>
        <w:rPr>
          <w:rFonts w:ascii="Calibri" w:hAnsi="Calibri"/>
          <w:b/>
          <w:i w:val="0"/>
          <w:color w:val="1B335F"/>
          <w:sz w:val="19"/>
        </w:rPr>
        <w:t>M-E4. Assembly step — LED &amp; buzzer</w:t>
      </w:r>
    </w:p>
    <w:p>
      <w:pPr>
        <w:spacing w:after="240"/>
        <w:jc w:val="center"/>
      </w:pP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79" name="Picture 79"/>
            <wp:cNvGraphicFramePr>
              <a:graphicFrameLocks noChangeAspect="1"/>
            </wp:cNvGraphicFramePr>
            <a:graphic>
              <a:graphicData uri="http://schemas.openxmlformats.org/drawingml/2006/picture">
                <pic:pic>
                  <pic:nvPicPr>
                    <pic:cNvPr id="0" name="pkg_37.jpg"/>
                    <pic:cNvPicPr/>
                  </pic:nvPicPr>
                  <pic:blipFill>
                    <a:blip r:embed="rId89"/>
                    <a:stretch>
                      <a:fillRect/>
                    </a:stretch>
                  </pic:blipFill>
                  <pic:spPr>
                    <a:xfrm>
                      <a:off x="0" y="0"/>
                      <a:ext cx="5638157"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M-E5. Assembly step — 24 VDC power in</w:t>
      </w:r>
    </w:p>
    <w:p>
      <w:pPr>
        <w:spacing w:after="240"/>
        <w:jc w:val="center"/>
      </w:pP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80" name="Picture 80"/>
            <wp:cNvGraphicFramePr>
              <a:graphicFrameLocks noChangeAspect="1"/>
            </wp:cNvGraphicFramePr>
            <a:graphic>
              <a:graphicData uri="http://schemas.openxmlformats.org/drawingml/2006/picture">
                <pic:pic>
                  <pic:nvPicPr>
                    <pic:cNvPr id="0" name="pkg_38.jpg"/>
                    <pic:cNvPicPr/>
                  </pic:nvPicPr>
                  <pic:blipFill>
                    <a:blip r:embed="rId90"/>
                    <a:stretch>
                      <a:fillRect/>
                    </a:stretch>
                  </pic:blipFill>
                  <pic:spPr>
                    <a:xfrm>
                      <a:off x="0" y="0"/>
                      <a:ext cx="4272448"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M-E6. Assembly step — put motherboard into base casing</w:t>
      </w:r>
    </w:p>
    <w:p>
      <w:pPr>
        <w:spacing w:after="240"/>
        <w:jc w:val="center"/>
      </w:pP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81" name="Picture 81"/>
            <wp:cNvGraphicFramePr>
              <a:graphicFrameLocks noChangeAspect="1"/>
            </wp:cNvGraphicFramePr>
            <a:graphic>
              <a:graphicData uri="http://schemas.openxmlformats.org/drawingml/2006/picture">
                <pic:pic>
                  <pic:nvPicPr>
                    <pic:cNvPr id="0" name="pkg_39.jpg"/>
                    <pic:cNvPicPr/>
                  </pic:nvPicPr>
                  <pic:blipFill>
                    <a:blip r:embed="rId91"/>
                    <a:stretch>
                      <a:fillRect/>
                    </a:stretch>
                  </pic:blipFill>
                  <pic:spPr>
                    <a:xfrm>
                      <a:off x="0" y="0"/>
                      <a:ext cx="5669280" cy="6613229"/>
                    </a:xfrm>
                    <a:prstGeom prst="rect"/>
                  </pic:spPr>
                </pic:pic>
              </a:graphicData>
            </a:graphic>
          </wp:inline>
        </w:drawing>
      </w:r>
    </w:p>
    <w:p>
      <w:pPr>
        <w:pStyle w:val="GLDFigureTitle"/>
        <w:keepNext/>
        <w:spacing w:after="20" w:before="40"/>
        <w:jc w:val="center"/>
      </w:pPr>
      <w:r>
        <w:rPr>
          <w:rFonts w:ascii="Calibri" w:hAnsi="Calibri"/>
          <w:b/>
          <w:i w:val="0"/>
          <w:color w:val="1B335F"/>
          <w:sz w:val="19"/>
        </w:rPr>
        <w:t>M-E7. Assembly step — secure motherboard; install LoRa antenna cable</w:t>
      </w:r>
    </w:p>
    <w:p>
      <w:pPr>
        <w:spacing w:after="240"/>
        <w:jc w:val="center"/>
      </w:pP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82" name="Picture 82"/>
            <wp:cNvGraphicFramePr>
              <a:graphicFrameLocks noChangeAspect="1"/>
            </wp:cNvGraphicFramePr>
            <a:graphic>
              <a:graphicData uri="http://schemas.openxmlformats.org/drawingml/2006/picture">
                <pic:pic>
                  <pic:nvPicPr>
                    <pic:cNvPr id="0" name="pkg_40.jpg"/>
                    <pic:cNvPicPr/>
                  </pic:nvPicPr>
                  <pic:blipFill>
                    <a:blip r:embed="rId92"/>
                    <a:stretch>
                      <a:fillRect/>
                    </a:stretch>
                  </pic:blipFill>
                  <pic:spPr>
                    <a:xfrm>
                      <a:off x="0" y="0"/>
                      <a:ext cx="4829101" cy="7589520"/>
                    </a:xfrm>
                    <a:prstGeom prst="rect"/>
                  </pic:spPr>
                </pic:pic>
              </a:graphicData>
            </a:graphic>
          </wp:inline>
        </w:drawing>
      </w:r>
    </w:p>
    <w:p>
      <w:pPr>
        <w:pStyle w:val="GLDFigureTitle"/>
        <w:keepNext/>
        <w:spacing w:after="20" w:before="40"/>
        <w:jc w:val="center"/>
      </w:pPr>
      <w:r>
        <w:rPr>
          <w:rFonts w:ascii="Calibri" w:hAnsi="Calibri"/>
          <w:b/>
          <w:i w:val="0"/>
          <w:color w:val="1B335F"/>
          <w:sz w:val="19"/>
        </w:rPr>
        <w:t>M-E8. Assembly step — antenna position</w:t>
      </w:r>
    </w:p>
    <w:p>
      <w:pPr>
        <w:spacing w:after="240"/>
        <w:jc w:val="center"/>
      </w:pP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83" name="Picture 83"/>
            <wp:cNvGraphicFramePr>
              <a:graphicFrameLocks noChangeAspect="1"/>
            </wp:cNvGraphicFramePr>
            <a:graphic>
              <a:graphicData uri="http://schemas.openxmlformats.org/drawingml/2006/picture">
                <pic:pic>
                  <pic:nvPicPr>
                    <pic:cNvPr id="0" name="pkg_41.jpg"/>
                    <pic:cNvPicPr/>
                  </pic:nvPicPr>
                  <pic:blipFill>
                    <a:blip r:embed="rId93"/>
                    <a:stretch>
                      <a:fillRect/>
                    </a:stretch>
                  </pic:blipFill>
                  <pic:spPr>
                    <a:xfrm>
                      <a:off x="0" y="0"/>
                      <a:ext cx="4333205"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M-E9. Assembly step — alarm cables, DC fan and cover closure</w:t>
      </w:r>
    </w:p>
    <w:p>
      <w:pPr>
        <w:spacing w:after="240"/>
        <w:jc w:val="center"/>
      </w:pPr>
      <w:r>
        <w:rPr>
          <w:color w:val="555B66"/>
          <w:sz w:val="17"/>
        </w:rPr>
        <w:t>Connect LED/buzzer cables; attach DC fan to the cover behind the stainless-steel mesh plate; connect the fan cable; close the cover by turning it clockwise.</w:t>
      </w:r>
    </w:p>
    <w:p>
      <w:r>
        <w:br w:type="page"/>
      </w:r>
    </w:p>
    <w:p>
      <w:pPr>
        <w:pStyle w:val="Heading5"/>
        <w:keepNext/>
        <w:spacing w:after="80" w:before="160"/>
      </w:pPr>
      <w:r>
        <w:rPr>
          <w:rFonts w:ascii="Calibri" w:hAnsi="Calibri"/>
          <w:b/>
          <w:i w:val="0"/>
          <w:color w:val="1B335F"/>
          <w:sz w:val="22"/>
        </w:rPr>
        <w:t>F. MQ sensor dimension drawings</w:t>
      </w:r>
    </w:p>
    <w:p>
      <w:pPr>
        <w:keepNext/>
        <w:spacing w:after="40"/>
        <w:jc w:val="center"/>
      </w:pPr>
      <w:r>
        <w:drawing>
          <wp:inline xmlns:a="http://schemas.openxmlformats.org/drawingml/2006/main" xmlns:pic="http://schemas.openxmlformats.org/drawingml/2006/picture">
            <wp:extent cx="5539409" cy="7589519"/>
            <wp:docPr id="84" name="Picture 84"/>
            <wp:cNvGraphicFramePr>
              <a:graphicFrameLocks noChangeAspect="1"/>
            </wp:cNvGraphicFramePr>
            <a:graphic>
              <a:graphicData uri="http://schemas.openxmlformats.org/drawingml/2006/picture">
                <pic:pic>
                  <pic:nvPicPr>
                    <pic:cNvPr id="0" name="pkg_29.jpg"/>
                    <pic:cNvPicPr/>
                  </pic:nvPicPr>
                  <pic:blipFill>
                    <a:blip r:embed="rId94"/>
                    <a:stretch>
                      <a:fillRect/>
                    </a:stretch>
                  </pic:blipFill>
                  <pic:spPr>
                    <a:xfrm>
                      <a:off x="0" y="0"/>
                      <a:ext cx="5539409"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M-F1. MQ-2 and MQ-3 — sensor parameters and dimension drawings</w:t>
      </w:r>
    </w:p>
    <w:p>
      <w:pPr>
        <w:spacing w:after="240"/>
        <w:jc w:val="center"/>
      </w:pPr>
      <w:r>
        <w:rPr>
          <w:color w:val="555B66"/>
          <w:sz w:val="17"/>
        </w:rPr>
        <w:t>Data sheet shows MQ-3; the fitted part is MQ-3B (BOM) — data sheet of the B-variant to be confirmed.</w:t>
      </w:r>
    </w:p>
    <w:p>
      <w:r>
        <w:br w:type="page"/>
      </w:r>
    </w:p>
    <w:p>
      <w:pPr>
        <w:keepNext/>
        <w:spacing w:after="40"/>
        <w:jc w:val="center"/>
      </w:pPr>
      <w:r>
        <w:drawing>
          <wp:inline xmlns:a="http://schemas.openxmlformats.org/drawingml/2006/main" xmlns:pic="http://schemas.openxmlformats.org/drawingml/2006/picture">
            <wp:extent cx="4768231" cy="7589519"/>
            <wp:docPr id="85" name="Picture 85"/>
            <wp:cNvGraphicFramePr>
              <a:graphicFrameLocks noChangeAspect="1"/>
            </wp:cNvGraphicFramePr>
            <a:graphic>
              <a:graphicData uri="http://schemas.openxmlformats.org/drawingml/2006/picture">
                <pic:pic>
                  <pic:nvPicPr>
                    <pic:cNvPr id="0" name="pkg_30.jpg"/>
                    <pic:cNvPicPr/>
                  </pic:nvPicPr>
                  <pic:blipFill>
                    <a:blip r:embed="rId95"/>
                    <a:stretch>
                      <a:fillRect/>
                    </a:stretch>
                  </pic:blipFill>
                  <pic:spPr>
                    <a:xfrm>
                      <a:off x="0" y="0"/>
                      <a:ext cx="4768231" cy="7589519"/>
                    </a:xfrm>
                    <a:prstGeom prst="rect"/>
                  </pic:spPr>
                </pic:pic>
              </a:graphicData>
            </a:graphic>
          </wp:inline>
        </w:drawing>
      </w:r>
    </w:p>
    <w:p>
      <w:pPr>
        <w:pStyle w:val="GLDFigureTitle"/>
        <w:keepNext/>
        <w:spacing w:after="240" w:before="40"/>
        <w:jc w:val="center"/>
      </w:pPr>
      <w:r>
        <w:rPr>
          <w:rFonts w:ascii="Calibri" w:hAnsi="Calibri"/>
          <w:b/>
          <w:i w:val="0"/>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86" name="Picture 86"/>
            <wp:cNvGraphicFramePr>
              <a:graphicFrameLocks noChangeAspect="1"/>
            </wp:cNvGraphicFramePr>
            <a:graphic>
              <a:graphicData uri="http://schemas.openxmlformats.org/drawingml/2006/picture">
                <pic:pic>
                  <pic:nvPicPr>
                    <pic:cNvPr id="0" name="pkg_31.jpg"/>
                    <pic:cNvPicPr/>
                  </pic:nvPicPr>
                  <pic:blipFill>
                    <a:blip r:embed="rId96"/>
                    <a:stretch>
                      <a:fillRect/>
                    </a:stretch>
                  </pic:blipFill>
                  <pic:spPr>
                    <a:xfrm>
                      <a:off x="0" y="0"/>
                      <a:ext cx="5015544"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M-F3. MQ-6 and MQ-7 — sensor parameters and dimension drawings</w:t>
      </w:r>
    </w:p>
    <w:p>
      <w:pPr>
        <w:spacing w:after="240"/>
        <w:jc w:val="center"/>
      </w:pPr>
      <w:r>
        <w:rPr>
          <w:color w:val="555B66"/>
          <w:sz w:val="17"/>
        </w:rPr>
        <w:t>Data sheet shows MQ-7; the fitted part is MQ-7B (BOM) — data sheet of the B-variant to be confirmed.</w:t>
      </w:r>
    </w:p>
    <w:p>
      <w:r>
        <w:br w:type="page"/>
      </w:r>
    </w:p>
    <w:p>
      <w:pPr>
        <w:keepNext/>
        <w:spacing w:after="40"/>
        <w:jc w:val="center"/>
      </w:pPr>
      <w:r>
        <w:drawing>
          <wp:inline xmlns:a="http://schemas.openxmlformats.org/drawingml/2006/main" xmlns:pic="http://schemas.openxmlformats.org/drawingml/2006/picture">
            <wp:extent cx="5139876" cy="7589519"/>
            <wp:docPr id="87" name="Picture 87"/>
            <wp:cNvGraphicFramePr>
              <a:graphicFrameLocks noChangeAspect="1"/>
            </wp:cNvGraphicFramePr>
            <a:graphic>
              <a:graphicData uri="http://schemas.openxmlformats.org/drawingml/2006/picture">
                <pic:pic>
                  <pic:nvPicPr>
                    <pic:cNvPr id="0" name="pkg_32.jpg"/>
                    <pic:cNvPicPr/>
                  </pic:nvPicPr>
                  <pic:blipFill>
                    <a:blip r:embed="rId97"/>
                    <a:stretch>
                      <a:fillRect/>
                    </a:stretch>
                  </pic:blipFill>
                  <pic:spPr>
                    <a:xfrm>
                      <a:off x="0" y="0"/>
                      <a:ext cx="5139876" cy="7589519"/>
                    </a:xfrm>
                    <a:prstGeom prst="rect"/>
                  </pic:spPr>
                </pic:pic>
              </a:graphicData>
            </a:graphic>
          </wp:inline>
        </w:drawing>
      </w:r>
    </w:p>
    <w:p>
      <w:pPr>
        <w:pStyle w:val="GLDFigureTitle"/>
        <w:keepNext/>
        <w:spacing w:after="240" w:before="40"/>
        <w:jc w:val="center"/>
      </w:pPr>
      <w:r>
        <w:rPr>
          <w:rFonts w:ascii="Calibri" w:hAnsi="Calibri"/>
          <w:b/>
          <w:i w:val="0"/>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pStyle w:val="Heading5"/>
      </w:pPr>
      <w: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pStyle w:val="Heading5"/>
      </w:pPr>
      <w: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pStyle w:val="Heading5"/>
      </w:pPr>
      <w: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pStyle w:val="Heading5"/>
      </w:pPr>
      <w: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pStyle w:val="Heading5"/>
      </w:pPr>
      <w: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pStyle w:val="Heading5"/>
      </w:pPr>
      <w: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88" name="Picture 88"/>
            <wp:cNvGraphicFramePr>
              <a:graphicFrameLocks noChangeAspect="1"/>
            </wp:cNvGraphicFramePr>
            <a:graphic>
              <a:graphicData uri="http://schemas.openxmlformats.org/drawingml/2006/picture">
                <pic:pic>
                  <pic:nvPicPr>
                    <pic:cNvPr id="0" name="sheet-02.png"/>
                    <pic:cNvPicPr/>
                  </pic:nvPicPr>
                  <pic:blipFill>
                    <a:blip r:embed="rId9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9" name="Picture 89"/>
            <wp:cNvGraphicFramePr>
              <a:graphicFrameLocks noChangeAspect="1"/>
            </wp:cNvGraphicFramePr>
            <a:graphic>
              <a:graphicData uri="http://schemas.openxmlformats.org/drawingml/2006/picture">
                <pic:pic>
                  <pic:nvPicPr>
                    <pic:cNvPr id="0" name="sheet-03.png"/>
                    <pic:cNvPicPr/>
                  </pic:nvPicPr>
                  <pic:blipFill>
                    <a:blip r:embed="rId9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0" name="Picture 90"/>
            <wp:cNvGraphicFramePr>
              <a:graphicFrameLocks noChangeAspect="1"/>
            </wp:cNvGraphicFramePr>
            <a:graphic>
              <a:graphicData uri="http://schemas.openxmlformats.org/drawingml/2006/picture">
                <pic:pic>
                  <pic:nvPicPr>
                    <pic:cNvPr id="0" name="sheet-04.png"/>
                    <pic:cNvPicPr/>
                  </pic:nvPicPr>
                  <pic:blipFill>
                    <a:blip r:embed="rId10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1" name="Picture 91"/>
            <wp:cNvGraphicFramePr>
              <a:graphicFrameLocks noChangeAspect="1"/>
            </wp:cNvGraphicFramePr>
            <a:graphic>
              <a:graphicData uri="http://schemas.openxmlformats.org/drawingml/2006/picture">
                <pic:pic>
                  <pic:nvPicPr>
                    <pic:cNvPr id="0" name="sheet-05.png"/>
                    <pic:cNvPicPr/>
                  </pic:nvPicPr>
                  <pic:blipFill>
                    <a:blip r:embed="rId10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2" name="Picture 92"/>
            <wp:cNvGraphicFramePr>
              <a:graphicFrameLocks noChangeAspect="1"/>
            </wp:cNvGraphicFramePr>
            <a:graphic>
              <a:graphicData uri="http://schemas.openxmlformats.org/drawingml/2006/picture">
                <pic:pic>
                  <pic:nvPicPr>
                    <pic:cNvPr id="0" name="sheet-06.png"/>
                    <pic:cNvPicPr/>
                  </pic:nvPicPr>
                  <pic:blipFill>
                    <a:blip r:embed="rId10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3" name="Picture 93"/>
            <wp:cNvGraphicFramePr>
              <a:graphicFrameLocks noChangeAspect="1"/>
            </wp:cNvGraphicFramePr>
            <a:graphic>
              <a:graphicData uri="http://schemas.openxmlformats.org/drawingml/2006/picture">
                <pic:pic>
                  <pic:nvPicPr>
                    <pic:cNvPr id="0" name="sheet-07.png"/>
                    <pic:cNvPicPr/>
                  </pic:nvPicPr>
                  <pic:blipFill>
                    <a:blip r:embed="rId10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4" name="Picture 94"/>
            <wp:cNvGraphicFramePr>
              <a:graphicFrameLocks noChangeAspect="1"/>
            </wp:cNvGraphicFramePr>
            <a:graphic>
              <a:graphicData uri="http://schemas.openxmlformats.org/drawingml/2006/picture">
                <pic:pic>
                  <pic:nvPicPr>
                    <pic:cNvPr id="0" name="sheet-08.png"/>
                    <pic:cNvPicPr/>
                  </pic:nvPicPr>
                  <pic:blipFill>
                    <a:blip r:embed="rId10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5" name="Picture 95"/>
            <wp:cNvGraphicFramePr>
              <a:graphicFrameLocks noChangeAspect="1"/>
            </wp:cNvGraphicFramePr>
            <a:graphic>
              <a:graphicData uri="http://schemas.openxmlformats.org/drawingml/2006/picture">
                <pic:pic>
                  <pic:nvPicPr>
                    <pic:cNvPr id="0" name="sheet-09.png"/>
                    <pic:cNvPicPr/>
                  </pic:nvPicPr>
                  <pic:blipFill>
                    <a:blip r:embed="rId10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6" name="Picture 96"/>
            <wp:cNvGraphicFramePr>
              <a:graphicFrameLocks noChangeAspect="1"/>
            </wp:cNvGraphicFramePr>
            <a:graphic>
              <a:graphicData uri="http://schemas.openxmlformats.org/drawingml/2006/picture">
                <pic:pic>
                  <pic:nvPicPr>
                    <pic:cNvPr id="0" name="sheet-10.png"/>
                    <pic:cNvPicPr/>
                  </pic:nvPicPr>
                  <pic:blipFill>
                    <a:blip r:embed="rId10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7" name="Picture 97"/>
            <wp:cNvGraphicFramePr>
              <a:graphicFrameLocks noChangeAspect="1"/>
            </wp:cNvGraphicFramePr>
            <a:graphic>
              <a:graphicData uri="http://schemas.openxmlformats.org/drawingml/2006/picture">
                <pic:pic>
                  <pic:nvPicPr>
                    <pic:cNvPr id="0" name="sheet-11.png"/>
                    <pic:cNvPicPr/>
                  </pic:nvPicPr>
                  <pic:blipFill>
                    <a:blip r:embed="rId10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8" name="Picture 98"/>
            <wp:cNvGraphicFramePr>
              <a:graphicFrameLocks noChangeAspect="1"/>
            </wp:cNvGraphicFramePr>
            <a:graphic>
              <a:graphicData uri="http://schemas.openxmlformats.org/drawingml/2006/picture">
                <pic:pic>
                  <pic:nvPicPr>
                    <pic:cNvPr id="0" name="sheet-12.png"/>
                    <pic:cNvPicPr/>
                  </pic:nvPicPr>
                  <pic:blipFill>
                    <a:blip r:embed="rId10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9" name="Picture 99"/>
            <wp:cNvGraphicFramePr>
              <a:graphicFrameLocks noChangeAspect="1"/>
            </wp:cNvGraphicFramePr>
            <a:graphic>
              <a:graphicData uri="http://schemas.openxmlformats.org/drawingml/2006/picture">
                <pic:pic>
                  <pic:nvPicPr>
                    <pic:cNvPr id="0" name="sheet-13.png"/>
                    <pic:cNvPicPr/>
                  </pic:nvPicPr>
                  <pic:blipFill>
                    <a:blip r:embed="rId10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0" name="Picture 100"/>
            <wp:cNvGraphicFramePr>
              <a:graphicFrameLocks noChangeAspect="1"/>
            </wp:cNvGraphicFramePr>
            <a:graphic>
              <a:graphicData uri="http://schemas.openxmlformats.org/drawingml/2006/picture">
                <pic:pic>
                  <pic:nvPicPr>
                    <pic:cNvPr id="0" name="sheet-14.png"/>
                    <pic:cNvPicPr/>
                  </pic:nvPicPr>
                  <pic:blipFill>
                    <a:blip r:embed="rId11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1" name="Picture 101"/>
            <wp:cNvGraphicFramePr>
              <a:graphicFrameLocks noChangeAspect="1"/>
            </wp:cNvGraphicFramePr>
            <a:graphic>
              <a:graphicData uri="http://schemas.openxmlformats.org/drawingml/2006/picture">
                <pic:pic>
                  <pic:nvPicPr>
                    <pic:cNvPr id="0" name="sheet-15.png"/>
                    <pic:cNvPicPr/>
                  </pic:nvPicPr>
                  <pic:blipFill>
                    <a:blip r:embed="rId11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2" name="Picture 102"/>
            <wp:cNvGraphicFramePr>
              <a:graphicFrameLocks noChangeAspect="1"/>
            </wp:cNvGraphicFramePr>
            <a:graphic>
              <a:graphicData uri="http://schemas.openxmlformats.org/drawingml/2006/picture">
                <pic:pic>
                  <pic:nvPicPr>
                    <pic:cNvPr id="0" name="sheet-16.png"/>
                    <pic:cNvPicPr/>
                  </pic:nvPicPr>
                  <pic:blipFill>
                    <a:blip r:embed="rId11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3" name="Picture 103"/>
            <wp:cNvGraphicFramePr>
              <a:graphicFrameLocks noChangeAspect="1"/>
            </wp:cNvGraphicFramePr>
            <a:graphic>
              <a:graphicData uri="http://schemas.openxmlformats.org/drawingml/2006/picture">
                <pic:pic>
                  <pic:nvPicPr>
                    <pic:cNvPr id="0" name="sheet-17.png"/>
                    <pic:cNvPicPr/>
                  </pic:nvPicPr>
                  <pic:blipFill>
                    <a:blip r:embed="rId11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4" name="Picture 104"/>
            <wp:cNvGraphicFramePr>
              <a:graphicFrameLocks noChangeAspect="1"/>
            </wp:cNvGraphicFramePr>
            <a:graphic>
              <a:graphicData uri="http://schemas.openxmlformats.org/drawingml/2006/picture">
                <pic:pic>
                  <pic:nvPicPr>
                    <pic:cNvPr id="0" name="sheet-18.png"/>
                    <pic:cNvPicPr/>
                  </pic:nvPicPr>
                  <pic:blipFill>
                    <a:blip r:embed="rId11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5" name="Picture 105"/>
            <wp:cNvGraphicFramePr>
              <a:graphicFrameLocks noChangeAspect="1"/>
            </wp:cNvGraphicFramePr>
            <a:graphic>
              <a:graphicData uri="http://schemas.openxmlformats.org/drawingml/2006/picture">
                <pic:pic>
                  <pic:nvPicPr>
                    <pic:cNvPr id="0" name="sheet-19.png"/>
                    <pic:cNvPicPr/>
                  </pic:nvPicPr>
                  <pic:blipFill>
                    <a:blip r:embed="rId11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6" name="Picture 106"/>
            <wp:cNvGraphicFramePr>
              <a:graphicFrameLocks noChangeAspect="1"/>
            </wp:cNvGraphicFramePr>
            <a:graphic>
              <a:graphicData uri="http://schemas.openxmlformats.org/drawingml/2006/picture">
                <pic:pic>
                  <pic:nvPicPr>
                    <pic:cNvPr id="0" name="sheet-20.png"/>
                    <pic:cNvPicPr/>
                  </pic:nvPicPr>
                  <pic:blipFill>
                    <a:blip r:embed="rId11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7" name="Picture 107"/>
            <wp:cNvGraphicFramePr>
              <a:graphicFrameLocks noChangeAspect="1"/>
            </wp:cNvGraphicFramePr>
            <a:graphic>
              <a:graphicData uri="http://schemas.openxmlformats.org/drawingml/2006/picture">
                <pic:pic>
                  <pic:nvPicPr>
                    <pic:cNvPr id="0" name="sheet-21.png"/>
                    <pic:cNvPicPr/>
                  </pic:nvPicPr>
                  <pic:blipFill>
                    <a:blip r:embed="rId11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8" name="Picture 108"/>
            <wp:cNvGraphicFramePr>
              <a:graphicFrameLocks noChangeAspect="1"/>
            </wp:cNvGraphicFramePr>
            <a:graphic>
              <a:graphicData uri="http://schemas.openxmlformats.org/drawingml/2006/picture">
                <pic:pic>
                  <pic:nvPicPr>
                    <pic:cNvPr id="0" name="sheet-22.png"/>
                    <pic:cNvPicPr/>
                  </pic:nvPicPr>
                  <pic:blipFill>
                    <a:blip r:embed="rId11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9" name="Picture 109"/>
            <wp:cNvGraphicFramePr>
              <a:graphicFrameLocks noChangeAspect="1"/>
            </wp:cNvGraphicFramePr>
            <a:graphic>
              <a:graphicData uri="http://schemas.openxmlformats.org/drawingml/2006/picture">
                <pic:pic>
                  <pic:nvPicPr>
                    <pic:cNvPr id="0" name="sheet-23.png"/>
                    <pic:cNvPicPr/>
                  </pic:nvPicPr>
                  <pic:blipFill>
                    <a:blip r:embed="rId119"/>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pStyle w:val="Heading5"/>
      </w:pPr>
      <w: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pStyle w:val="Heading5"/>
      </w:pPr>
      <w: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pStyle w:val="Heading5"/>
      </w:pPr>
      <w: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10" name="Picture 110"/>
            <wp:cNvGraphicFramePr>
              <a:graphicFrameLocks noChangeAspect="1"/>
            </wp:cNvGraphicFramePr>
            <a:graphic>
              <a:graphicData uri="http://schemas.openxmlformats.org/drawingml/2006/picture">
                <pic:pic>
                  <pic:nvPicPr>
                    <pic:cNvPr id="0" name="view01.jpg"/>
                    <pic:cNvPicPr/>
                  </pic:nvPicPr>
                  <pic:blipFill>
                    <a:blip r:embed="rId120"/>
                    <a:stretch>
                      <a:fillRect/>
                    </a:stretch>
                  </pic:blipFill>
                  <pic:spPr>
                    <a:xfrm>
                      <a:off x="0" y="0"/>
                      <a:ext cx="3291840" cy="329184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1" name="Picture 111"/>
            <wp:cNvGraphicFramePr>
              <a:graphicFrameLocks noChangeAspect="1"/>
            </wp:cNvGraphicFramePr>
            <a:graphic>
              <a:graphicData uri="http://schemas.openxmlformats.org/drawingml/2006/picture">
                <pic:pic>
                  <pic:nvPicPr>
                    <pic:cNvPr id="0" name="view02.jpg"/>
                    <pic:cNvPicPr/>
                  </pic:nvPicPr>
                  <pic:blipFill>
                    <a:blip r:embed="rId121"/>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12" name="Picture 112"/>
            <wp:cNvGraphicFramePr>
              <a:graphicFrameLocks noChangeAspect="1"/>
            </wp:cNvGraphicFramePr>
            <a:graphic>
              <a:graphicData uri="http://schemas.openxmlformats.org/drawingml/2006/picture">
                <pic:pic>
                  <pic:nvPicPr>
                    <pic:cNvPr id="0" name="view03.jpg"/>
                    <pic:cNvPicPr/>
                  </pic:nvPicPr>
                  <pic:blipFill>
                    <a:blip r:embed="rId122"/>
                    <a:stretch>
                      <a:fillRect/>
                    </a:stretch>
                  </pic:blipFill>
                  <pic:spPr>
                    <a:xfrm>
                      <a:off x="0" y="0"/>
                      <a:ext cx="3291840" cy="329184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113" name="Picture 113"/>
            <wp:cNvGraphicFramePr>
              <a:graphicFrameLocks noChangeAspect="1"/>
            </wp:cNvGraphicFramePr>
            <a:graphic>
              <a:graphicData uri="http://schemas.openxmlformats.org/drawingml/2006/picture">
                <pic:pic>
                  <pic:nvPicPr>
                    <pic:cNvPr id="0" name="view04.jpg"/>
                    <pic:cNvPicPr/>
                  </pic:nvPicPr>
                  <pic:blipFill>
                    <a:blip r:embed="rId123"/>
                    <a:stretch>
                      <a:fillRect/>
                    </a:stretch>
                  </pic:blipFill>
                  <pic:spPr>
                    <a:xfrm>
                      <a:off x="0" y="0"/>
                      <a:ext cx="4443813" cy="475488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4" name="Picture 114"/>
            <wp:cNvGraphicFramePr>
              <a:graphicFrameLocks noChangeAspect="1"/>
            </wp:cNvGraphicFramePr>
            <a:graphic>
              <a:graphicData uri="http://schemas.openxmlformats.org/drawingml/2006/picture">
                <pic:pic>
                  <pic:nvPicPr>
                    <pic:cNvPr id="0" name="view05.jpg"/>
                    <pic:cNvPicPr/>
                  </pic:nvPicPr>
                  <pic:blipFill>
                    <a:blip r:embed="rId124"/>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5" name="Picture 115"/>
            <wp:cNvGraphicFramePr>
              <a:graphicFrameLocks noChangeAspect="1"/>
            </wp:cNvGraphicFramePr>
            <a:graphic>
              <a:graphicData uri="http://schemas.openxmlformats.org/drawingml/2006/picture">
                <pic:pic>
                  <pic:nvPicPr>
                    <pic:cNvPr id="0" name="view06.jpg"/>
                    <pic:cNvPicPr/>
                  </pic:nvPicPr>
                  <pic:blipFill>
                    <a:blip r:embed="rId125"/>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6" name="Picture 116"/>
            <wp:cNvGraphicFramePr>
              <a:graphicFrameLocks noChangeAspect="1"/>
            </wp:cNvGraphicFramePr>
            <a:graphic>
              <a:graphicData uri="http://schemas.openxmlformats.org/drawingml/2006/picture">
                <pic:pic>
                  <pic:nvPicPr>
                    <pic:cNvPr id="0" name="view07.jpg"/>
                    <pic:cNvPicPr/>
                  </pic:nvPicPr>
                  <pic:blipFill>
                    <a:blip r:embed="rId126"/>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7" name="Picture 117"/>
            <wp:cNvGraphicFramePr>
              <a:graphicFrameLocks noChangeAspect="1"/>
            </wp:cNvGraphicFramePr>
            <a:graphic>
              <a:graphicData uri="http://schemas.openxmlformats.org/drawingml/2006/picture">
                <pic:pic>
                  <pic:nvPicPr>
                    <pic:cNvPr id="0" name="view08.jpg"/>
                    <pic:cNvPicPr/>
                  </pic:nvPicPr>
                  <pic:blipFill>
                    <a:blip r:embed="rId127"/>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8" name="Picture 118"/>
            <wp:cNvGraphicFramePr>
              <a:graphicFrameLocks noChangeAspect="1"/>
            </wp:cNvGraphicFramePr>
            <a:graphic>
              <a:graphicData uri="http://schemas.openxmlformats.org/drawingml/2006/picture">
                <pic:pic>
                  <pic:nvPicPr>
                    <pic:cNvPr id="0" name="view09.jpg"/>
                    <pic:cNvPicPr/>
                  </pic:nvPicPr>
                  <pic:blipFill>
                    <a:blip r:embed="rId128"/>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9" name="Picture 119"/>
            <wp:cNvGraphicFramePr>
              <a:graphicFrameLocks noChangeAspect="1"/>
            </wp:cNvGraphicFramePr>
            <a:graphic>
              <a:graphicData uri="http://schemas.openxmlformats.org/drawingml/2006/picture">
                <pic:pic>
                  <pic:nvPicPr>
                    <pic:cNvPr id="0" name="view10.jpg"/>
                    <pic:cNvPicPr/>
                  </pic:nvPicPr>
                  <pic:blipFill>
                    <a:blip r:embed="rId129"/>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r>
        <w:br w:type="page"/>
      </w:r>
    </w:p>
    <w:p>
      <w:pPr>
        <w:pStyle w:val="Heading5"/>
      </w:pPr>
      <w:r>
        <w:t>3D renders — main board and PCB cover (terminal board), GLD V4</w:t>
      </w:r>
    </w:p>
    <w:p>
      <w:pPr>
        <w:spacing w:after="120"/>
      </w:pPr>
      <w:r>
        <w:rPr>
          <w:b w:val="0"/>
          <w:i w:val="0"/>
          <w:color w:val="262321"/>
          <w:sz w:val="20"/>
        </w:rPr>
        <w:t>The GLD V4 electronics consist of two stacked circular boards: the main board (motherboard) and a separate PCB cover (terminal board) that carries the field-wiring terminals and covers the motherboard. Renders exported from the PCB design; they show the boards as designed, not a dimensioned drawing.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651760" cy="2268130"/>
                  <wp:docPr id="120" name="Picture 120"/>
                  <wp:cNvGraphicFramePr>
                    <a:graphicFrameLocks noChangeAspect="1"/>
                  </wp:cNvGraphicFramePr>
                  <a:graphic>
                    <a:graphicData uri="http://schemas.openxmlformats.org/drawingml/2006/picture">
                      <pic:pic>
                        <pic:nvPicPr>
                          <pic:cNvPr id="0" name="render_mb_top.png"/>
                          <pic:cNvPicPr/>
                        </pic:nvPicPr>
                        <pic:blipFill>
                          <a:blip r:embed="rId130"/>
                          <a:stretch>
                            <a:fillRect/>
                          </a:stretch>
                        </pic:blipFill>
                        <pic:spPr>
                          <a:xfrm>
                            <a:off x="0" y="0"/>
                            <a:ext cx="2651760" cy="2268130"/>
                          </a:xfrm>
                          <a:prstGeom prst="rect"/>
                        </pic:spPr>
                      </pic:pic>
                    </a:graphicData>
                  </a:graphic>
                </wp:inline>
              </w:drawing>
            </w:r>
          </w:p>
          <w:p>
            <w:pPr>
              <w:jc w:val="center"/>
            </w:pPr>
            <w:r>
              <w:rPr>
                <w:color w:val="555B66"/>
                <w:sz w:val="17"/>
              </w:rPr>
              <w:t>Main board — top (component side)</w:t>
            </w:r>
          </w:p>
        </w:tc>
        <w:tc>
          <w:tcPr>
            <w:tcW w:type="dxa" w:w="4873"/>
          </w:tcPr>
          <w:p>
            <w:pPr>
              <w:jc w:val="center"/>
            </w:pPr>
            <w:r>
              <w:drawing>
                <wp:inline xmlns:a="http://schemas.openxmlformats.org/drawingml/2006/main" xmlns:pic="http://schemas.openxmlformats.org/drawingml/2006/picture">
                  <wp:extent cx="2651760" cy="2531567"/>
                  <wp:docPr id="121" name="Picture 121"/>
                  <wp:cNvGraphicFramePr>
                    <a:graphicFrameLocks noChangeAspect="1"/>
                  </wp:cNvGraphicFramePr>
                  <a:graphic>
                    <a:graphicData uri="http://schemas.openxmlformats.org/drawingml/2006/picture">
                      <pic:pic>
                        <pic:nvPicPr>
                          <pic:cNvPr id="0" name="render_mb_bottom.png"/>
                          <pic:cNvPicPr/>
                        </pic:nvPicPr>
                        <pic:blipFill>
                          <a:blip r:embed="rId131"/>
                          <a:stretch>
                            <a:fillRect/>
                          </a:stretch>
                        </pic:blipFill>
                        <pic:spPr>
                          <a:xfrm>
                            <a:off x="0" y="0"/>
                            <a:ext cx="2651760" cy="2531567"/>
                          </a:xfrm>
                          <a:prstGeom prst="rect"/>
                        </pic:spPr>
                      </pic:pic>
                    </a:graphicData>
                  </a:graphic>
                </wp:inline>
              </w:drawing>
            </w:r>
          </w:p>
          <w:p>
            <w:pPr>
              <w:jc w:val="center"/>
            </w:pPr>
            <w:r>
              <w:rPr>
                <w:color w:val="555B66"/>
                <w:sz w:val="17"/>
              </w:rPr>
              <w:t>Main board — bottom</w:t>
            </w:r>
          </w:p>
        </w:tc>
      </w:tr>
      <w:tr>
        <w:tc>
          <w:tcPr>
            <w:tcW w:type="dxa" w:w="4873"/>
          </w:tcPr>
          <w:p>
            <w:pPr>
              <w:jc w:val="center"/>
            </w:pPr>
            <w:r>
              <w:drawing>
                <wp:inline xmlns:a="http://schemas.openxmlformats.org/drawingml/2006/main" xmlns:pic="http://schemas.openxmlformats.org/drawingml/2006/picture">
                  <wp:extent cx="2651760" cy="2309155"/>
                  <wp:docPr id="122" name="Picture 122"/>
                  <wp:cNvGraphicFramePr>
                    <a:graphicFrameLocks noChangeAspect="1"/>
                  </wp:cNvGraphicFramePr>
                  <a:graphic>
                    <a:graphicData uri="http://schemas.openxmlformats.org/drawingml/2006/picture">
                      <pic:pic>
                        <pic:nvPicPr>
                          <pic:cNvPr id="0" name="render_cover_top.png"/>
                          <pic:cNvPicPr/>
                        </pic:nvPicPr>
                        <pic:blipFill>
                          <a:blip r:embed="rId132"/>
                          <a:stretch>
                            <a:fillRect/>
                          </a:stretch>
                        </pic:blipFill>
                        <pic:spPr>
                          <a:xfrm>
                            <a:off x="0" y="0"/>
                            <a:ext cx="2651760" cy="2309155"/>
                          </a:xfrm>
                          <a:prstGeom prst="rect"/>
                        </pic:spPr>
                      </pic:pic>
                    </a:graphicData>
                  </a:graphic>
                </wp:inline>
              </w:drawing>
            </w:r>
          </w:p>
          <w:p>
            <w:pPr>
              <w:jc w:val="center"/>
            </w:pPr>
            <w:r>
              <w:rPr>
                <w:color w:val="555B66"/>
                <w:sz w:val="17"/>
              </w:rPr>
              <w:t>PCB cover (terminal board) — top</w:t>
            </w:r>
          </w:p>
        </w:tc>
        <w:tc>
          <w:tcPr>
            <w:tcW w:type="dxa" w:w="4873"/>
          </w:tcPr>
          <w:p>
            <w:pPr>
              <w:jc w:val="center"/>
            </w:pPr>
            <w:r>
              <w:drawing>
                <wp:inline xmlns:a="http://schemas.openxmlformats.org/drawingml/2006/main" xmlns:pic="http://schemas.openxmlformats.org/drawingml/2006/picture">
                  <wp:extent cx="2651760" cy="2486495"/>
                  <wp:docPr id="123" name="Picture 123"/>
                  <wp:cNvGraphicFramePr>
                    <a:graphicFrameLocks noChangeAspect="1"/>
                  </wp:cNvGraphicFramePr>
                  <a:graphic>
                    <a:graphicData uri="http://schemas.openxmlformats.org/drawingml/2006/picture">
                      <pic:pic>
                        <pic:nvPicPr>
                          <pic:cNvPr id="0" name="render_cover_bottom.png"/>
                          <pic:cNvPicPr/>
                        </pic:nvPicPr>
                        <pic:blipFill>
                          <a:blip r:embed="rId133"/>
                          <a:stretch>
                            <a:fillRect/>
                          </a:stretch>
                        </pic:blipFill>
                        <pic:spPr>
                          <a:xfrm>
                            <a:off x="0" y="0"/>
                            <a:ext cx="2651760" cy="2486495"/>
                          </a:xfrm>
                          <a:prstGeom prst="rect"/>
                        </pic:spPr>
                      </pic:pic>
                    </a:graphicData>
                  </a:graphic>
                </wp:inline>
              </w:drawing>
            </w:r>
          </w:p>
          <w:p>
            <w:pPr>
              <w:jc w:val="center"/>
            </w:pPr>
            <w:r>
              <w:rPr>
                <w:color w:val="555B66"/>
                <w:sz w:val="17"/>
              </w:rPr>
              <w:t>PCB cover (terminal board) — bottom</w:t>
            </w:r>
          </w:p>
        </w:tc>
      </w:tr>
    </w:tbl>
    <w:p>
      <w:pPr>
        <w:pStyle w:val="GLDFigureTitle"/>
        <w:keepNext/>
        <w:spacing w:after="60" w:before="40"/>
        <w:jc w:val="center"/>
      </w:pPr>
      <w:r>
        <w:rPr>
          <w:rFonts w:ascii="Calibri" w:hAnsi="Calibri"/>
          <w:b/>
          <w:i w:val="0"/>
          <w:color w:val="1B335F"/>
          <w:sz w:val="18"/>
        </w:rPr>
        <w:t>Figure 8-11. GLD V4 — main board and PCB cover (terminal board), top and bottom renders</w:t>
      </w:r>
    </w:p>
    <w:tbl>
      <w:tblPr>
        <w:tblStyle w:val="TableGrid"/>
        <w:tblW w:type="auto" w:w="0"/>
        <w:jc w:val="center"/>
        <w:tblLayout w:type="fixed"/>
        <w:tblLook w:firstColumn="1" w:firstRow="1" w:lastColumn="0" w:lastRow="0" w:noHBand="0" w:noVBand="1" w:val="04A0"/>
        <w:tblLayout w:type="fixed"/>
      </w:tblPr>
      <w:tblGrid>
        <w:gridCol w:w="2880"/>
        <w:gridCol w:w="6623"/>
      </w:tblGrid>
      <w:tr>
        <w:trPr>
          <w:tblHeader w:val="true"/>
        </w:trPr>
        <w:tc>
          <w:tcPr>
            <w:tcW w:type="dxa" w:w="2880"/>
            <w:shd w:val="clear" w:fill="EAEFF9"/>
          </w:tcPr>
          <w:p>
            <w:pPr>
              <w:spacing w:after="20"/>
            </w:pPr>
            <w:r>
              <w:rPr>
                <w:b/>
                <w:color w:val="1B335F"/>
                <w:sz w:val="17"/>
              </w:rPr>
              <w:t>Item</w:t>
            </w:r>
          </w:p>
        </w:tc>
        <w:tc>
          <w:tcPr>
            <w:tcW w:type="dxa" w:w="6624"/>
            <w:shd w:val="clear" w:fill="EAEFF9"/>
          </w:tcPr>
          <w:p>
            <w:pPr>
              <w:spacing w:after="20"/>
            </w:pPr>
            <w:r>
              <w:rPr>
                <w:b/>
                <w:color w:val="1B335F"/>
                <w:sz w:val="17"/>
              </w:rPr>
              <w:t>Description</w:t>
            </w:r>
          </w:p>
        </w:tc>
      </w:tr>
      <w:tr>
        <w:trPr>
          <w:cantSplit/>
        </w:trPr>
        <w:tc>
          <w:tcPr>
            <w:tcW w:type="dxa" w:w="2880"/>
          </w:tcPr>
          <w:p>
            <w:pPr>
              <w:spacing w:after="20" w:before="20"/>
            </w:pPr>
            <w:r>
              <w:rPr>
                <w:b/>
                <w:sz w:val="17"/>
              </w:rPr>
              <w:t>Terminal designations (PCB cover, top)</w:t>
            </w:r>
          </w:p>
        </w:tc>
        <w:tc>
          <w:tcPr>
            <w:tcW w:type="dxa" w:w="6624"/>
          </w:tcPr>
          <w:p>
            <w:pPr>
              <w:spacing w:after="20" w:before="20"/>
            </w:pPr>
            <w:r>
              <w:rPr>
                <w:sz w:val="17"/>
              </w:rPr>
              <w:t>RS485 A, B · FAN 5V, 0V · ALARM −, + · BAT −, + · 24V +, −</w:t>
            </w:r>
          </w:p>
        </w:tc>
      </w:tr>
      <w:tr>
        <w:trPr>
          <w:cantSplit/>
        </w:trPr>
        <w:tc>
          <w:tcPr>
            <w:tcW w:type="dxa" w:w="2880"/>
          </w:tcPr>
          <w:p>
            <w:pPr>
              <w:spacing w:after="20" w:before="20"/>
            </w:pPr>
            <w:r>
              <w:rPr>
                <w:b/>
                <w:sz w:val="17"/>
              </w:rPr>
              <w:t>Board-to-board interconnection</w:t>
            </w:r>
          </w:p>
        </w:tc>
        <w:tc>
          <w:tcPr>
            <w:tcW w:type="dxa" w:w="6624"/>
          </w:tcPr>
          <w:p>
            <w:pPr>
              <w:spacing w:after="20" w:before="20"/>
            </w:pPr>
            <w:r>
              <w:rPr>
                <w:sz w:val="17"/>
              </w:rPr>
              <w:t>Header connectors at the board edge (four positions) and pin rows on the underside of the PCB cover</w:t>
            </w:r>
          </w:p>
        </w:tc>
      </w:tr>
      <w:tr>
        <w:trPr>
          <w:cantSplit/>
        </w:trPr>
        <w:tc>
          <w:tcPr>
            <w:tcW w:type="dxa" w:w="2880"/>
          </w:tcPr>
          <w:p>
            <w:pPr>
              <w:spacing w:after="20" w:before="20"/>
            </w:pPr>
            <w:r>
              <w:rPr>
                <w:b/>
                <w:sz w:val="17"/>
              </w:rPr>
              <w:t>Change from V3 — mounting</w:t>
            </w:r>
          </w:p>
        </w:tc>
        <w:tc>
          <w:tcPr>
            <w:tcW w:type="dxa" w:w="6624"/>
          </w:tcPr>
          <w:p>
            <w:pPr>
              <w:spacing w:after="20" w:before="20"/>
            </w:pPr>
            <w:r>
              <w:rPr>
                <w:sz w:val="17"/>
              </w:rPr>
              <w:t>Bolt holes added for mounting the motherboard to the PCB cover</w:t>
            </w:r>
          </w:p>
        </w:tc>
      </w:tr>
      <w:tr>
        <w:trPr>
          <w:cantSplit/>
        </w:trPr>
        <w:tc>
          <w:tcPr>
            <w:tcW w:type="dxa" w:w="2880"/>
          </w:tcPr>
          <w:p>
            <w:pPr>
              <w:spacing w:after="20" w:before="20"/>
            </w:pPr>
            <w:r>
              <w:rPr>
                <w:b/>
                <w:sz w:val="17"/>
              </w:rPr>
              <w:t>Change from V3 — PCB cover</w:t>
            </w:r>
          </w:p>
        </w:tc>
        <w:tc>
          <w:tcPr>
            <w:tcW w:type="dxa" w:w="6624"/>
          </w:tcPr>
          <w:p>
            <w:pPr>
              <w:spacing w:after="20" w:before="20"/>
            </w:pPr>
            <w:r>
              <w:rPr>
                <w:sz w:val="17"/>
              </w:rPr>
              <w:t>A separate PCB cover added to terminate the field connections and to cover the motherboard</w:t>
            </w:r>
          </w:p>
        </w:tc>
      </w:tr>
      <w:tr>
        <w:trPr>
          <w:cantSplit/>
        </w:trPr>
        <w:tc>
          <w:tcPr>
            <w:tcW w:type="dxa" w:w="2880"/>
          </w:tcPr>
          <w:p>
            <w:pPr>
              <w:spacing w:after="20" w:before="20"/>
            </w:pPr>
            <w:r>
              <w:rPr>
                <w:b/>
                <w:sz w:val="17"/>
              </w:rPr>
              <w:t>Note</w:t>
            </w:r>
          </w:p>
        </w:tc>
        <w:tc>
          <w:tcPr>
            <w:tcW w:type="dxa" w:w="6624"/>
          </w:tcPr>
          <w:p>
            <w:pPr>
              <w:spacing w:after="20" w:before="20"/>
            </w:pPr>
            <w:r>
              <w:rPr>
                <w:sz w:val="17"/>
              </w:rPr>
              <w:t>The BAT −/+ terminal is present on the PCB cover; its status in the certified configuration (24 VDC only) is to be decided together with the battery path on the main board.</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 (e) dimensioned/layout drawings of the PCB cover (terminal board).</w:t>
            </w:r>
          </w:p>
        </w:tc>
      </w:tr>
    </w:tbl>
    <w:p>
      <w:pPr>
        <w:spacing w:after="40"/>
      </w:pPr>
    </w:p>
    <w:p>
      <w:r>
        <w:br w:type="page"/>
      </w:r>
    </w:p>
    <w:p>
      <w:pPr>
        <w:pStyle w:val="Heading3"/>
        <w:keepNext/>
      </w:pPr>
      <w:r>
        <w:t>2.6.b · Bill of Materials (BOM) for Key Components Affecting Explosion-Proof Safety</w:t>
      </w:r>
    </w:p>
    <w:p>
      <w:pPr>
        <w:keepNext/>
        <w:keepLines/>
        <w:spacing w:after="160"/>
      </w:pPr>
      <w:r>
        <w:rPr>
          <w:b w:val="0"/>
          <w:i w:val="0"/>
          <w:sz w:val="21"/>
        </w:rPr>
        <w:t>A complete, itemized electronic-component BOM exists for both boards, exported directly from the EasyEDA/JLCPCB source project (manufacturer, manufacturer part number, and LCSC supplier part number per line item): 89 line items / 214 placed components on the main board, 14 line items / 24 placed components on the sensor board. Full listing maintained in the technical documentation file GMI/GLD/IECEX-TDF/2026-001, Section 2.6.b.</w:t>
      </w:r>
    </w:p>
    <w:p>
      <w:pPr>
        <w:keepLines/>
        <w:spacing w:after="200"/>
      </w:pPr>
      <w:r>
        <w:rPr>
          <w:b/>
          <w:color w:val="4A4A4A"/>
          <w:sz w:val="19"/>
        </w:rPr>
        <w:t xml:space="preserve">Status: </w:t>
      </w:r>
      <w:r>
        <w:rPr>
          <w:i/>
          <w:color w:val="4A4A4A"/>
          <w:sz w:val="19"/>
        </w:rPr>
        <w:t>Partially available. The explosion-safety-relevant subset the checklist actually asks for (enclosure, gasket, cable entry device, battery, potting compound, and the gas sensor itself, with material grade and Ex/UL/CCC certification for each) is compiled in Sections 2.6.b.1–2.6.b.2 with open items marked per row — these are mechanical/safety parts, not electronic components, and sit with the Manufacturer, PT Galaksi Megatama Indonesia. The gas sensor itself (MQ2) is sourced outside the LCSC supply chain, without a manufacturer/LCSC part reference; its Ex status is not yet verified.</w:t>
      </w: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threaded-neck wall 10.50 mm at the root / 5.80 mm at the top, bore ≈Ø84.7 mm (caliper, Figures 4-128–4-131); body wall thickness elsewhere and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internal thread length ≈18.9 mm, internal depth to the mesh ≈47.5 mm (Figures 4-135, 4-137); mating base-neck thread height ≈14.8 mm with ≈10 threads (caliper, Figure 4-130); thread size indicatively ≈M96 × 1.5 (derived from bore Ø84.7 mm + 2 × 5.80 mm wall and thread count) — to be confirmed on drawing</w:t>
            </w:r>
          </w:p>
        </w:tc>
        <w:tc>
          <w:tcPr>
            <w:tcW w:type="dxa" w:w="1224"/>
          </w:tcPr>
          <w:p>
            <w:pPr>
              <w:spacing w:after="20"/>
            </w:pPr>
            <w:r>
              <w:rPr>
                <w:sz w:val="14"/>
              </w:rPr>
              <w:t>Flameproof joint</w:t>
            </w:r>
          </w:p>
        </w:tc>
        <w:tc>
          <w:tcPr>
            <w:tcW w:type="dxa" w:w="1080"/>
          </w:tcPr>
          <w:p>
            <w:pPr>
              <w:spacing w:after="20"/>
            </w:pPr>
            <w:r>
              <w:rPr>
                <w:sz w:val="14"/>
              </w:rPr>
              <w:t>Figures 4-127–4-137; assembly M-E9</w:t>
            </w:r>
          </w:p>
        </w:tc>
        <w:tc>
          <w:tcPr>
            <w:tcW w:type="dxa" w:w="864"/>
            <w:shd w:val="clear" w:fill="FBEEE4"/>
          </w:tcPr>
          <w:p>
            <w:pPr>
              <w:spacing w:after="20"/>
            </w:pPr>
            <w:r>
              <w:rPr>
                <w:b/>
                <w:sz w:val="14"/>
              </w:rPr>
              <w:t>Open — measured/estimate</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cover O-ring cord Ø2.70 mm, OD ≈91.0 mm, ID ≈85.6 mm derived (caliper, Figures 4-132, 4-134);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 O-rings on cover joint and blanking plug (Figures 4-125, 4-132, 4-134)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consistent with Figure 4-127);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with O-ring in the lower entry; thread est. M20×1.5;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Brass SMA bulkhead (standard 1/4″-36 UNS thread) in a spot-faced hole through the enclosure wall, U.FL pigtail inside; engagement and sealing TBC</w:t>
            </w:r>
          </w:p>
        </w:tc>
        <w:tc>
          <w:tcPr>
            <w:tcW w:type="dxa" w:w="1224"/>
          </w:tcPr>
          <w:p>
            <w:pPr>
              <w:spacing w:after="20"/>
            </w:pPr>
            <w:r>
              <w:rPr>
                <w:sz w:val="14"/>
              </w:rPr>
              <w:t>Enclosure penetration (flame path under Ex d)</w:t>
            </w:r>
          </w:p>
        </w:tc>
        <w:tc>
          <w:tcPr>
            <w:tcW w:type="dxa" w:w="1080"/>
          </w:tcPr>
          <w:p>
            <w:pPr>
              <w:spacing w:after="20"/>
            </w:pPr>
            <w:r>
              <w:rPr>
                <w:sz w:val="14"/>
              </w:rPr>
              <w:t>Figures 4-125, 4-126</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 Figure 8-11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pStyle w:val="Heading4"/>
        <w:keepNext/>
        <w:spacing w:after="60" w:before="160"/>
      </w:pPr>
      <w:r>
        <w:rPr>
          <w:rFonts w:ascii="Calibri" w:hAnsi="Calibri"/>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 — identified as a rubber gasket in the casing partner's assembly drawing, specific compound/grade not yet specified); the integral seal of the candidate M20×1.5 cable gland — per project direction, specified together with the gland itself from the BP18-1Z reference (Section 2.3),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p>
      <w:pPr>
        <w:spacing w:after="200"/>
      </w:pPr>
      <w:r>
        <w:rPr>
          <w:b/>
          <w:color w:val="4A4A4A"/>
          <w:sz w:val="19"/>
        </w:rPr>
        <w:t xml:space="preserve">Status: </w:t>
      </w:r>
      <w:r>
        <w:rPr>
          <w:i/>
          <w:color w:val="4A4A4A"/>
          <w:sz w:val="19"/>
        </w:rPr>
        <w:t>Not yet available, pending the enclosure design and material selection with the casing partner — this data has been formally requested from that partner. Partial candidate data: the BP18-1Z reference drawing (Section 2.6.a) specifies a powder-coating surface treatment with electrostatic-safety parameters directly relevant to this item — maximum surface charge transfer &lt;10 nC and maximum surface capacitance &lt;5 pF (coating thickness ≤0.2 mm), consistent with IEC 60079-0 coating requirements — but this describes a supplier's candidate component, not a confirmed datasheet for GLD's own enclosure finish.</w:t>
      </w: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O-ring, cord Ø2.70 mm, OD ≈91.0 mm (measured);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p>
      <w:pPr>
        <w:spacing w:after="200"/>
      </w:pPr>
      <w:r>
        <w:rPr>
          <w:b/>
          <w:color w:val="4A4A4A"/>
          <w:sz w:val="19"/>
        </w:rPr>
        <w:t xml:space="preserve">Status: </w:t>
      </w:r>
      <w:r>
        <w:rPr>
          <w:i/>
          <w:color w:val="4A4A4A"/>
          <w:sz w:val="19"/>
        </w:rPr>
        <w:t>Not yet available — this describes the Manufacturer's (PT Galaksi Megatama Indonesia) process, not an internal electronics process.</w:t>
      </w: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pStyle w:val="Heading5"/>
        <w:keepNext/>
        <w:spacing w:after="60" w:before="160"/>
      </w:pPr>
      <w:r>
        <w:rPr>
          <w:rFonts w:ascii="Calibri" w:hAnsi="Calibri"/>
          <w:b/>
          <w:i w:val="0"/>
          <w:color w:val="1B335F"/>
          <w:sz w:val="20"/>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pStyle w:val="Heading5"/>
        <w:keepNext/>
        <w:spacing w:after="60" w:before="160"/>
      </w:pPr>
      <w:r>
        <w:rPr>
          <w:rFonts w:ascii="Calibri" w:hAnsi="Calibri"/>
          <w:b/>
          <w:i w:val="0"/>
          <w:color w:val="1B335F"/>
          <w:sz w:val="20"/>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pStyle w:val="Heading5"/>
        <w:keepNext/>
        <w:spacing w:after="60" w:before="160"/>
      </w:pPr>
      <w:r>
        <w:rPr>
          <w:rFonts w:ascii="Calibri" w:hAnsi="Calibri"/>
          <w:b/>
          <w:i w:val="0"/>
          <w:color w:val="1B335F"/>
          <w:sz w:val="20"/>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pStyle w:val="Heading5"/>
        <w:keepNext/>
        <w:spacing w:after="60" w:before="160"/>
      </w:pPr>
      <w:r>
        <w:rPr>
          <w:rFonts w:ascii="Calibri" w:hAnsi="Calibri"/>
          <w:b/>
          <w:i w:val="0"/>
          <w:color w:val="1B335F"/>
          <w:sz w:val="20"/>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pStyle w:val="Heading5"/>
        <w:keepNext/>
        <w:spacing w:after="60" w:before="160"/>
      </w:pPr>
      <w:r>
        <w:rPr>
          <w:rFonts w:ascii="Calibri" w:hAnsi="Calibri"/>
          <w:b/>
          <w:i w:val="0"/>
          <w:color w:val="1B335F"/>
          <w:sz w:val="20"/>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pStyle w:val="Heading5"/>
        <w:keepNext/>
        <w:spacing w:after="60" w:before="160"/>
      </w:pPr>
      <w:r>
        <w:rPr>
          <w:rFonts w:ascii="Calibri" w:hAnsi="Calibri"/>
          <w:b/>
          <w:i w:val="0"/>
          <w:color w:val="1B335F"/>
          <w:sz w:val="20"/>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pStyle w:val="Heading5"/>
        <w:keepNext/>
        <w:spacing w:after="60" w:before="160"/>
      </w:pPr>
      <w:r>
        <w:rPr>
          <w:rFonts w:ascii="Calibri" w:hAnsi="Calibri"/>
          <w:b/>
          <w:i w:val="0"/>
          <w:color w:val="1B335F"/>
          <w:sz w:val="20"/>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pStyle w:val="Heading5"/>
        <w:keepNext/>
        <w:spacing w:after="60" w:before="160"/>
      </w:pPr>
      <w:r>
        <w:rPr>
          <w:rFonts w:ascii="Calibri" w:hAnsi="Calibri"/>
          <w:b/>
          <w:i w:val="0"/>
          <w:color w:val="1B335F"/>
          <w:sz w:val="20"/>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pStyle w:val="Heading5"/>
        <w:keepNext/>
        <w:spacing w:after="60" w:before="160"/>
      </w:pPr>
      <w:r>
        <w:rPr>
          <w:rFonts w:ascii="Calibri" w:hAnsi="Calibri"/>
          <w:b/>
          <w:i w:val="0"/>
          <w:color w:val="1B335F"/>
          <w:sz w:val="20"/>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pStyle w:val="Heading5"/>
        <w:keepNext/>
        <w:spacing w:after="60" w:before="160"/>
      </w:pPr>
      <w:r>
        <w:rPr>
          <w:rFonts w:ascii="Calibri" w:hAnsi="Calibri"/>
          <w:b/>
          <w:i w:val="0"/>
          <w:color w:val="1B335F"/>
          <w:sz w:val="20"/>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pStyle w:val="Heading5"/>
        <w:keepNext/>
        <w:spacing w:after="60" w:before="160"/>
      </w:pPr>
      <w:r>
        <w:rPr>
          <w:rFonts w:ascii="Calibri" w:hAnsi="Calibri"/>
          <w:b/>
          <w:i w:val="0"/>
          <w:color w:val="1B335F"/>
          <w:sz w:val="20"/>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pStyle w:val="Heading5"/>
        <w:keepNext/>
        <w:spacing w:after="60" w:before="160"/>
      </w:pPr>
      <w:r>
        <w:rPr>
          <w:rFonts w:ascii="Calibri" w:hAnsi="Calibri"/>
          <w:b/>
          <w:i w:val="0"/>
          <w:color w:val="1B335F"/>
          <w:sz w:val="20"/>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pStyle w:val="Heading5"/>
        <w:keepNext/>
        <w:spacing w:after="60" w:before="160"/>
      </w:pPr>
      <w:r>
        <w:rPr>
          <w:rFonts w:ascii="Calibri" w:hAnsi="Calibri"/>
          <w:b/>
          <w:i w:val="0"/>
          <w:color w:val="1B335F"/>
          <w:sz w:val="20"/>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and ExCB confirmation.</w:t>
      </w:r>
    </w:p>
    <w:p>
      <w:pPr>
        <w:spacing w:after="200"/>
      </w:pPr>
      <w:r>
        <w:rPr>
          <w:b/>
          <w:color w:val="4A4A4A"/>
          <w:sz w:val="19"/>
        </w:rPr>
        <w:t xml:space="preserve">Status: </w:t>
      </w:r>
      <w:r>
        <w:rPr>
          <w:i/>
          <w:color w:val="4A4A4A"/>
          <w:sz w:val="19"/>
        </w:rPr>
        <w:t>Not yet available — pending ExCB confirmation of the Ex d protection concept and final enclosure design.</w:t>
      </w: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pStyle w:val="Heading4"/>
        <w:keepNext/>
        <w:spacing w:after="60" w:before="160"/>
      </w:pPr>
      <w:r>
        <w:rPr>
          <w:rFonts w:ascii="Calibri" w:hAnsi="Calibri"/>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22 dBm (≈158 mW) conducted max.; with the 3 dBi antenna ≈0.32 W, below the 2 W RF threshold power of IEC 60079-0 for Group IIC (17 dBm operational)</w:t>
            </w:r>
          </w:p>
        </w:tc>
        <w:tc>
          <w:tcPr>
            <w:tcW w:type="dxa" w:w="864"/>
            <w:shd w:val="clear" w:fill="FFF4D6"/>
          </w:tcPr>
          <w:p>
            <w:pPr>
              <w:spacing w:after="20"/>
            </w:pPr>
            <w:r>
              <w:rPr>
                <w:b/>
                <w:sz w:val="15"/>
              </w:rPr>
              <w:t>Preliminary</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pStyle w:val="Heading4"/>
        <w:keepNext/>
        <w:spacing w:after="60" w:before="160"/>
      </w:pPr>
      <w:r>
        <w:rPr>
          <w:rFonts w:ascii="Calibri" w:hAnsi="Calibri"/>
          <w:b/>
          <w:i w:val="0"/>
          <w:color w:val="1B335F"/>
          <w:sz w:val="21"/>
        </w:rPr>
        <w:t>2.6.e.3 Explosion-protection concept and protective construction</w:t>
      </w:r>
    </w:p>
    <w:p>
      <w:pPr>
        <w:pStyle w:val="Heading5"/>
        <w:keepNext/>
        <w:spacing w:after="60" w:before="160"/>
      </w:pPr>
      <w:r>
        <w:rPr>
          <w:rFonts w:ascii="Calibri" w:hAnsi="Calibri"/>
          <w:b/>
          <w:i w:val="0"/>
          <w:color w:val="1B335F"/>
          <w:sz w:val="20"/>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pStyle w:val="Heading5"/>
        <w:keepNext/>
        <w:spacing w:after="60" w:before="160"/>
      </w:pPr>
      <w:r>
        <w:rPr>
          <w:rFonts w:ascii="Calibri" w:hAnsi="Calibri"/>
          <w:b/>
          <w:i w:val="0"/>
          <w:color w:val="1B335F"/>
          <w:sz w:val="20"/>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pStyle w:val="Heading5"/>
        <w:keepNext/>
        <w:spacing w:after="60" w:before="160"/>
      </w:pPr>
      <w:r>
        <w:rPr>
          <w:rFonts w:ascii="Calibri" w:hAnsi="Calibri"/>
          <w:b/>
          <w:i w:val="0"/>
          <w:color w:val="1B335F"/>
          <w:sz w:val="20"/>
        </w:rPr>
        <w:t>e.3.3 Front stainless-steel mesh</w:t>
      </w:r>
    </w:p>
    <w:p>
      <w:pPr>
        <w:spacing w:after="100"/>
      </w:pPr>
      <w:r>
        <w:rPr>
          <w:b w:val="0"/>
          <w:i w:val="0"/>
          <w:color w:val="262321"/>
          <w:sz w:val="19"/>
        </w:rPr>
        <w:t>First protective element in the gas inlet; mechanical protection and, only where supported by certification, flame arresting.</w:t>
      </w:r>
    </w:p>
    <w:p>
      <w:pPr>
        <w:pStyle w:val="Heading5"/>
        <w:keepNext/>
        <w:spacing w:after="60" w:before="160"/>
      </w:pPr>
      <w:r>
        <w:rPr>
          <w:rFonts w:ascii="Calibri" w:hAnsi="Calibri"/>
          <w:b/>
          <w:i w:val="0"/>
          <w:color w:val="1B335F"/>
          <w:sz w:val="20"/>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pStyle w:val="Heading5"/>
        <w:keepNext/>
        <w:spacing w:after="60" w:before="160"/>
      </w:pPr>
      <w:r>
        <w:rPr>
          <w:rFonts w:ascii="Calibri" w:hAnsi="Calibri"/>
          <w:b/>
          <w:i w:val="0"/>
          <w:color w:val="1B335F"/>
          <w:sz w:val="20"/>
        </w:rPr>
        <w:t>e.3.5 DC fan</w:t>
      </w:r>
    </w:p>
    <w:p>
      <w:pPr>
        <w:spacing w:after="100"/>
      </w:pPr>
      <w:r>
        <w:rPr>
          <w:b w:val="0"/>
          <w:i w:val="0"/>
          <w:color w:val="262321"/>
          <w:sz w:val="19"/>
        </w:rPr>
        <w:t>Located in the gas path behind the mesh; surface temperature, winding temperature, stalled rotor and commutation to be assessed.</w:t>
      </w:r>
    </w:p>
    <w:p>
      <w:pPr>
        <w:pStyle w:val="Heading5"/>
        <w:keepNext/>
        <w:spacing w:after="60" w:before="160"/>
      </w:pPr>
      <w:r>
        <w:rPr>
          <w:rFonts w:ascii="Calibri" w:hAnsi="Calibri"/>
          <w:b/>
          <w:i w:val="0"/>
          <w:color w:val="1B335F"/>
          <w:sz w:val="20"/>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pStyle w:val="Heading5"/>
        <w:keepNext/>
        <w:spacing w:after="60" w:before="160"/>
      </w:pPr>
      <w:r>
        <w:rPr>
          <w:rFonts w:ascii="Calibri" w:hAnsi="Calibri"/>
          <w:b/>
          <w:i w:val="0"/>
          <w:color w:val="1B335F"/>
          <w:sz w:val="20"/>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pStyle w:val="Heading5"/>
        <w:keepNext/>
        <w:spacing w:after="60" w:before="160"/>
      </w:pPr>
      <w:r>
        <w:rPr>
          <w:rFonts w:ascii="Calibri" w:hAnsi="Calibri"/>
          <w:b/>
          <w:i w:val="0"/>
          <w:color w:val="1B335F"/>
          <w:sz w:val="20"/>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pStyle w:val="Heading5"/>
        <w:keepNext/>
        <w:spacing w:after="60" w:before="160"/>
      </w:pPr>
      <w:r>
        <w:rPr>
          <w:rFonts w:ascii="Calibri" w:hAnsi="Calibri"/>
          <w:b/>
          <w:i w:val="0"/>
          <w:color w:val="1B335F"/>
          <w:sz w:val="20"/>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pStyle w:val="Heading5"/>
        <w:keepNext/>
        <w:spacing w:after="60" w:before="160"/>
      </w:pPr>
      <w:r>
        <w:rPr>
          <w:rFonts w:ascii="Calibri" w:hAnsi="Calibri"/>
          <w:b/>
          <w:i w:val="0"/>
          <w:color w:val="1B335F"/>
          <w:sz w:val="20"/>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pStyle w:val="Heading5"/>
        <w:keepNext/>
        <w:spacing w:after="60" w:before="160"/>
      </w:pPr>
      <w:r>
        <w:rPr>
          <w:rFonts w:ascii="Calibri" w:hAnsi="Calibri"/>
          <w:b/>
          <w:i w:val="0"/>
          <w:color w:val="1B335F"/>
          <w:sz w:val="20"/>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pStyle w:val="Heading5"/>
        <w:keepNext/>
        <w:spacing w:after="60" w:before="160"/>
      </w:pPr>
      <w:r>
        <w:rPr>
          <w:rFonts w:ascii="Calibri" w:hAnsi="Calibri"/>
          <w:b/>
          <w:i w:val="0"/>
          <w:color w:val="1B335F"/>
          <w:sz w:val="20"/>
        </w:rPr>
        <w:t>e.3.12 Threaded joints — measured and estimated dimensions</w:t>
      </w:r>
    </w:p>
    <w:p>
      <w:pPr>
        <w:spacing w:after="100"/>
      </w:pPr>
      <w:r>
        <w:rPr>
          <w:b w:val="0"/>
          <w:i w:val="0"/>
          <w:color w:val="262321"/>
          <w:sz w:val="19"/>
        </w:rPr>
        <w:t>The cover-joint dimensions below were measured by the applicant with a vernier caliper (0.05 mm) on the current production base and cover (Figures 4-128 to 4-137): neck wall 10.50 mm at the root and 5.80 mm at the top, threaded-neck height ≈14.8 mm above the O-ring (≈20.2 mm from the body shoulder), bore ≈Ø84.7 mm, base internal depth ≈45 mm to the PCB-boss ledge, cover internal thread length ≈18.9 mm, cover depth ≈47.5 mm to the mesh, O-ring cord Ø2.70 mm and OD ≈91.0 mm. Indicative gross free volume (base bore × depth plus the cover below its thread) is of the order of 0.4 L before deducting internal components. Thread size and pitch are derived from these readings and the visible thread count; the entry threads are estimates taken from photographs (Figures 4-119, 4-125–4-127) and from the BP18-1Z supplier drawing. Note that the measured bore (≈Ø84.7 mm) differs from the Ø94.7 mm bore of the BP18-1Z drawing, so that drawing is not the controlled drawing of this base. They are given to show how each threaded flame path compares with the IEC 60079-1 rules for threaded joints and must be replaced by the values on the enclosure manufacturer's controlled drawing.</w:t>
      </w:r>
    </w:p>
    <w:tbl>
      <w:tblPr>
        <w:tblStyle w:val="TableGrid"/>
        <w:tblW w:type="auto" w:w="0"/>
        <w:jc w:val="center"/>
        <w:tblLayout w:type="fixed"/>
        <w:tblLook w:firstColumn="1" w:firstRow="1" w:lastColumn="0" w:lastRow="0" w:noHBand="0" w:noVBand="1" w:val="04A0"/>
        <w:tblLayout w:type="fixed"/>
      </w:tblPr>
      <w:tblGrid>
        <w:gridCol w:w="1512"/>
        <w:gridCol w:w="1584"/>
        <w:gridCol w:w="1296"/>
        <w:gridCol w:w="2304"/>
        <w:gridCol w:w="2015"/>
        <w:gridCol w:w="864"/>
      </w:tblGrid>
      <w:tr>
        <w:trPr>
          <w:tblHeader w:val="true"/>
        </w:trPr>
        <w:tc>
          <w:tcPr>
            <w:tcW w:type="dxa" w:w="1512"/>
            <w:shd w:val="clear" w:fill="EAEFF9"/>
          </w:tcPr>
          <w:p>
            <w:pPr>
              <w:spacing w:after="20"/>
            </w:pPr>
            <w:r>
              <w:rPr>
                <w:b/>
                <w:color w:val="1B335F"/>
                <w:sz w:val="15"/>
              </w:rPr>
              <w:t>Joint</w:t>
            </w:r>
          </w:p>
        </w:tc>
        <w:tc>
          <w:tcPr>
            <w:tcW w:type="dxa" w:w="1584"/>
            <w:shd w:val="clear" w:fill="EAEFF9"/>
          </w:tcPr>
          <w:p>
            <w:pPr>
              <w:spacing w:after="20"/>
            </w:pPr>
            <w:r>
              <w:rPr>
                <w:b/>
                <w:color w:val="1B335F"/>
                <w:sz w:val="15"/>
              </w:rPr>
              <w:t>Thread (measured / estimated)</w:t>
            </w:r>
          </w:p>
        </w:tc>
        <w:tc>
          <w:tcPr>
            <w:tcW w:type="dxa" w:w="1296"/>
            <w:shd w:val="clear" w:fill="EAEFF9"/>
          </w:tcPr>
          <w:p>
            <w:pPr>
              <w:spacing w:after="20"/>
            </w:pPr>
            <w:r>
              <w:rPr>
                <w:b/>
                <w:color w:val="1B335F"/>
                <w:sz w:val="15"/>
              </w:rPr>
              <w:t>Engagement</w:t>
            </w:r>
          </w:p>
        </w:tc>
        <w:tc>
          <w:tcPr>
            <w:tcW w:type="dxa" w:w="2304"/>
            <w:shd w:val="clear" w:fill="EAEFF9"/>
          </w:tcPr>
          <w:p>
            <w:pPr>
              <w:spacing w:after="20"/>
            </w:pPr>
            <w:r>
              <w:rPr>
                <w:b/>
                <w:color w:val="1B335F"/>
                <w:sz w:val="15"/>
              </w:rPr>
              <w:t>IEC 60079-1 threaded-joint rule (Group IIC)</w:t>
            </w:r>
          </w:p>
        </w:tc>
        <w:tc>
          <w:tcPr>
            <w:tcW w:type="dxa" w:w="2016"/>
            <w:shd w:val="clear" w:fill="EAEFF9"/>
          </w:tcPr>
          <w:p>
            <w:pPr>
              <w:spacing w:after="20"/>
            </w:pPr>
            <w:r>
              <w:rPr>
                <w:b/>
                <w:color w:val="1B335F"/>
                <w:sz w:val="15"/>
              </w:rPr>
              <w:t>Assessment (preliminary)</w:t>
            </w:r>
          </w:p>
        </w:tc>
        <w:tc>
          <w:tcPr>
            <w:tcW w:type="dxa" w:w="864"/>
            <w:shd w:val="clear" w:fill="EAEFF9"/>
          </w:tcPr>
          <w:p>
            <w:pPr>
              <w:spacing w:after="20"/>
            </w:pPr>
            <w:r>
              <w:rPr>
                <w:b/>
                <w:color w:val="1B335F"/>
                <w:sz w:val="15"/>
              </w:rPr>
              <w:t>Status</w:t>
            </w:r>
          </w:p>
        </w:tc>
      </w:tr>
      <w:tr>
        <w:trPr>
          <w:cantSplit/>
        </w:trPr>
        <w:tc>
          <w:tcPr>
            <w:tcW w:type="dxa" w:w="1512"/>
          </w:tcPr>
          <w:p>
            <w:pPr>
              <w:spacing w:after="20"/>
            </w:pPr>
            <w:r>
              <w:rPr>
                <w:b/>
                <w:sz w:val="15"/>
              </w:rPr>
              <w:t>Cover to base (main enclosure)</w:t>
            </w:r>
          </w:p>
        </w:tc>
        <w:tc>
          <w:tcPr>
            <w:tcW w:type="dxa" w:w="1584"/>
          </w:tcPr>
          <w:p>
            <w:pPr>
              <w:spacing w:after="20"/>
            </w:pPr>
            <w:r>
              <w:rPr>
                <w:sz w:val="15"/>
              </w:rPr>
              <w:t>≈M96 × 1.5, derived (external thread on the base neck; bore Ø84.7 + 2 × 5.80 mm wall; ≈10 crests over ≈14.8 mm)</w:t>
            </w:r>
          </w:p>
        </w:tc>
        <w:tc>
          <w:tcPr>
            <w:tcW w:type="dxa" w:w="1296"/>
          </w:tcPr>
          <w:p>
            <w:pPr>
              <w:spacing w:after="20"/>
            </w:pPr>
            <w:r>
              <w:rPr>
                <w:sz w:val="15"/>
              </w:rPr>
              <w:t>Threaded-neck height ≈14.8 mm (measured); ≈10 threads; cover internal thread ≈18.9 mm (measured); engaged length therefore limited by the neck, ≤14.8 mm</w:t>
            </w:r>
          </w:p>
        </w:tc>
        <w:tc>
          <w:tcPr>
            <w:tcW w:type="dxa" w:w="2304"/>
          </w:tcPr>
          <w:p>
            <w:pPr>
              <w:spacing w:after="20"/>
            </w:pPr>
            <w:r>
              <w:rPr>
                <w:sz w:val="15"/>
              </w:rPr>
              <w:t>≥5 full threads engaged; axial engagement ≥8 mm where free volume &gt;100 cm³ (≥5 mm for ≤100 cm³); medium or fine tolerance class (6g/6H)</w:t>
            </w:r>
          </w:p>
        </w:tc>
        <w:tc>
          <w:tcPr>
            <w:tcW w:type="dxa" w:w="2016"/>
          </w:tcPr>
          <w:p>
            <w:pPr>
              <w:spacing w:after="20"/>
            </w:pPr>
            <w:r>
              <w:rPr>
                <w:sz w:val="15"/>
              </w:rPr>
              <w:t>Free internal volume &gt;100 cm³ (indicative gross ≈0.4 L from base bore Ø84.7 mm × ≈45 mm plus cover) → ≥8 mm rule applies; available thread height 14.8 mm with ≈10 threads appears to exceed the minimum — engaged length with the cover screwed home still to be measured</w:t>
            </w:r>
          </w:p>
        </w:tc>
        <w:tc>
          <w:tcPr>
            <w:tcW w:type="dxa" w:w="864"/>
            <w:shd w:val="clear" w:fill="FBEEE4"/>
          </w:tcPr>
          <w:p>
            <w:pPr>
              <w:spacing w:after="20"/>
            </w:pPr>
            <w:r>
              <w:rPr>
                <w:b/>
                <w:sz w:val="15"/>
              </w:rPr>
              <w:t>Open — measured</w:t>
            </w:r>
          </w:p>
        </w:tc>
      </w:tr>
      <w:tr>
        <w:trPr>
          <w:cantSplit/>
        </w:trPr>
        <w:tc>
          <w:tcPr>
            <w:tcW w:type="dxa" w:w="1512"/>
          </w:tcPr>
          <w:p>
            <w:pPr>
              <w:spacing w:after="20"/>
            </w:pPr>
            <w:r>
              <w:rPr>
                <w:b/>
                <w:sz w:val="15"/>
              </w:rPr>
              <w:t>Cable entry (left)</w:t>
            </w:r>
          </w:p>
        </w:tc>
        <w:tc>
          <w:tcPr>
            <w:tcW w:type="dxa" w:w="1584"/>
          </w:tcPr>
          <w:p>
            <w:pPr>
              <w:spacing w:after="20"/>
            </w:pPr>
            <w:r>
              <w:rPr>
                <w:sz w:val="15"/>
              </w:rPr>
              <w:t>M20 × 1.5-6H (BP18-1Z drawing)</w:t>
            </w:r>
          </w:p>
        </w:tc>
        <w:tc>
          <w:tcPr>
            <w:tcW w:type="dxa" w:w="1296"/>
          </w:tcPr>
          <w:p>
            <w:pPr>
              <w:spacing w:after="20"/>
            </w:pPr>
            <w:r>
              <w:rPr>
                <w:sz w:val="15"/>
              </w:rPr>
              <w:t>TBC (wall thickness)</w:t>
            </w:r>
          </w:p>
        </w:tc>
        <w:tc>
          <w:tcPr>
            <w:tcW w:type="dxa" w:w="2304"/>
          </w:tcPr>
          <w:p>
            <w:pPr>
              <w:spacing w:after="20"/>
            </w:pPr>
            <w:r>
              <w:rPr>
                <w:sz w:val="15"/>
              </w:rPr>
              <w:t>≥5 full threads engaged; thread length per gland certificate</w:t>
            </w:r>
          </w:p>
        </w:tc>
        <w:tc>
          <w:tcPr>
            <w:tcW w:type="dxa" w:w="2016"/>
          </w:tcPr>
          <w:p>
            <w:pPr>
              <w:spacing w:after="20"/>
            </w:pPr>
            <w:r>
              <w:rPr>
                <w:sz w:val="15"/>
              </w:rPr>
              <w:t>Requires certified Ex d gland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Beacon entry (right)</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engaged</w:t>
            </w:r>
          </w:p>
        </w:tc>
        <w:tc>
          <w:tcPr>
            <w:tcW w:type="dxa" w:w="2016"/>
          </w:tcPr>
          <w:p>
            <w:pPr>
              <w:spacing w:after="20"/>
            </w:pPr>
            <w:r>
              <w:rPr>
                <w:sz w:val="15"/>
              </w:rPr>
              <w:t>Beacon thread and certificate to be confirmed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Lower entry (blanking plug)</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certified Ex d plug</w:t>
            </w:r>
          </w:p>
        </w:tc>
        <w:tc>
          <w:tcPr>
            <w:tcW w:type="dxa" w:w="2016"/>
          </w:tcPr>
          <w:p>
            <w:pPr>
              <w:spacing w:after="20"/>
            </w:pPr>
            <w:r>
              <w:rPr>
                <w:sz w:val="15"/>
              </w:rPr>
              <w:t>Plug fitted with O-ring (Figure 4-125)</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Antenna bulkhead</w:t>
            </w:r>
          </w:p>
        </w:tc>
        <w:tc>
          <w:tcPr>
            <w:tcW w:type="dxa" w:w="1584"/>
          </w:tcPr>
          <w:p>
            <w:pPr>
              <w:spacing w:after="20"/>
            </w:pPr>
            <w:r>
              <w:rPr>
                <w:sz w:val="15"/>
              </w:rPr>
              <w:t>SMA 1/4″-36 UNS (standard)</w:t>
            </w:r>
          </w:p>
        </w:tc>
        <w:tc>
          <w:tcPr>
            <w:tcW w:type="dxa" w:w="1296"/>
          </w:tcPr>
          <w:p>
            <w:pPr>
              <w:spacing w:after="20"/>
            </w:pPr>
            <w:r>
              <w:rPr>
                <w:sz w:val="15"/>
              </w:rPr>
              <w:t>TBC</w:t>
            </w:r>
          </w:p>
        </w:tc>
        <w:tc>
          <w:tcPr>
            <w:tcW w:type="dxa" w:w="2304"/>
          </w:tcPr>
          <w:p>
            <w:pPr>
              <w:spacing w:after="20"/>
            </w:pPr>
            <w:r>
              <w:rPr>
                <w:sz w:val="15"/>
              </w:rPr>
              <w:t>Flame path through the wall must be assessed or a certified Ex d bushing used</w:t>
            </w:r>
          </w:p>
        </w:tc>
        <w:tc>
          <w:tcPr>
            <w:tcW w:type="dxa" w:w="2016"/>
          </w:tcPr>
          <w:p>
            <w:pPr>
              <w:spacing w:after="20"/>
            </w:pPr>
            <w:r>
              <w:rPr>
                <w:sz w:val="15"/>
              </w:rPr>
              <w:t>Bushing not certified</w:t>
            </w:r>
          </w:p>
        </w:tc>
        <w:tc>
          <w:tcPr>
            <w:tcW w:type="dxa" w:w="864"/>
            <w:shd w:val="clear" w:fill="FBEEE4"/>
          </w:tcPr>
          <w:p>
            <w:pPr>
              <w:spacing w:after="20"/>
            </w:pPr>
            <w:r>
              <w:rPr>
                <w:b/>
                <w:sz w:val="15"/>
              </w:rPr>
              <w:t>Open — estimate</w:t>
            </w:r>
          </w:p>
        </w:tc>
      </w:tr>
    </w:tbl>
    <w:p>
      <w:pPr>
        <w:spacing w:after="40"/>
      </w:pPr>
    </w:p>
    <w:p>
      <w:pPr>
        <w:pStyle w:val="Heading5"/>
        <w:keepNext/>
        <w:spacing w:after="60" w:before="160"/>
      </w:pPr>
      <w:r>
        <w:rPr>
          <w:rFonts w:ascii="Calibri" w:hAnsi="Calibri"/>
          <w:b/>
          <w:i w:val="0"/>
          <w:color w:val="1B335F"/>
          <w:sz w:val="20"/>
        </w:rPr>
        <w:t>e.3.13 Measured sketches of the cover-to-base joint (MS-01 to MS-04)</w:t>
      </w:r>
    </w:p>
    <w:p>
      <w:pPr>
        <w:spacing w:after="100"/>
      </w:pPr>
      <w:r>
        <w:rPr>
          <w:b w:val="0"/>
          <w:i w:val="0"/>
          <w:color w:val="262321"/>
          <w:sz w:val="19"/>
        </w:rPr>
        <w:t>The four sketches below redraw the caliper and steel-rule measurements of Figures 4-127 to 4-137 as dimensioned half-sections, so that the threaded flame path can be read in drawing form. They are illustrations of measured values on one production unit, not controlled manufacturing drawings: features that were not measured are drawn dashed, and the thread size is derived, not measured. They are to be superseded by the enclosure manufacturer's toleranced drawing.</w:t>
      </w:r>
    </w:p>
    <w:p>
      <w:pPr>
        <w:keepNext/>
        <w:jc w:val="center"/>
      </w:pPr>
      <w:r>
        <w:drawing>
          <wp:inline xmlns:a="http://schemas.openxmlformats.org/drawingml/2006/main" xmlns:pic="http://schemas.openxmlformats.org/drawingml/2006/picture">
            <wp:extent cx="5669280" cy="4082132"/>
            <wp:docPr id="124" name="Picture 124"/>
            <wp:cNvGraphicFramePr>
              <a:graphicFrameLocks noChangeAspect="1"/>
            </wp:cNvGraphicFramePr>
            <a:graphic>
              <a:graphicData uri="http://schemas.openxmlformats.org/drawingml/2006/picture">
                <pic:pic>
                  <pic:nvPicPr>
                    <pic:cNvPr id="0" name="MS-01_base_neck_half_section.png"/>
                    <pic:cNvPicPr/>
                  </pic:nvPicPr>
                  <pic:blipFill>
                    <a:blip r:embed="rId134"/>
                    <a:stretch>
                      <a:fillRect/>
                    </a:stretch>
                  </pic:blipFill>
                  <pic:spPr>
                    <a:xfrm>
                      <a:off x="0" y="0"/>
                      <a:ext cx="5669280" cy="4082132"/>
                    </a:xfrm>
                    <a:prstGeom prst="rect"/>
                  </pic:spPr>
                </pic:pic>
              </a:graphicData>
            </a:graphic>
          </wp:inline>
        </w:drawing>
      </w:r>
    </w:p>
    <w:p>
      <w:pPr>
        <w:pStyle w:val="GLDFigureTitle"/>
        <w:keepNext/>
        <w:spacing w:after="160" w:before="40"/>
        <w:jc w:val="center"/>
      </w:pPr>
      <w:r>
        <w:rPr>
          <w:rFonts w:ascii="Calibri" w:hAnsi="Calibri"/>
          <w:b/>
          <w:i w:val="0"/>
          <w:color w:val="1B335F"/>
          <w:sz w:val="17"/>
        </w:rPr>
        <w:t>MS-01 — Base enclosure, threaded neck, half section.</w:t>
      </w:r>
    </w:p>
    <w:p>
      <w:pPr>
        <w:keepNext/>
        <w:jc w:val="center"/>
      </w:pPr>
      <w:r>
        <w:drawing>
          <wp:inline xmlns:a="http://schemas.openxmlformats.org/drawingml/2006/main" xmlns:pic="http://schemas.openxmlformats.org/drawingml/2006/picture">
            <wp:extent cx="5669280" cy="4082132"/>
            <wp:docPr id="125" name="Picture 125"/>
            <wp:cNvGraphicFramePr>
              <a:graphicFrameLocks noChangeAspect="1"/>
            </wp:cNvGraphicFramePr>
            <a:graphic>
              <a:graphicData uri="http://schemas.openxmlformats.org/drawingml/2006/picture">
                <pic:pic>
                  <pic:nvPicPr>
                    <pic:cNvPr id="0" name="MS-02_cover_half_section.png"/>
                    <pic:cNvPicPr/>
                  </pic:nvPicPr>
                  <pic:blipFill>
                    <a:blip r:embed="rId135"/>
                    <a:stretch>
                      <a:fillRect/>
                    </a:stretch>
                  </pic:blipFill>
                  <pic:spPr>
                    <a:xfrm>
                      <a:off x="0" y="0"/>
                      <a:ext cx="5669280" cy="4082132"/>
                    </a:xfrm>
                    <a:prstGeom prst="rect"/>
                  </pic:spPr>
                </pic:pic>
              </a:graphicData>
            </a:graphic>
          </wp:inline>
        </w:drawing>
      </w:r>
    </w:p>
    <w:p>
      <w:pPr>
        <w:pStyle w:val="GLDFigureTitle"/>
        <w:keepNext/>
        <w:spacing w:after="160" w:before="40"/>
        <w:jc w:val="center"/>
      </w:pPr>
      <w:r>
        <w:rPr>
          <w:rFonts w:ascii="Calibri" w:hAnsi="Calibri"/>
          <w:b/>
          <w:i w:val="0"/>
          <w:color w:val="1B335F"/>
          <w:sz w:val="17"/>
        </w:rPr>
        <w:t>MS-02 — Enclosure cover, internal thread and depth, half section.</w:t>
      </w:r>
    </w:p>
    <w:p>
      <w:pPr>
        <w:keepNext/>
        <w:jc w:val="center"/>
      </w:pPr>
      <w:r>
        <w:drawing>
          <wp:inline xmlns:a="http://schemas.openxmlformats.org/drawingml/2006/main" xmlns:pic="http://schemas.openxmlformats.org/drawingml/2006/picture">
            <wp:extent cx="5669280" cy="3750302"/>
            <wp:docPr id="126" name="Picture 126"/>
            <wp:cNvGraphicFramePr>
              <a:graphicFrameLocks noChangeAspect="1"/>
            </wp:cNvGraphicFramePr>
            <a:graphic>
              <a:graphicData uri="http://schemas.openxmlformats.org/drawingml/2006/picture">
                <pic:pic>
                  <pic:nvPicPr>
                    <pic:cNvPr id="0" name="MS-03_threaded_joint_detail.png"/>
                    <pic:cNvPicPr/>
                  </pic:nvPicPr>
                  <pic:blipFill>
                    <a:blip r:embed="rId136"/>
                    <a:stretch>
                      <a:fillRect/>
                    </a:stretch>
                  </pic:blipFill>
                  <pic:spPr>
                    <a:xfrm>
                      <a:off x="0" y="0"/>
                      <a:ext cx="5669280" cy="3750302"/>
                    </a:xfrm>
                    <a:prstGeom prst="rect"/>
                  </pic:spPr>
                </pic:pic>
              </a:graphicData>
            </a:graphic>
          </wp:inline>
        </w:drawing>
      </w:r>
    </w:p>
    <w:p>
      <w:pPr>
        <w:pStyle w:val="GLDFigureTitle"/>
        <w:keepNext/>
        <w:spacing w:after="160" w:before="40"/>
        <w:jc w:val="center"/>
      </w:pPr>
      <w:r>
        <w:rPr>
          <w:rFonts w:ascii="Calibri" w:hAnsi="Calibri"/>
          <w:b/>
          <w:i w:val="0"/>
          <w:color w:val="1B335F"/>
          <w:sz w:val="17"/>
        </w:rPr>
        <w:t>MS-03 — Cover-to-base threaded flameproof joint, assembled detail.</w:t>
      </w:r>
    </w:p>
    <w:p>
      <w:pPr>
        <w:keepNext/>
        <w:jc w:val="center"/>
      </w:pPr>
      <w:r>
        <w:drawing>
          <wp:inline xmlns:a="http://schemas.openxmlformats.org/drawingml/2006/main" xmlns:pic="http://schemas.openxmlformats.org/drawingml/2006/picture">
            <wp:extent cx="5669280" cy="2764204"/>
            <wp:docPr id="127" name="Picture 127"/>
            <wp:cNvGraphicFramePr>
              <a:graphicFrameLocks noChangeAspect="1"/>
            </wp:cNvGraphicFramePr>
            <a:graphic>
              <a:graphicData uri="http://schemas.openxmlformats.org/drawingml/2006/picture">
                <pic:pic>
                  <pic:nvPicPr>
                    <pic:cNvPr id="0" name="MS-04_O-ring.png"/>
                    <pic:cNvPicPr/>
                  </pic:nvPicPr>
                  <pic:blipFill>
                    <a:blip r:embed="rId137"/>
                    <a:stretch>
                      <a:fillRect/>
                    </a:stretch>
                  </pic:blipFill>
                  <pic:spPr>
                    <a:xfrm>
                      <a:off x="0" y="0"/>
                      <a:ext cx="5669280" cy="2764204"/>
                    </a:xfrm>
                    <a:prstGeom prst="rect"/>
                  </pic:spPr>
                </pic:pic>
              </a:graphicData>
            </a:graphic>
          </wp:inline>
        </w:drawing>
      </w:r>
    </w:p>
    <w:p>
      <w:pPr>
        <w:pStyle w:val="GLDFigureTitle"/>
        <w:keepNext/>
        <w:spacing w:after="160" w:before="40"/>
        <w:jc w:val="center"/>
      </w:pPr>
      <w:r>
        <w:rPr>
          <w:rFonts w:ascii="Calibri" w:hAnsi="Calibri"/>
          <w:b/>
          <w:i w:val="0"/>
          <w:color w:val="1B335F"/>
          <w:sz w:val="17"/>
        </w:rPr>
        <w:t>MS-04 — Cover-to-base O-ring.</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(eight thermocouple channels plus ambient; normal operation, maximum load, and fan stalled; 180 minutes each at approximately 24–25°C ambient). Maximum values, extrapolated to the +60°C maximum rated ambient: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736"/>
            <w:shd w:val="clear" w:color="auto" w:fill="EFEFEF"/>
          </w:tcPr>
          <w:p>
            <w:pPr>
              <w:spacing w:after="40"/>
            </w:pPr>
            <w:r>
              <w:rPr>
                <w:b/>
                <w:color w:val="4A4A4A"/>
                <w:sz w:val="18"/>
              </w:rPr>
              <w:t>Condition</w:t>
            </w:r>
          </w:p>
        </w:tc>
        <w:tc>
          <w:tcPr>
            <w:tcW w:type="dxa" w:w="2304"/>
            <w:shd w:val="clear" w:color="auto" w:fill="EFEFEF"/>
          </w:tcPr>
          <w:p>
            <w:pPr>
              <w:spacing w:after="40"/>
            </w:pPr>
            <w:r>
              <w:rPr>
                <w:b/>
                <w:color w:val="4A4A4A"/>
                <w:sz w:val="18"/>
              </w:rPr>
              <w:t>MQ sensor body</w:t>
            </w:r>
          </w:p>
        </w:tc>
        <w:tc>
          <w:tcPr>
            <w:tcW w:type="dxa" w:w="2160"/>
            <w:shd w:val="clear" w:color="auto" w:fill="EFEFEF"/>
          </w:tcPr>
          <w:p>
            <w:pPr>
              <w:spacing w:after="40"/>
            </w:pPr>
            <w:r>
              <w:rPr>
                <w:b/>
                <w:color w:val="4A4A4A"/>
                <w:sz w:val="18"/>
              </w:rPr>
              <w:t>PCB</w:t>
            </w:r>
          </w:p>
        </w:tc>
        <w:tc>
          <w:tcPr>
            <w:tcW w:type="dxa" w:w="2448"/>
            <w:shd w:val="clear" w:color="auto" w:fill="EFEFEF"/>
          </w:tcPr>
          <w:p>
            <w:pPr>
              <w:spacing w:after="40"/>
            </w:pPr>
            <w:r>
              <w:rPr>
                <w:b/>
                <w:color w:val="4A4A4A"/>
                <w:sz w:val="18"/>
              </w:rPr>
              <w:t>External enclosure</w:t>
            </w:r>
          </w:p>
        </w:tc>
      </w:tr>
      <w:tr>
        <w:tc>
          <w:tcPr>
            <w:tcW w:type="dxa" w:w="2736"/>
          </w:tcPr>
          <w:p>
            <w:pPr>
              <w:spacing w:after="40"/>
            </w:pPr>
            <w:r>
              <w:rPr>
                <w:sz w:val="19"/>
              </w:rPr>
              <w:t>Normal operation</w:t>
            </w:r>
          </w:p>
        </w:tc>
        <w:tc>
          <w:tcPr>
            <w:tcW w:type="dxa" w:w="2304"/>
          </w:tcPr>
          <w:p>
            <w:pPr>
              <w:spacing w:after="40"/>
            </w:pPr>
            <w:r>
              <w:rPr>
                <w:sz w:val="19"/>
              </w:rPr>
              <w:t>44.2 → ≈79°C</w:t>
            </w:r>
          </w:p>
        </w:tc>
        <w:tc>
          <w:tcPr>
            <w:tcW w:type="dxa" w:w="2160"/>
          </w:tcPr>
          <w:p>
            <w:pPr>
              <w:spacing w:after="40"/>
            </w:pPr>
            <w:r>
              <w:rPr>
                <w:sz w:val="19"/>
              </w:rPr>
              <w:t>52.4 → ≈88°C</w:t>
            </w:r>
          </w:p>
        </w:tc>
        <w:tc>
          <w:tcPr>
            <w:tcW w:type="dxa" w:w="2448"/>
          </w:tcPr>
          <w:p>
            <w:pPr>
              <w:spacing w:after="40"/>
            </w:pPr>
            <w:r>
              <w:rPr>
                <w:sz w:val="19"/>
              </w:rPr>
              <w:t>32.1 → ≈67°C</w:t>
            </w:r>
          </w:p>
        </w:tc>
      </w:tr>
      <w:tr>
        <w:tc>
          <w:tcPr>
            <w:tcW w:type="dxa" w:w="2736"/>
          </w:tcPr>
          <w:p>
            <w:pPr>
              <w:spacing w:after="40"/>
            </w:pPr>
            <w:r>
              <w:rPr>
                <w:sz w:val="19"/>
              </w:rPr>
              <w:t>Maximum load</w:t>
            </w:r>
          </w:p>
        </w:tc>
        <w:tc>
          <w:tcPr>
            <w:tcW w:type="dxa" w:w="2304"/>
          </w:tcPr>
          <w:p>
            <w:pPr>
              <w:spacing w:after="40"/>
            </w:pPr>
            <w:r>
              <w:rPr>
                <w:sz w:val="19"/>
              </w:rPr>
              <w:t>55.0 → ≈91°C</w:t>
            </w:r>
          </w:p>
        </w:tc>
        <w:tc>
          <w:tcPr>
            <w:tcW w:type="dxa" w:w="2160"/>
          </w:tcPr>
          <w:p>
            <w:pPr>
              <w:spacing w:after="40"/>
            </w:pPr>
            <w:r>
              <w:rPr>
                <w:sz w:val="19"/>
              </w:rPr>
              <w:t>58.3 → ≈94°C</w:t>
            </w:r>
          </w:p>
        </w:tc>
        <w:tc>
          <w:tcPr>
            <w:tcW w:type="dxa" w:w="2448"/>
          </w:tcPr>
          <w:p>
            <w:pPr>
              <w:spacing w:after="40"/>
            </w:pPr>
            <w:r>
              <w:rPr>
                <w:sz w:val="19"/>
              </w:rPr>
              <w:t>34.8 → ≈71°C</w:t>
            </w:r>
          </w:p>
        </w:tc>
      </w:tr>
      <w:tr>
        <w:tc>
          <w:tcPr>
            <w:tcW w:type="dxa" w:w="2736"/>
          </w:tcPr>
          <w:p>
            <w:pPr>
              <w:spacing w:after="40"/>
            </w:pPr>
            <w:r>
              <w:rPr>
                <w:sz w:val="19"/>
              </w:rPr>
              <w:t>Fan stalled (malfunction)</w:t>
            </w:r>
          </w:p>
        </w:tc>
        <w:tc>
          <w:tcPr>
            <w:tcW w:type="dxa" w:w="2304"/>
          </w:tcPr>
          <w:p>
            <w:pPr>
              <w:spacing w:after="40"/>
            </w:pPr>
            <w:r>
              <w:rPr>
                <w:sz w:val="19"/>
              </w:rPr>
              <w:t>78.4 → ≈114°C</w:t>
            </w:r>
          </w:p>
        </w:tc>
        <w:tc>
          <w:tcPr>
            <w:tcW w:type="dxa" w:w="2160"/>
          </w:tcPr>
          <w:p>
            <w:pPr>
              <w:spacing w:after="40"/>
            </w:pPr>
            <w:r>
              <w:rPr>
                <w:sz w:val="19"/>
              </w:rPr>
              <w:t>63.4 → ≈99°C</w:t>
            </w:r>
          </w:p>
        </w:tc>
        <w:tc>
          <w:tcPr>
            <w:tcW w:type="dxa" w:w="2448"/>
          </w:tcPr>
          <w:p>
            <w:pPr>
              <w:spacing w:after="40"/>
            </w:pPr>
            <w:r>
              <w:rPr>
                <w:sz w:val="19"/>
              </w:rPr>
              <w:t>43.9 → ≈79°C</w:t>
            </w:r>
          </w:p>
        </w:tc>
      </w:tr>
    </w:tbl>
    <w:p>
      <w:pPr>
        <w:spacing w:after="120"/>
      </w:pPr>
    </w:p>
    <w:p>
      <w:pPr>
        <w:spacing w:after="160"/>
      </w:pPr>
      <w:r>
        <w:rPr>
          <w:b w:val="0"/>
          <w:i w:val="0"/>
          <w:sz w:val="21"/>
        </w:rPr>
        <w:t>The highest extrapolated value (≈114°C) is below the effective T4 limit of 130°C (135°C less the 5 K margin under IEC 60079-0). Under the recommended Ex d concept, the external enclosure surface (≈79°C) governs the temperature class. Open items: DC/DC converter, power inductor and MOSFET/diode not yet measured; alarm/transmit condition not measured; maximum-load PCB reading not yet at thermal equilibrium; test metadata (date, unit, thermocouple type, supply voltage) not yet recorded; confirmation at maximum ambient requires ExCB type testing. Full detail in the companion technical document.</w:t>
      </w:r>
    </w:p>
    <w:p>
      <w:pPr>
        <w:spacing w:after="200"/>
      </w:pPr>
      <w:r>
        <w:rPr>
          <w:b/>
          <w:color w:val="4A4A4A"/>
          <w:sz w:val="19"/>
        </w:rPr>
        <w:t xml:space="preserve">Status: </w:t>
      </w:r>
      <w:r>
        <w:rPr>
          <w:i/>
          <w:color w:val="4A4A4A"/>
          <w:sz w:val="19"/>
        </w:rPr>
        <w:t>Partially available — preliminary internal measurement; indicates T4 is achievable with margin.</w:t>
      </w:r>
    </w:p>
    <w:p>
      <w:pPr>
        <w:pStyle w:val="Heading4"/>
      </w:pPr>
      <w:r>
        <w:t>2.6.f.1 Temperature-class evaluation structure (revision guide f.1–f.12)</w:t>
      </w:r>
    </w:p>
    <w:p>
      <w:pPr>
        <w:pStyle w:val="Heading5"/>
        <w:keepNext/>
        <w:spacing w:after="60" w:before="160"/>
      </w:pPr>
      <w:r>
        <w:rPr>
          <w:rFonts w:ascii="Calibri" w:hAnsi="Calibri"/>
          <w:b/>
          <w:i w:val="0"/>
          <w:color w:val="1B335F"/>
          <w:sz w:val="20"/>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pStyle w:val="Heading5"/>
        <w:keepNext/>
        <w:spacing w:after="60" w:before="160"/>
      </w:pPr>
      <w:r>
        <w:rPr>
          <w:rFonts w:ascii="Calibri" w:hAnsi="Calibri"/>
          <w:b/>
          <w:i w:val="0"/>
          <w:color w:val="1B335F"/>
          <w:sz w:val="20"/>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pStyle w:val="Heading5"/>
        <w:keepNext/>
        <w:spacing w:after="60" w:before="160"/>
      </w:pPr>
      <w:r>
        <w:rPr>
          <w:rFonts w:ascii="Calibri" w:hAnsi="Calibri"/>
          <w:b/>
          <w:i w:val="0"/>
          <w:color w:val="1B335F"/>
          <w:sz w:val="20"/>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pStyle w:val="Heading5"/>
        <w:keepNext/>
        <w:spacing w:after="60" w:before="160"/>
      </w:pPr>
      <w:r>
        <w:rPr>
          <w:rFonts w:ascii="Calibri" w:hAnsi="Calibri"/>
          <w:b/>
          <w:i w:val="0"/>
          <w:color w:val="1B335F"/>
          <w:sz w:val="20"/>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pStyle w:val="Heading5"/>
        <w:keepNext/>
        <w:spacing w:after="60" w:before="160"/>
      </w:pPr>
      <w:r>
        <w:rPr>
          <w:rFonts w:ascii="Calibri" w:hAnsi="Calibri"/>
          <w:b/>
          <w:i w:val="0"/>
          <w:color w:val="1B335F"/>
          <w:sz w:val="20"/>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pStyle w:val="Heading5"/>
        <w:keepNext/>
        <w:spacing w:after="60" w:before="160"/>
      </w:pPr>
      <w:r>
        <w:rPr>
          <w:rFonts w:ascii="Calibri" w:hAnsi="Calibri"/>
          <w:b/>
          <w:i w:val="0"/>
          <w:color w:val="1B335F"/>
          <w:sz w:val="20"/>
        </w:rPr>
        <w:t>f.6 Blocked or restricted mesh</w:t>
      </w:r>
    </w:p>
    <w:p>
      <w:pPr>
        <w:spacing w:after="100"/>
      </w:pPr>
      <w:r>
        <w:rPr>
          <w:b w:val="0"/>
          <w:i w:val="0"/>
          <w:color w:val="262321"/>
          <w:sz w:val="19"/>
        </w:rPr>
        <w:t>Not tested. To be included where it affects internal cooling.</w:t>
      </w:r>
    </w:p>
    <w:p>
      <w:pPr>
        <w:pStyle w:val="Heading5"/>
        <w:keepNext/>
        <w:spacing w:after="60" w:before="160"/>
      </w:pPr>
      <w:r>
        <w:rPr>
          <w:rFonts w:ascii="Calibri" w:hAnsi="Calibri"/>
          <w:b/>
          <w:i w:val="0"/>
          <w:color w:val="1B335F"/>
          <w:sz w:val="20"/>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pStyle w:val="Heading5"/>
        <w:keepNext/>
        <w:spacing w:after="60" w:before="160"/>
      </w:pPr>
      <w:r>
        <w:rPr>
          <w:rFonts w:ascii="Calibri" w:hAnsi="Calibri"/>
          <w:b/>
          <w:i w:val="0"/>
          <w:color w:val="1B335F"/>
          <w:sz w:val="20"/>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pStyle w:val="Heading5"/>
        <w:keepNext/>
        <w:spacing w:after="60" w:before="160"/>
      </w:pPr>
      <w:r>
        <w:rPr>
          <w:rFonts w:ascii="Calibri" w:hAnsi="Calibri"/>
          <w:b/>
          <w:i w:val="0"/>
          <w:color w:val="1B335F"/>
          <w:sz w:val="20"/>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pStyle w:val="Heading5"/>
        <w:keepNext/>
        <w:spacing w:after="60" w:before="160"/>
      </w:pPr>
      <w:r>
        <w:rPr>
          <w:rFonts w:ascii="Calibri" w:hAnsi="Calibri"/>
          <w:b/>
          <w:i w:val="0"/>
          <w:color w:val="1B335F"/>
          <w:sz w:val="20"/>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pStyle w:val="Heading5"/>
        <w:keepNext/>
        <w:spacing w:after="60" w:before="160"/>
      </w:pPr>
      <w:r>
        <w:rPr>
          <w:rFonts w:ascii="Calibri" w:hAnsi="Calibri"/>
          <w:b/>
          <w:i w:val="0"/>
          <w:color w:val="1B335F"/>
          <w:sz w:val="20"/>
        </w:rPr>
        <w:t>f.11 Results table</w:t>
      </w:r>
    </w:p>
    <w:p>
      <w:pPr>
        <w:spacing w:after="100"/>
      </w:pPr>
      <w:r>
        <w:rPr>
          <w:b w:val="0"/>
          <w:i w:val="0"/>
          <w:color w:val="262321"/>
          <w:sz w:val="18"/>
        </w:rPr>
        <w:t>Reference numbers follow the candidate hottest points of f.3.</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 (U36)</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T-06</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T-08</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T-09</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T-10</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T-11</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pStyle w:val="Heading5"/>
        <w:keepNext/>
        <w:spacing w:after="60" w:before="160"/>
      </w:pPr>
      <w:r>
        <w:rPr>
          <w:rFonts w:ascii="Calibri" w:hAnsi="Calibri"/>
          <w:b/>
          <w:i w:val="0"/>
          <w:color w:val="1B335F"/>
          <w:sz w:val="20"/>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to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p>
      <w:pPr>
        <w:spacing w:after="60"/>
      </w:pPr>
      <w:r>
        <w:rPr>
          <w:b/>
          <w:i w:val="0"/>
          <w:sz w:val="21"/>
        </w:rPr>
        <w:t>Safety warnings:</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60"/>
      </w:pPr>
      <w:r>
        <w:rPr>
          <w:b/>
          <w:i w:val="0"/>
          <w:sz w:val="21"/>
        </w:rPr>
        <w:t>Detailed installation requirements:</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sealing/clamping sequence and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not yet available,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isolate the equipment per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60"/>
      </w:pPr>
      <w:r>
        <w:rPr>
          <w:b/>
          <w:i w:val="0"/>
          <w:sz w:val="21"/>
        </w:rPr>
        <w:t>Operating instructions and maintenance requirements:</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Do not change firmware, model files, alarm thresholds, or calibration parameters from the field without controlled approval and a documented rollback path.</w:t>
      </w:r>
    </w:p>
    <w:p>
      <w:pPr>
        <w:spacing w:after="200"/>
      </w:pPr>
      <w:r>
        <w:rPr>
          <w:b/>
          <w:color w:val="4A4A4A"/>
          <w:sz w:val="19"/>
        </w:rPr>
        <w:t xml:space="preserve">Status: </w:t>
      </w:r>
      <w:r>
        <w:rPr>
          <w:i/>
          <w:color w:val="4A4A4A"/>
          <w:sz w:val="19"/>
        </w:rPr>
        <w:t>Partially available (draft) — not yet consolidated into an Ex-specific installation and operation manual for ExCB review; also feeds the separate GLD instruction manual.</w:t>
      </w: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pStyle w:val="Heading5"/>
        <w:keepNext/>
        <w:spacing w:after="60" w:before="160"/>
      </w:pPr>
      <w:r>
        <w:rPr>
          <w:rFonts w:ascii="Calibri" w:hAnsi="Calibri"/>
          <w:b/>
          <w:i w:val="0"/>
          <w:color w:val="1B335F"/>
          <w:sz w:val="20"/>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pStyle w:val="Heading5"/>
        <w:keepNext/>
        <w:spacing w:after="60" w:before="160"/>
      </w:pPr>
      <w:r>
        <w:rPr>
          <w:rFonts w:ascii="Calibri" w:hAnsi="Calibri"/>
          <w:b/>
          <w:i w:val="0"/>
          <w:color w:val="1B335F"/>
          <w:sz w:val="20"/>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pStyle w:val="Heading5"/>
        <w:keepNext/>
        <w:spacing w:after="60" w:before="160"/>
      </w:pPr>
      <w:r>
        <w:rPr>
          <w:rFonts w:ascii="Calibri" w:hAnsi="Calibri"/>
          <w:b/>
          <w:i w:val="0"/>
          <w:color w:val="1B335F"/>
          <w:sz w:val="20"/>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pStyle w:val="Heading5"/>
        <w:keepNext/>
        <w:spacing w:after="60" w:before="160"/>
      </w:pPr>
      <w:r>
        <w:rPr>
          <w:rFonts w:ascii="Calibri" w:hAnsi="Calibri"/>
          <w:b/>
          <w:i w:val="0"/>
          <w:color w:val="1B335F"/>
          <w:sz w:val="20"/>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pStyle w:val="Heading5"/>
        <w:keepNext/>
        <w:spacing w:after="60" w:before="160"/>
      </w:pPr>
      <w:r>
        <w:rPr>
          <w:rFonts w:ascii="Calibri" w:hAnsi="Calibri"/>
          <w:b/>
          <w:i w:val="0"/>
          <w:color w:val="1B335F"/>
          <w:sz w:val="20"/>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installed component part number and certificate reference shall be recorded.</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pStyle w:val="Heading5"/>
        <w:keepNext/>
        <w:spacing w:after="60" w:before="160"/>
      </w:pPr>
      <w:r>
        <w:rPr>
          <w:rFonts w:ascii="Calibri" w:hAnsi="Calibri"/>
          <w:b/>
          <w:i w:val="0"/>
          <w:color w:val="1B335F"/>
          <w:sz w:val="20"/>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spacing w:after="100"/>
      </w:pPr>
      <w:r>
        <w:rPr>
          <w:b w:val="0"/>
          <w:i w:val="0"/>
          <w:color w:val="262321"/>
          <w:sz w:val="19"/>
        </w:rPr>
        <w:t>The controlled grounding drawing shall show the following:</w:t>
      </w:r>
    </w:p>
    <w:p>
      <w:pPr>
        <w:pStyle w:val="ListBullet"/>
        <w:spacing w:after="20"/>
      </w:pPr>
      <w:r>
        <w:rPr>
          <w:b w:val="0"/>
          <w:i w:val="0"/>
          <w:color w:val="262321"/>
          <w:sz w:val="19"/>
        </w:rPr>
        <w:t>grounding-stud position;</w:t>
      </w:r>
    </w:p>
    <w:p>
      <w:pPr>
        <w:pStyle w:val="ListBullet"/>
        <w:spacing w:after="20"/>
      </w:pPr>
      <w:r>
        <w:rPr>
          <w:b w:val="0"/>
          <w:i w:val="0"/>
          <w:color w:val="262321"/>
          <w:sz w:val="19"/>
        </w:rPr>
        <w:t>stud diameter/size;</w:t>
      </w:r>
    </w:p>
    <w:p>
      <w:pPr>
        <w:pStyle w:val="ListBullet"/>
        <w:spacing w:after="20"/>
      </w:pPr>
      <w:r>
        <w:rPr>
          <w:b w:val="0"/>
          <w:i w:val="0"/>
          <w:color w:val="262321"/>
          <w:sz w:val="19"/>
        </w:rPr>
        <w:t>washer–lug–nut sequence;</w:t>
      </w:r>
    </w:p>
    <w:p>
      <w:pPr>
        <w:pStyle w:val="ListBullet"/>
        <w:spacing w:after="20"/>
      </w:pPr>
      <w:r>
        <w:rPr>
          <w:b w:val="0"/>
          <w:i w:val="0"/>
          <w:color w:val="262321"/>
          <w:sz w:val="19"/>
        </w:rPr>
        <w:t>hardware material;</w:t>
      </w:r>
    </w:p>
    <w:p>
      <w:pPr>
        <w:pStyle w:val="ListBullet"/>
        <w:spacing w:after="20"/>
      </w:pPr>
      <w:r>
        <w:rPr>
          <w:b w:val="0"/>
          <w:i w:val="0"/>
          <w:color w:val="262321"/>
          <w:sz w:val="19"/>
        </w:rPr>
        <w:t>bonding points between metal parts;</w:t>
      </w:r>
    </w:p>
    <w:p>
      <w:pPr>
        <w:pStyle w:val="ListBullet"/>
        <w:spacing w:after="20"/>
      </w:pPr>
      <w:r>
        <w:rPr>
          <w:b w:val="0"/>
          <w:i w:val="0"/>
          <w:color w:val="262321"/>
          <w:sz w:val="19"/>
        </w:rPr>
        <w:t>PE symbol;</w:t>
      </w:r>
    </w:p>
    <w:p>
      <w:pPr>
        <w:pStyle w:val="ListBullet"/>
        <w:spacing w:after="20"/>
      </w:pPr>
      <w:r>
        <w:rPr>
          <w:b w:val="0"/>
          <w:i w:val="0"/>
          <w:color w:val="262321"/>
          <w:sz w:val="19"/>
        </w:rPr>
        <w:t>tightening torque;</w:t>
      </w:r>
    </w:p>
    <w:p>
      <w:pPr>
        <w:pStyle w:val="ListBullet"/>
        <w:spacing w:after="20"/>
      </w:pPr>
      <w:r>
        <w:rPr>
          <w:b w:val="0"/>
          <w:i w:val="0"/>
          <w:color w:val="262321"/>
          <w:sz w:val="19"/>
        </w:rPr>
        <w:t>continuity acceptance limit.</w:t>
      </w:r>
    </w:p>
    <w:p>
      <w:pPr>
        <w:pStyle w:val="Heading5"/>
        <w:keepNext/>
        <w:spacing w:after="60" w:before="160"/>
      </w:pPr>
      <w:r>
        <w:rPr>
          <w:rFonts w:ascii="Calibri" w:hAnsi="Calibri"/>
          <w:b/>
          <w:i w:val="0"/>
          <w:color w:val="1B335F"/>
          <w:sz w:val="20"/>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pStyle w:val="Heading5"/>
        <w:keepNext/>
        <w:spacing w:after="60" w:before="160"/>
      </w:pPr>
      <w:r>
        <w:rPr>
          <w:rFonts w:ascii="Calibri" w:hAnsi="Calibri"/>
          <w:b/>
          <w:i w:val="0"/>
          <w:color w:val="1B335F"/>
          <w:sz w:val="20"/>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production configuration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pStyle w:val="Heading5"/>
        <w:keepNext/>
        <w:spacing w:after="60" w:before="160"/>
      </w:pPr>
      <w:r>
        <w:rPr>
          <w:rFonts w:ascii="Calibri" w:hAnsi="Calibri"/>
          <w:b/>
          <w:i w:val="0"/>
          <w:color w:val="1B335F"/>
          <w:sz w:val="20"/>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pStyle w:val="Heading5"/>
        <w:keepNext/>
        <w:spacing w:after="60" w:before="160"/>
      </w:pPr>
      <w:r>
        <w:rPr>
          <w:rFonts w:ascii="Calibri" w:hAnsi="Calibri"/>
          <w:b/>
          <w:i w:val="0"/>
          <w:color w:val="1B335F"/>
          <w:sz w:val="20"/>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pStyle w:val="Heading5"/>
        <w:keepNext/>
        <w:spacing w:after="60" w:before="160"/>
      </w:pPr>
      <w:r>
        <w:rPr>
          <w:rFonts w:ascii="Calibri" w:hAnsi="Calibri"/>
          <w:b/>
          <w:i w:val="0"/>
          <w:color w:val="1B335F"/>
          <w:sz w:val="20"/>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A complete 8/8 result is required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pStyle w:val="Heading5"/>
        <w:keepNext/>
        <w:spacing w:after="60" w:before="160"/>
      </w:pPr>
      <w:r>
        <w:rPr>
          <w:rFonts w:ascii="Calibri" w:hAnsi="Calibri"/>
          <w:b/>
          <w:i w:val="0"/>
          <w:color w:val="1B335F"/>
          <w:sz w:val="20"/>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equipment shall be removed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pStyle w:val="Heading5"/>
        <w:keepNext/>
        <w:spacing w:after="60" w:before="160"/>
      </w:pPr>
      <w:r>
        <w:rPr>
          <w:rFonts w:ascii="Calibri" w:hAnsi="Calibri"/>
          <w:b/>
          <w:i w:val="0"/>
          <w:color w:val="1B335F"/>
          <w:sz w:val="20"/>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Visual inspection of the sensors and protective mesh shall be carried out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Alarm-function testing, sensor recalibration/nulling, and inspection of flame paths and cover threads shall be carried out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Annual checks shall include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pStyle w:val="Heading5"/>
        <w:keepNext/>
        <w:spacing w:after="60" w:before="160"/>
      </w:pPr>
      <w:r>
        <w:rPr>
          <w:rFonts w:ascii="Calibri" w:hAnsi="Calibri"/>
          <w:b/>
          <w:i w:val="0"/>
          <w:color w:val="1B335F"/>
          <w:sz w:val="20"/>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pStyle w:val="Heading5"/>
        <w:keepNext/>
        <w:spacing w:after="60" w:before="160"/>
      </w:pPr>
      <w:r>
        <w:rPr>
          <w:rFonts w:ascii="Calibri" w:hAnsi="Calibri"/>
          <w:b/>
          <w:i w:val="0"/>
          <w:color w:val="1B335F"/>
          <w:sz w:val="20"/>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pStyle w:val="Heading5"/>
        <w:keepNext/>
        <w:spacing w:after="60" w:before="160"/>
      </w:pPr>
      <w:r>
        <w:rPr>
          <w:rFonts w:ascii="Calibri" w:hAnsi="Calibri"/>
          <w:b/>
          <w:i w:val="0"/>
          <w:color w:val="1B335F"/>
          <w:sz w:val="20"/>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pStyle w:val="Heading5"/>
        <w:keepNext/>
        <w:spacing w:after="60" w:before="160"/>
      </w:pPr>
      <w:r>
        <w:rPr>
          <w:rFonts w:ascii="Calibri" w:hAnsi="Calibri"/>
          <w:b/>
          <w:i w:val="0"/>
          <w:color w:val="1B335F"/>
          <w:sz w:val="20"/>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pStyle w:val="Heading5"/>
        <w:keepNext/>
        <w:spacing w:after="60" w:before="160"/>
      </w:pPr>
      <w:r>
        <w:rPr>
          <w:rFonts w:ascii="Calibri" w:hAnsi="Calibri"/>
          <w:b/>
          <w:i w:val="0"/>
          <w:color w:val="1B335F"/>
          <w:sz w:val="20"/>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pStyle w:val="Heading5"/>
        <w:keepNext/>
        <w:spacing w:after="60" w:before="160"/>
      </w:pPr>
      <w:r>
        <w:rPr>
          <w:rFonts w:ascii="Calibri" w:hAnsi="Calibri"/>
          <w:b/>
          <w:i w:val="0"/>
          <w:color w:val="1B335F"/>
          <w:sz w:val="20"/>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5"/>
        <w:keepNext/>
        <w:spacing w:after="60" w:before="160"/>
      </w:pPr>
      <w:r>
        <w:rPr>
          <w:rFonts w:ascii="Calibri" w:hAnsi="Calibri"/>
          <w:b/>
          <w:i w:val="0"/>
          <w:color w:val="1B335F"/>
          <w:sz w:val="20"/>
        </w:rPr>
        <w:t>Terminal block and field wiring (MS-06)</w:t>
      </w:r>
    </w:p>
    <w:p>
      <w:pPr>
        <w:spacing w:after="100"/>
      </w:pPr>
      <w:r>
        <w:rPr>
          <w:b w:val="0"/>
          <w:i w:val="0"/>
          <w:color w:val="262321"/>
          <w:sz w:val="19"/>
        </w:rPr>
        <w:t>Terminal designations of the PCB cover (terminal board) and the field device connected to each pair. The BAT terminals are outlined because their use in the certified 24 VDC configuration is still a design decision (EX-17). Not to scale; not a controlled drawing.</w:t>
      </w:r>
    </w:p>
    <w:p>
      <w:pPr>
        <w:keepNext/>
        <w:jc w:val="center"/>
      </w:pPr>
      <w:r>
        <w:drawing>
          <wp:inline xmlns:a="http://schemas.openxmlformats.org/drawingml/2006/main" xmlns:pic="http://schemas.openxmlformats.org/drawingml/2006/picture">
            <wp:extent cx="5669280" cy="3413426"/>
            <wp:docPr id="128" name="Picture 128"/>
            <wp:cNvGraphicFramePr>
              <a:graphicFrameLocks noChangeAspect="1"/>
            </wp:cNvGraphicFramePr>
            <a:graphic>
              <a:graphicData uri="http://schemas.openxmlformats.org/drawingml/2006/picture">
                <pic:pic>
                  <pic:nvPicPr>
                    <pic:cNvPr id="0" name="MS-06_terminal_wiring.png"/>
                    <pic:cNvPicPr/>
                  </pic:nvPicPr>
                  <pic:blipFill>
                    <a:blip r:embed="rId138"/>
                    <a:stretch>
                      <a:fillRect/>
                    </a:stretch>
                  </pic:blipFill>
                  <pic:spPr>
                    <a:xfrm>
                      <a:off x="0" y="0"/>
                      <a:ext cx="5669280" cy="3413426"/>
                    </a:xfrm>
                    <a:prstGeom prst="rect"/>
                  </pic:spPr>
                </pic:pic>
              </a:graphicData>
            </a:graphic>
          </wp:inline>
        </w:drawing>
      </w:r>
    </w:p>
    <w:p>
      <w:pPr>
        <w:pStyle w:val="GLDFigureTitle"/>
        <w:keepNext/>
        <w:spacing w:after="160" w:before="40"/>
        <w:jc w:val="center"/>
      </w:pPr>
      <w:r>
        <w:rPr>
          <w:rFonts w:ascii="Calibri" w:hAnsi="Calibri"/>
          <w:b/>
          <w:i w:val="0"/>
          <w:color w:val="1B335F"/>
          <w:sz w:val="17"/>
        </w:rPr>
        <w:t>MS-06 — Terminal block and field wiring, PCB cover (terminal board), GLD V4.</w:t>
      </w:r>
    </w:p>
    <w:p>
      <w:pPr>
        <w:pStyle w:val="Heading3"/>
      </w:pPr>
      <w:r>
        <w:t>2.6.h · Nameplate Information (must include all ATEX-required marking information)</w:t>
      </w:r>
    </w:p>
    <w:p>
      <w:pPr>
        <w:spacing w:after="160"/>
      </w:pPr>
      <w:r>
        <w:rPr>
          <w:b w:val="0"/>
          <w:i w:val="0"/>
          <w:sz w:val="21"/>
        </w:rPr>
        <w:t>Nameplate artwork cannot yet be finalized: it depends on the certificate number, protection marking, temperature class, ambient range, IP rating, and serialization scheme, none of which has been assigned yet.</w:t>
      </w:r>
    </w:p>
    <w:p>
      <w:pPr>
        <w:spacing w:after="200"/>
      </w:pPr>
      <w:r>
        <w:rPr>
          <w:b/>
          <w:color w:val="4A4A4A"/>
          <w:sz w:val="19"/>
        </w:rPr>
        <w:t xml:space="preserve">Status: </w:t>
      </w:r>
      <w:r>
        <w:rPr>
          <w:i/>
          <w:color w:val="4A4A4A"/>
          <w:sz w:val="19"/>
        </w:rPr>
        <w:t>Not yet available.</w:t>
      </w: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Nameplate location</w:t>
            </w:r>
          </w:p>
        </w:tc>
        <w:tc>
          <w:tcPr>
            <w:tcW w:type="dxa" w:w="5184"/>
          </w:tcPr>
          <w:p>
            <w:pPr>
              <w:spacing w:after="20"/>
            </w:pPr>
            <w:r>
              <w:rPr>
                <w:sz w:val="16"/>
              </w:rPr>
              <w:t>Flat top face of the base enclosure beside the antenna (Figure 4-124); plate size and fixing method (rivets/adhesive) TBC</w:t>
            </w:r>
          </w:p>
        </w:tc>
        <w:tc>
          <w:tcPr>
            <w:tcW w:type="dxa" w:w="1872"/>
            <w:shd w:val="clear" w:fill="E3F1E6"/>
          </w:tcPr>
          <w:p>
            <w:pPr>
              <w:spacing w:after="20"/>
            </w:pPr>
            <w:r>
              <w:rPr>
                <w:b/>
                <w:sz w:val="16"/>
              </w:rPr>
              <w:t>Final (location)</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Plaza Summarecon Bekasi, Jl. Bulevar Ahmad Yani Kav. K.01, Level 7, Bekasi City, West Java 17143,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Specific marking of explosion protection (ATEX)</w:t>
            </w:r>
          </w:p>
        </w:tc>
        <w:tc>
          <w:tcPr>
            <w:tcW w:type="dxa" w:w="5184"/>
          </w:tcPr>
          <w:p>
            <w:pPr>
              <w:spacing w:after="20"/>
            </w:pPr>
            <w:r>
              <w:rPr>
                <w:sz w:val="16"/>
              </w:rPr>
              <w:t>⟨Ex⟩ hexagon, 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 entry thread (certified Ex d gland model TBC)</w:t>
            </w:r>
          </w:p>
        </w:tc>
        <w:tc>
          <w:tcPr>
            <w:tcW w:type="dxa" w:w="1872"/>
            <w:shd w:val="clear" w:fill="E3F1E6"/>
          </w:tcPr>
          <w:p>
            <w:pPr>
              <w:spacing w:after="20"/>
            </w:pPr>
            <w:r>
              <w:rPr>
                <w:b/>
                <w:sz w:val="16"/>
              </w:rPr>
              <w:t>Final (thread)</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5"/>
        <w:keepNext/>
        <w:spacing w:after="60" w:before="160"/>
      </w:pPr>
      <w:r>
        <w:rPr>
          <w:rFonts w:ascii="Calibri" w:hAnsi="Calibri"/>
          <w:b/>
          <w:i w:val="0"/>
          <w:color w:val="1B335F"/>
          <w:sz w:val="20"/>
        </w:rPr>
        <w:t>Proposed nameplate artwork (MS-05)</w:t>
      </w:r>
    </w:p>
    <w:p>
      <w:pPr>
        <w:spacing w:after="100"/>
      </w:pPr>
      <w:r>
        <w:rPr>
          <w:b w:val="0"/>
          <w:i w:val="0"/>
          <w:color w:val="262321"/>
          <w:sz w:val="19"/>
        </w:rPr>
        <w:t>Layout proposal showing the content above on one plate. Plate size (80 × 55 mm), material (stainless steel 0.5 mm, etched or engraved) and fixing (4 rivets or adhesive) are proposals to be confirmed against the flat top face of the base; certificate numbers, CE/notified-body number, serial number and year are left blank.</w:t>
      </w:r>
    </w:p>
    <w:p>
      <w:pPr>
        <w:keepNext/>
        <w:jc w:val="center"/>
      </w:pPr>
      <w:r>
        <w:drawing>
          <wp:inline xmlns:a="http://schemas.openxmlformats.org/drawingml/2006/main" xmlns:pic="http://schemas.openxmlformats.org/drawingml/2006/picture">
            <wp:extent cx="5669280" cy="3972566"/>
            <wp:docPr id="129" name="Picture 129"/>
            <wp:cNvGraphicFramePr>
              <a:graphicFrameLocks noChangeAspect="1"/>
            </wp:cNvGraphicFramePr>
            <a:graphic>
              <a:graphicData uri="http://schemas.openxmlformats.org/drawingml/2006/picture">
                <pic:pic>
                  <pic:nvPicPr>
                    <pic:cNvPr id="0" name="MS-05_nameplate_proposed.png"/>
                    <pic:cNvPicPr/>
                  </pic:nvPicPr>
                  <pic:blipFill>
                    <a:blip r:embed="rId139"/>
                    <a:stretch>
                      <a:fillRect/>
                    </a:stretch>
                  </pic:blipFill>
                  <pic:spPr>
                    <a:xfrm>
                      <a:off x="0" y="0"/>
                      <a:ext cx="5669280" cy="3972566"/>
                    </a:xfrm>
                    <a:prstGeom prst="rect"/>
                  </pic:spPr>
                </pic:pic>
              </a:graphicData>
            </a:graphic>
          </wp:inline>
        </w:drawing>
      </w:r>
    </w:p>
    <w:p>
      <w:pPr>
        <w:pStyle w:val="GLDFigureTitle"/>
        <w:keepNext/>
        <w:spacing w:after="160" w:before="40"/>
        <w:jc w:val="center"/>
      </w:pPr>
      <w:r>
        <w:rPr>
          <w:rFonts w:ascii="Calibri" w:hAnsi="Calibri"/>
          <w:b/>
          <w:i w:val="0"/>
          <w:color w:val="1B335F"/>
          <w:sz w:val="17"/>
        </w:rPr>
        <w:t>MS-05 — Nameplate, proposed artwork and layout (draft, not a certified marking).</w:t>
      </w:r>
    </w:p>
    <w:p>
      <w:pPr>
        <w:pStyle w:val="Heading3"/>
      </w:pPr>
      <w:r>
        <w:t>2.6.i · Ex Component Certificates</w:t>
      </w:r>
    </w:p>
    <w:p>
      <w:pPr>
        <w:spacing w:after="160"/>
      </w:pPr>
      <w:r>
        <w:rPr>
          <w:b w:val="0"/>
          <w:i w:val="0"/>
          <w:sz w:val="21"/>
        </w:rPr>
        <w:t>No components in this design currently hold an Ex component certificate. The processing unit (ESP32-S3-WROOM-1U-N16R8) and the communication module (E22-900MM22S) hold RF/EMC certifications (FCC, TELEC, CE, RoHS) — these are not Ex component certificates and do not satisfy this item.</w:t>
      </w:r>
    </w:p>
    <w:p>
      <w:pPr>
        <w:spacing w:after="200"/>
      </w:pPr>
      <w:r>
        <w:rPr>
          <w:b/>
          <w:color w:val="4A4A4A"/>
          <w:sz w:val="19"/>
        </w:rPr>
        <w:t xml:space="preserve">Status: </w:t>
      </w:r>
      <w:r>
        <w:rPr>
          <w:i/>
          <w:color w:val="4A4A4A"/>
          <w:sz w:val="19"/>
        </w:rPr>
        <w:t>Not yet available.</w:t>
      </w:r>
    </w:p>
    <w:p>
      <w:r>
        <w:br w:type="page"/>
      </w: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pStyle w:val="Heading2"/>
      </w:pPr>
      <w:r>
        <w:t>3.1 · Model, Serial Number, and Status of the Sample</w:t>
      </w:r>
    </w:p>
    <w:p>
      <w:pPr>
        <w:spacing w:after="160"/>
      </w:pPr>
      <w:r>
        <w:rPr>
          <w:b w:val="0"/>
          <w:i w:val="0"/>
          <w:sz w:val="21"/>
        </w:rPr>
        <w:t>Sample submitted: model GLD V2 (GLD_V2), serial number GLD2-0x1001. The sample powers on and runs in Inference (normal operation) mode. Full sample register in Section 3.3.</w:t>
      </w:r>
    </w:p>
    <w:p>
      <w:pPr>
        <w:spacing w:after="200"/>
      </w:pPr>
      <w:r>
        <w:rPr>
          <w:b/>
          <w:color w:val="4A4A4A"/>
          <w:sz w:val="19"/>
        </w:rPr>
        <w:t xml:space="preserve">Status: </w:t>
      </w:r>
      <w:r>
        <w:rPr>
          <w:i/>
          <w:color w:val="4A4A4A"/>
          <w:sz w:val="19"/>
        </w:rPr>
        <w:t>Available — sample identified (GLD2-0x1001); firmware/AI-model version to be recorded on the sample label.</w:t>
      </w:r>
    </w:p>
    <w:p>
      <w:pPr>
        <w:pStyle w:val="Heading2"/>
      </w:pPr>
      <w:r>
        <w:t>3.2 · Necessary Test Fixtures or Auxiliary Equipment</w:t>
      </w:r>
    </w:p>
    <w:p>
      <w:pPr>
        <w:spacing w:after="160"/>
      </w:pPr>
      <w:r>
        <w:rPr>
          <w:b w:val="0"/>
          <w:i w:val="0"/>
          <w:sz w:val="21"/>
        </w:rPr>
        <w:t>Equipment anticipated for commissioning and bench-level functional verification:</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Equipment</w:t>
            </w:r>
          </w:p>
        </w:tc>
        <w:tc>
          <w:tcPr>
            <w:tcW w:type="dxa" w:w="6048"/>
            <w:shd w:val="clear" w:color="auto" w:fill="EFEFEF"/>
          </w:tcPr>
          <w:p>
            <w:pPr>
              <w:spacing w:after="40"/>
            </w:pPr>
            <w:r>
              <w:rPr>
                <w:b/>
                <w:color w:val="4A4A4A"/>
                <w:sz w:val="18"/>
              </w:rPr>
              <w:t>Purpose</w:t>
            </w:r>
          </w:p>
        </w:tc>
      </w:tr>
      <w:tr>
        <w:tc>
          <w:tcPr>
            <w:tcW w:type="dxa" w:w="3312"/>
          </w:tcPr>
          <w:p>
            <w:pPr>
              <w:spacing w:after="40"/>
            </w:pPr>
            <w:r>
              <w:rPr>
                <w:sz w:val="19"/>
              </w:rPr>
              <w:t>Regulated 24 VDC power supply</w:t>
            </w:r>
          </w:p>
        </w:tc>
        <w:tc>
          <w:tcPr>
            <w:tcW w:type="dxa" w:w="6048"/>
          </w:tcPr>
          <w:p>
            <w:pPr>
              <w:spacing w:after="40"/>
            </w:pPr>
            <w:r>
              <w:rPr>
                <w:sz w:val="19"/>
              </w:rPr>
              <w:t>Provides a stable 24 VDC supply during commissioning and functional testing.</w:t>
            </w:r>
          </w:p>
        </w:tc>
      </w:tr>
      <w:tr>
        <w:tc>
          <w:tcPr>
            <w:tcW w:type="dxa" w:w="3312"/>
          </w:tcPr>
          <w:p>
            <w:pPr>
              <w:spacing w:after="40"/>
            </w:pPr>
            <w:r>
              <w:rPr>
                <w:sz w:val="19"/>
              </w:rPr>
              <w:t>Digital multimeter</w:t>
            </w:r>
          </w:p>
        </w:tc>
        <w:tc>
          <w:tcPr>
            <w:tcW w:type="dxa" w:w="6048"/>
          </w:tcPr>
          <w:p>
            <w:pPr>
              <w:spacing w:after="40"/>
            </w:pPr>
            <w:r>
              <w:rPr>
                <w:sz w:val="19"/>
              </w:rPr>
              <w:t>Measures actual voltage, verifies polarity and continuity, supports grounding/bonding verification.</w:t>
            </w:r>
          </w:p>
        </w:tc>
      </w:tr>
      <w:tr>
        <w:tc>
          <w:tcPr>
            <w:tcW w:type="dxa" w:w="3312"/>
          </w:tcPr>
          <w:p>
            <w:pPr>
              <w:spacing w:after="40"/>
            </w:pPr>
            <w:r>
              <w:rPr>
                <w:sz w:val="19"/>
              </w:rPr>
              <w:t>Calibrated gas source / gas test kit</w:t>
            </w:r>
          </w:p>
        </w:tc>
        <w:tc>
          <w:tcPr>
            <w:tcW w:type="dxa" w:w="6048"/>
          </w:tcPr>
          <w:p>
            <w:pPr>
              <w:spacing w:after="40"/>
            </w:pPr>
            <w:r>
              <w:rPr>
                <w:sz w:val="19"/>
              </w:rPr>
              <w:t>Provides the required gas types to verify correct sensor response.</w:t>
            </w:r>
          </w:p>
        </w:tc>
      </w:tr>
      <w:tr>
        <w:tc>
          <w:tcPr>
            <w:tcW w:type="dxa" w:w="3312"/>
          </w:tcPr>
          <w:p>
            <w:pPr>
              <w:spacing w:after="40"/>
            </w:pPr>
            <w:r>
              <w:rPr>
                <w:sz w:val="19"/>
              </w:rPr>
              <w:t>Gas test chamber</w:t>
            </w:r>
          </w:p>
        </w:tc>
        <w:tc>
          <w:tcPr>
            <w:tcW w:type="dxa" w:w="6048"/>
          </w:tcPr>
          <w:p>
            <w:pPr>
              <w:spacing w:after="40"/>
            </w:pPr>
            <w:r>
              <w:rPr>
                <w:sz w:val="19"/>
              </w:rPr>
              <w:t>Provides a controlled gas-exposure environment for reproducible test conditions.</w:t>
            </w:r>
          </w:p>
        </w:tc>
      </w:tr>
      <w:tr>
        <w:tc>
          <w:tcPr>
            <w:tcW w:type="dxa" w:w="3312"/>
          </w:tcPr>
          <w:p>
            <w:pPr>
              <w:spacing w:after="40"/>
            </w:pPr>
            <w:r>
              <w:rPr>
                <w:sz w:val="19"/>
              </w:rPr>
              <w:t>Alarm load / relay simulator</w:t>
            </w:r>
          </w:p>
        </w:tc>
        <w:tc>
          <w:tcPr>
            <w:tcW w:type="dxa" w:w="6048"/>
          </w:tcPr>
          <w:p>
            <w:pPr>
              <w:spacing w:after="40"/>
            </w:pPr>
            <w:r>
              <w:rPr>
                <w:sz w:val="19"/>
              </w:rPr>
              <w:t>Verifies that the alarm output and connected electrical load operate correctly.</w:t>
            </w:r>
          </w:p>
        </w:tc>
      </w:tr>
      <w:tr>
        <w:tc>
          <w:tcPr>
            <w:tcW w:type="dxa" w:w="3312"/>
          </w:tcPr>
          <w:p>
            <w:pPr>
              <w:spacing w:after="40"/>
            </w:pPr>
            <w:r>
              <w:rPr>
                <w:sz w:val="19"/>
              </w:rPr>
              <w:t>LoRa peer / gateway</w:t>
            </w:r>
          </w:p>
        </w:tc>
        <w:tc>
          <w:tcPr>
            <w:tcW w:type="dxa" w:w="6048"/>
          </w:tcPr>
          <w:p>
            <w:pPr>
              <w:spacing w:after="40"/>
            </w:pPr>
            <w:r>
              <w:rPr>
                <w:sz w:val="19"/>
              </w:rPr>
              <w:t>Verifies that data transmitted by the GLD is successfully received by the intended system.</w:t>
            </w:r>
          </w:p>
        </w:tc>
      </w:tr>
      <w:tr>
        <w:tc>
          <w:tcPr>
            <w:tcW w:type="dxa" w:w="3312"/>
          </w:tcPr>
          <w:p>
            <w:pPr>
              <w:spacing w:after="40"/>
            </w:pPr>
            <w:r>
              <w:rPr>
                <w:sz w:val="19"/>
              </w:rPr>
              <w:t>Laptop and approved software</w:t>
            </w:r>
          </w:p>
        </w:tc>
        <w:tc>
          <w:tcPr>
            <w:tcW w:type="dxa" w:w="6048"/>
          </w:tcPr>
          <w:p>
            <w:pPr>
              <w:spacing w:after="40"/>
            </w:pPr>
            <w:r>
              <w:rPr>
                <w:sz w:val="19"/>
              </w:rPr>
              <w:t>Reviews diagnostic information, configuration, logging, firmware identification; stores commissioning and test evidence.</w:t>
            </w:r>
          </w:p>
        </w:tc>
      </w:tr>
      <w:tr>
        <w:tc>
          <w:tcPr>
            <w:tcW w:type="dxa" w:w="3312"/>
          </w:tcPr>
          <w:p>
            <w:pPr>
              <w:spacing w:after="40"/>
            </w:pPr>
            <w:r>
              <w:rPr>
                <w:sz w:val="19"/>
              </w:rPr>
              <w:t>Calibrated torque screwdriver</w:t>
            </w:r>
          </w:p>
        </w:tc>
        <w:tc>
          <w:tcPr>
            <w:tcW w:type="dxa" w:w="6048"/>
          </w:tcPr>
          <w:p>
            <w:pPr>
              <w:spacing w:after="40"/>
            </w:pPr>
            <w:r>
              <w:rPr>
                <w:sz w:val="19"/>
              </w:rPr>
              <w:t>Ensures glands, terminals, enclosure fasteners, and grounding connections are tightened to approved torque values.</w:t>
            </w:r>
          </w:p>
        </w:tc>
      </w:tr>
    </w:tbl>
    <w:p>
      <w:pPr>
        <w:spacing w:after="120"/>
      </w:pPr>
    </w:p>
    <w:p>
      <w:pPr>
        <w:spacing w:after="200"/>
      </w:pPr>
      <w:r>
        <w:rPr>
          <w:b/>
          <w:color w:val="4A4A4A"/>
          <w:sz w:val="19"/>
        </w:rPr>
        <w:t xml:space="preserve">Status: </w:t>
      </w:r>
      <w:r>
        <w:rPr>
          <w:i/>
          <w:color w:val="4A4A4A"/>
          <w:sz w:val="19"/>
        </w:rPr>
        <w:t>Draft plan only — not yet executed, and not evidence of ExCB/laboratory test readiness.</w:t>
      </w:r>
    </w:p>
    <w:p>
      <w:pPr>
        <w:spacing w:before="200"/>
      </w:pPr>
    </w:p>
    <w:p>
      <w:r>
        <w:rPr>
          <w:i/>
          <w:color w:val="4A4A4A"/>
          <w:sz w:val="18"/>
        </w:rPr>
        <w:t>This is a working document, filled in against the ExCB information-requirements checklist. It follows the checklist's own section order rather than the more exhaustive item-by-item status tracking of the technical documentation file GMI/GLD/IECEX-TDF/2026-001 — the two documents are maintained in parallel and should stay consistent; treat the exhaustive tracking document as authoritative for item-level status where they differ. Data sources: the official product technical datasheet (Revision 4.0), internal technical specification documentation, EMC parameter measurement data, EasyEDA/JLCPCB design exports, and PT Galaksi Megatama Indonesia's legal documents.</w:t>
      </w: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pStyle w:val="Heading4"/>
        <w:keepNext/>
        <w:spacing w:after="60" w:before="160"/>
      </w:pPr>
      <w:r>
        <w:rPr>
          <w:rFonts w:ascii="Calibri" w:hAnsi="Calibri"/>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10/12 available, 2 partial (PCB underside photo, grounding lug with conductor)</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FFF4D6"/>
          </w:tcPr>
          <w:p>
            <w:pPr>
              <w:spacing w:after="20"/>
            </w:pPr>
            <w:r>
              <w:rPr>
                <w:b/>
                <w:sz w:val="16"/>
              </w:rPr>
              <w:t>Partial — main board available, schematic findings 1–3 open; sensor-module schematic missing</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 MS-06 in 2.6.g.1</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 (incl. measured joint sketches MS-01…04)</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 artwork MS-05)</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FFF4D6"/>
          </w:tcPr>
          <w:p>
            <w:pPr>
              <w:spacing w:after="20"/>
            </w:pPr>
            <w:r>
              <w:rPr>
                <w:b/>
                <w:sz w:val="16"/>
              </w:rPr>
              <w:t>Partial — sample identified; fixture/test plan not yet executed</w:t>
            </w:r>
          </w:p>
        </w:tc>
      </w:tr>
    </w:tbl>
    <w:p>
      <w:pPr>
        <w:spacing w:after="40"/>
      </w:pP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GMI/GLD/IECEX-CIR/2026-001  ·  Rev. 2.1</w:t>
    </w:r>
    <w:r>
      <w:rPr>
        <w:color w:val="4A4A4A"/>
        <w:sz w:val="16"/>
      </w:rPr>
      <w:tab/>
    </w:r>
    <w:r>
      <w:rPr>
        <w:color w:val="4A4A4A"/>
        <w:sz w:val="16"/>
      </w:rPr>
      <w:fldChar w:fldCharType="begin"/>
      <w:instrText xml:space="preserve">PAGE</w:instrText>
    </w:r>
    <w:r>
      <w:rPr>
        <w:color w:val="4A4A4A"/>
        <w:sz w:val="16"/>
      </w:rPr>
      <w:fldChar w:fldCharType="separate"/>
    </w:r>
    <w:r>
      <w:rPr>
        <w:color w:val="4A4A4A"/>
        <w:sz w:val="16"/>
      </w:rPr>
      <w:t>1</w:t>
    </w:r>
    <w:r>
      <w:rPr>
        <w:color w:val="4A4A4A"/>
        <w:sz w:val="16"/>
      </w:rPr>
      <w:fldChar w:fldCharType="end"/>
    </w:r>
    <w:r>
      <w:rPr>
        <w:color w:val="4A4A4A"/>
        <w:sz w:val="16"/>
      </w:rPr>
      <w:t xml:space="preserve"> of </w:t>
    </w:r>
    <w:r>
      <w:rPr>
        <w:color w:val="4A4A4A"/>
        <w:sz w:val="16"/>
      </w:rPr>
      <w:fldChar w:fldCharType="begin"/>
      <w:instrText xml:space="preserve">NUMPAGES</w:instrText>
    </w:r>
    <w:r>
      <w:rPr>
        <w:color w:val="4A4A4A"/>
        <w:sz w:val="16"/>
      </w:rPr>
      <w:fldChar w:fldCharType="separate"/>
    </w:r>
    <w:r>
      <w:rPr>
        <w:color w:val="4A4A4A"/>
        <w:sz w:val="16"/>
      </w:rPr>
      <w:t>1</w:t>
    </w:r>
    <w:r>
      <w:rPr>
        <w:color w:val="4A4A4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Information Requirements — GLD V2 (Filled)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i w:val="0"/>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i w:val="0"/>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i w:val="0"/>
      <w:color w:val="1A2B3D"/>
      <w:sz w:val="22"/>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val="0"/>
      <w:iCs/>
      <w:color w:val="1A2B3D"/>
      <w:sz w:val="21"/>
    </w:rPr>
  </w:style>
  <w:style w:type="paragraph" w:styleId="Heading5">
    <w:name w:val="heading 5"/>
    <w:basedOn w:val="Normal"/>
    <w:next w:val="Normal"/>
    <w:link w:val="Heading5Char"/>
    <w:uiPriority w:val="9"/>
    <w:semiHidden/>
    <w:unhideWhenUsed/>
    <w:qFormat/>
    <w:rsid w:val="00FC693F"/>
    <w:pPr>
      <w:keepNext/>
      <w:keepLines/>
      <w:spacing w:before="240" w:after="120"/>
      <w:outlineLvl w:val="4"/>
    </w:pPr>
    <w:rPr>
      <w:rFonts w:asciiTheme="majorHAnsi" w:eastAsiaTheme="majorEastAsia" w:hAnsiTheme="majorHAnsi" w:cstheme="majorBidi" w:ascii="Calibri" w:hAnsi="Calibri"/>
      <w:b/>
      <w:i w:val="0"/>
      <w:color w:val="1A2B3D"/>
      <w:sz w:val="20"/>
    </w:rPr>
  </w:style>
  <w:style w:type="paragraph" w:styleId="Heading6">
    <w:name w:val="heading 6"/>
    <w:basedOn w:val="Normal"/>
    <w:next w:val="Normal"/>
    <w:link w:val="Heading6Char"/>
    <w:uiPriority w:val="9"/>
    <w:semiHidden/>
    <w:unhideWhenUsed/>
    <w:qFormat/>
    <w:rsid w:val="00FC693F"/>
    <w:pPr>
      <w:keepNext/>
      <w:keepLines/>
      <w:spacing w:before="240" w:after="120"/>
      <w:outlineLvl w:val="5"/>
    </w:pPr>
    <w:rPr>
      <w:rFonts w:asciiTheme="majorHAnsi" w:eastAsiaTheme="majorEastAsia" w:hAnsiTheme="majorHAnsi" w:cstheme="majorBidi" w:ascii="Calibri" w:hAnsi="Calibri"/>
      <w:b/>
      <w:i w:val="0"/>
      <w:iCs/>
      <w:color w:val="1A2B3D"/>
      <w:sz w:val="1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40"/>
      <w:ind w:left="0"/>
    </w:pPr>
    <w:rPr>
      <w:rFonts w:ascii="Calibri" w:hAnsi="Calibri"/>
      <w:b/>
      <w:sz w:val="21"/>
    </w:rPr>
  </w:style>
  <w:style w:type="paragraph" w:customStyle="1" w:styleId="TOC2">
    <w:name w:val="TOC 2"/>
    <w:pPr>
      <w:spacing w:before="0" w:after="40"/>
      <w:ind w:left="255"/>
    </w:pPr>
    <w:rPr>
      <w:rFonts w:ascii="Calibri" w:hAnsi="Calibri"/>
      <w:b w:val="0"/>
      <w:sz w:val="19"/>
    </w:rPr>
  </w:style>
  <w:style w:type="paragraph" w:customStyle="1" w:styleId="TOC3">
    <w:name w:val="TOC 3"/>
    <w:pPr>
      <w:spacing w:before="0" w:after="40"/>
      <w:ind w:left="510"/>
    </w:pPr>
    <w:rPr>
      <w:rFonts w:ascii="Calibri" w:hAnsi="Calibri"/>
      <w:b w:val="0"/>
      <w:sz w:val="18"/>
    </w:rPr>
  </w:style>
  <w:style w:type="paragraph" w:customStyle="1" w:styleId="TOC4">
    <w:name w:val="TOC 4"/>
    <w:pPr>
      <w:spacing w:before="0" w:after="40"/>
      <w:ind w:left="765"/>
    </w:pPr>
    <w:rPr>
      <w:rFonts w:ascii="Calibri" w:hAnsi="Calibri"/>
      <w:b w:val="0"/>
      <w:sz w:val="17"/>
    </w:rPr>
  </w:style>
  <w:style w:type="paragraph" w:customStyle="1" w:styleId="TOC5">
    <w:name w:val="TOC 5"/>
    <w:pPr>
      <w:spacing w:before="0" w:after="40"/>
      <w:ind w:left="1020"/>
    </w:pPr>
    <w:rPr>
      <w:rFonts w:ascii="Calibri" w:hAnsi="Calibri"/>
      <w:b w:val="0"/>
      <w:sz w:val="16"/>
    </w:rPr>
  </w:style>
  <w:style w:type="paragraph" w:customStyle="1" w:styleId="TOC6">
    <w:name w:val="TOC 6"/>
    <w:pPr>
      <w:spacing w:before="0" w:after="0"/>
      <w:ind w:left="0"/>
    </w:pPr>
    <w:rPr>
      <w:rFonts w:ascii="Calibri" w:hAnsi="Calibri"/>
      <w:sz w:val="17"/>
    </w:rPr>
  </w:style>
  <w:style w:type="paragraph" w:customStyle="1" w:styleId="GLDFigureTitle">
    <w:name w:val="GLD Figure Title"/>
    <w:basedOn w:val="Normal"/>
    <w:pPr>
      <w:keepNext/>
      <w:outlineLvl w:val="5"/>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png"/><Relationship Id="rId135" Type="http://schemas.openxmlformats.org/officeDocument/2006/relationships/image" Target="media/image125.png"/><Relationship Id="rId136" Type="http://schemas.openxmlformats.org/officeDocument/2006/relationships/image" Target="media/image126.png"/><Relationship Id="rId137" Type="http://schemas.openxmlformats.org/officeDocument/2006/relationships/image" Target="media/image127.png"/><Relationship Id="rId138" Type="http://schemas.openxmlformats.org/officeDocument/2006/relationships/image" Target="media/image128.png"/><Relationship Id="rId139" Type="http://schemas.openxmlformats.org/officeDocument/2006/relationships/image" Target="media/image1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