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LAPI GANESHA UTAMA</w:t>
            </w:r>
          </w:p>
          <w:p>
            <w:pPr>
              <w:spacing w:after="60"/>
            </w:pPr>
            <w:r>
              <w:rPr>
                <w:color w:val="C7D2E0"/>
                <w:sz w:val="19"/>
              </w:rPr>
              <w:t>In technical partnership with the Institute of Technology Bandung</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LGU/GLD/IECEX-TDF/2026-001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0.4</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22 September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Design &amp; development authority</w:t>
            </w:r>
          </w:p>
        </w:tc>
        <w:tc>
          <w:tcPr>
            <w:tcW w:type="dxa" w:w="6480"/>
          </w:tcPr>
          <w:p>
            <w:pPr>
              <w:spacing w:after="40"/>
            </w:pPr>
            <w:r>
              <w:rPr>
                <w:sz w:val="20"/>
              </w:rPr>
              <w:t>PT LAPI Ganesha Utama</w:t>
            </w:r>
          </w:p>
        </w:tc>
      </w:tr>
      <w:tr>
        <w:tc>
          <w:tcPr>
            <w:tcW w:type="dxa" w:w="2880"/>
            <w:shd w:val="clear" w:color="auto" w:fill="EFEFEF"/>
          </w:tcPr>
          <w:p>
            <w:pPr>
              <w:spacing w:after="40"/>
            </w:pPr>
            <w:r>
              <w:rPr>
                <w:b/>
                <w:color w:val="4A4A4A"/>
                <w:sz w:val="19"/>
              </w:rPr>
              <w:t>Technical partner</w:t>
            </w:r>
          </w:p>
        </w:tc>
        <w:tc>
          <w:tcPr>
            <w:tcW w:type="dxa" w:w="6480"/>
          </w:tcPr>
          <w:p>
            <w:pPr>
              <w:spacing w:after="40"/>
            </w:pPr>
            <w:r>
              <w:rPr>
                <w:sz w:val="20"/>
              </w:rPr>
              <w:t>Institute of Technology Bandung</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PT LAPI Ganesha Utama recorded as design and development authority.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Manufacturer-of-record for this section: PT Galaksi Megatama Indonesia. This section reports the legal/corporate particulars of PT Galaksi Megatama Indonesia as the Manufacturer named in the ExCB application, since it holds the Indonesian industrial manufacturing business license (NIB) relevant to fabricating the equipment (KBLI 25119/25120/28221/25920 — metal products, pressurized-vessel-class containers, metalworking machinery, and special metal-treatment services). PT LAPI Ganesha Utama (LGU) is the design and development authority responsible for the electronics, firmware, and system engineering of the GLD, working with the Institute of Technology Bandung as technical partner; it is recorded as such throughout Sections 2 and 3. This attribution reflects a working decision recorded 22 September 2026 based on PT Galaksi's legal documents (deed of establishment, NIB, NPWP, MOLHR ratification decree, tax registration certificate) supplied to the authors — it has not yet been confirmed directly with either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Design and development authority</w:t>
            </w:r>
          </w:p>
        </w:tc>
        <w:tc>
          <w:tcPr>
            <w:tcW w:type="dxa" w:w="2736"/>
          </w:tcPr>
          <w:p>
            <w:pPr>
              <w:spacing w:after="40"/>
            </w:pPr>
            <w:r>
              <w:rPr>
                <w:sz w:val="19"/>
              </w:rPr>
              <w:t>PT LAPI Ganesha Utama (LGU)</w:t>
            </w:r>
          </w:p>
        </w:tc>
        <w:tc>
          <w:tcPr>
            <w:tcW w:type="dxa" w:w="2160"/>
          </w:tcPr>
          <w:p>
            <w:pPr>
              <w:spacing w:after="40"/>
            </w:pPr>
            <w:r>
              <w:rPr>
                <w:b/>
                <w:color w:val="149174"/>
                <w:sz w:val="19"/>
              </w:rPr>
              <w:t>Confirmed</w:t>
            </w:r>
          </w:p>
        </w:tc>
        <w:tc>
          <w:tcPr>
            <w:tcW w:type="dxa" w:w="2304"/>
          </w:tcPr>
          <w:p>
            <w:pPr>
              <w:spacing w:after="40"/>
            </w:pPr>
            <w:r>
              <w:rPr>
                <w:sz w:val="19"/>
              </w:rPr>
            </w:r>
          </w:p>
        </w:tc>
      </w:tr>
      <w:tr>
        <w:trPr>
          <w:cantSplit/>
        </w:trPr>
        <w:tc>
          <w:tcPr>
            <w:tcW w:type="dxa" w:w="2160"/>
          </w:tcPr>
          <w:p>
            <w:pPr>
              <w:spacing w:after="40"/>
            </w:pPr>
            <w:r>
              <w:rPr>
                <w:b/>
                <w:sz w:val="19"/>
              </w:rPr>
              <w:t>Technical development partner</w:t>
            </w:r>
          </w:p>
        </w:tc>
        <w:tc>
          <w:tcPr>
            <w:tcW w:type="dxa" w:w="2736"/>
          </w:tcPr>
          <w:p>
            <w:pPr>
              <w:spacing w:after="40"/>
            </w:pPr>
            <w:r>
              <w:rPr>
                <w:sz w:val="19"/>
              </w:rPr>
              <w:t>Institute of Technology Bandung — IoT Laboratory &amp; Physics Laboratory</w:t>
            </w:r>
          </w:p>
        </w:tc>
        <w:tc>
          <w:tcPr>
            <w:tcW w:type="dxa" w:w="2160"/>
          </w:tcPr>
          <w:p>
            <w:pPr>
              <w:spacing w:after="40"/>
            </w:pPr>
            <w:r>
              <w:rPr>
                <w:b/>
                <w:color w:val="149174"/>
                <w:sz w:val="19"/>
              </w:rPr>
              <w:t>Confirmed</w:t>
            </w:r>
          </w:p>
        </w:tc>
        <w:tc>
          <w:tcPr>
            <w:tcW w:type="dxa" w:w="2304"/>
          </w:tcPr>
          <w:p>
            <w:pPr>
              <w:spacing w:after="40"/>
            </w:pPr>
            <w:r>
              <w:rPr>
                <w:sz w:val="19"/>
              </w:rPr>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Not yet selected — Ex d, Ex e, and Ex i under evaluation</w:t>
            </w:r>
          </w:p>
        </w:tc>
        <w:tc>
          <w:tcPr>
            <w:tcW w:type="dxa" w:w="2160"/>
          </w:tcPr>
          <w:p>
            <w:pPr>
              <w:spacing w:after="40"/>
            </w:pPr>
            <w:r>
              <w:rPr>
                <w:b/>
                <w:color w:val="B02A37"/>
                <w:sz w:val="19"/>
              </w:rPr>
              <w:t>Open</w:t>
            </w:r>
          </w:p>
        </w:tc>
        <w:tc>
          <w:tcPr>
            <w:tcW w:type="dxa" w:w="2304"/>
          </w:tcPr>
          <w:p>
            <w:pPr>
              <w:spacing w:after="40"/>
            </w:pPr>
            <w:r>
              <w:rPr>
                <w:sz w:val="19"/>
              </w:rPr>
              <w:t>Section 2.6.e</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the standard corresponding to the type of protection once selected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Technical partner contact</w:t>
            </w:r>
          </w:p>
        </w:tc>
        <w:tc>
          <w:tcPr>
            <w:tcW w:type="dxa" w:w="1872"/>
          </w:tcPr>
          <w:p>
            <w:pPr>
              <w:spacing w:after="40"/>
            </w:pPr>
            <w:r>
              <w:rPr>
                <w:b/>
                <w:color w:val="B56A1E"/>
                <w:sz w:val="19"/>
              </w:rPr>
              <w:t>Organization identified; contact to be confirmed</w:t>
            </w:r>
          </w:p>
        </w:tc>
        <w:tc>
          <w:tcPr>
            <w:tcW w:type="dxa" w:w="4464"/>
          </w:tcPr>
          <w:p>
            <w:pPr>
              <w:spacing w:after="40"/>
            </w:pPr>
            <w:r>
              <w:rPr>
                <w:sz w:val="19"/>
              </w:rPr>
              <w:t>Institute of Technology Bandung — IoT Laboratory / Physics Laboratory.</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by LGU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 no plastic or PVC) and mounted via an L-bracket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 (Version 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Design &amp; development authority</w:t>
            </w:r>
          </w:p>
        </w:tc>
        <w:tc>
          <w:tcPr>
            <w:tcW w:type="dxa" w:w="6192"/>
          </w:tcPr>
          <w:p>
            <w:pPr>
              <w:spacing w:after="40"/>
            </w:pPr>
            <w:r>
              <w:rPr>
                <w:sz w:val="20"/>
              </w:rPr>
              <w:t>PT LAPI Ganesha Utama (LGU)</w:t>
            </w:r>
          </w:p>
        </w:tc>
      </w:tr>
      <w:tr>
        <w:tc>
          <w:tcPr>
            <w:tcW w:type="dxa" w:w="3168"/>
            <w:shd w:val="clear" w:color="auto" w:fill="EFEFEF"/>
          </w:tcPr>
          <w:p>
            <w:pPr>
              <w:spacing w:after="40"/>
            </w:pPr>
            <w:r>
              <w:rPr>
                <w:b/>
                <w:color w:val="4A4A4A"/>
                <w:sz w:val="19"/>
              </w:rPr>
              <w:t>Technical development partner</w:t>
            </w:r>
          </w:p>
        </w:tc>
        <w:tc>
          <w:tcPr>
            <w:tcW w:type="dxa" w:w="6192"/>
          </w:tcPr>
          <w:p>
            <w:pPr>
              <w:spacing w:after="40"/>
            </w:pPr>
            <w:r>
              <w:rPr>
                <w:sz w:val="20"/>
              </w:rPr>
              <w:t>Institute of Technology Bandung — IoT Laboratory &amp; Physics Laboratory</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 stainless steel</w:t>
            </w:r>
          </w:p>
        </w:tc>
      </w:tr>
    </w:tbl>
    <w:p>
      <w:pPr>
        <w:spacing w:after="120"/>
      </w:pPr>
    </w:p>
    <w:p>
      <w:pPr>
        <w:spacing w:after="160"/>
      </w:pPr>
      <w:r>
        <w:rPr>
          <w:b w:val="0"/>
          <w:i/>
          <w:color w:val="4A4A4A"/>
          <w:sz w:val="18"/>
        </w:rPr>
        <w:t>Source: official product technical datasheet (Institute of Technology Bandung,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exact circuit role (e.g., reverse-polarity blocking vs. flyback) has not yet been cross-checked against the schematic net list, and no consolidated protection-scheme write-up has been produced for ExCB review.</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 stainless steel</w:t>
            </w:r>
          </w:p>
        </w:tc>
        <w:tc>
          <w:tcPr>
            <w:tcW w:type="dxa" w:w="1584"/>
          </w:tcPr>
          <w:p>
            <w:pPr>
              <w:spacing w:after="40"/>
            </w:pPr>
            <w:r>
              <w:rPr>
                <w:b/>
                <w:color w:val="B56A1E"/>
                <w:sz w:val="19"/>
              </w:rPr>
              <w:t>Partially available — specific grade pending</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The specific alloy/grade of the aluminum body and the supplier listing's own certification claims have not been independently verified — the listing's specification text could not be retrieved for cross-check, so this should be treated as project-confirmed sourcing context, not a verified datasheet citation. PVC is not used in any housing or bracket component. Candidate alloy grade: a Chinese enclosure-component manufacturer's drawing for a related die-cast sub-component (“Universal Base,” part no. BP18-1Z — see Section 2.6.a) specifies material ADC12 (a standard die-cast aluminum alloy). This is a supplier reference drawing for a candidate component under evaluation by the casing partner, not yet confirmed as the grade used in GLD's own enclosure body.</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 kg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L-bracket,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Not yet tested/determined.</w:t>
            </w:r>
          </w:p>
        </w:tc>
      </w:tr>
      <w:tr>
        <w:trPr>
          <w:cantSplit/>
        </w:trPr>
        <w:tc>
          <w:tcPr>
            <w:tcW w:type="dxa" w:w="2160"/>
          </w:tcPr>
          <w:p>
            <w:pPr>
              <w:spacing w:after="40"/>
            </w:pPr>
            <w:r>
              <w:rPr>
                <w:b/>
                <w:sz w:val="19"/>
              </w:rPr>
              <w:t>Cable entry (gland)</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Cable gland specification not yet determined. The BP18-1Z reference drawing above uses M20×1.5-6H entries (a common thread size for Ex/IP-rated cable glands) — noted as a candidate reference only, not a confirmed GLD specification.</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−40°C to +85°C (ambient)</w:t>
            </w:r>
          </w:p>
        </w:tc>
        <w:tc>
          <w:tcPr>
            <w:tcW w:type="dxa" w:w="1584"/>
          </w:tcPr>
          <w:p>
            <w:pPr>
              <w:spacing w:after="40"/>
            </w:pPr>
            <w:r>
              <w:rPr>
                <w:b/>
                <w:color w:val="149174"/>
                <w:sz w:val="19"/>
              </w:rPr>
              <w:t>Final</w:t>
            </w:r>
          </w:p>
        </w:tc>
        <w:tc>
          <w:tcPr>
            <w:tcW w:type="dxa" w:w="2880"/>
          </w:tcPr>
          <w:p>
            <w:pPr>
              <w:spacing w:after="40"/>
            </w:pPr>
            <w:r>
              <w:rPr>
                <w:sz w:val="19"/>
              </w:rPr>
              <w:t>Project-confirmed value, extended-industrial electronics range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trPr>
          <w:cantSplit/>
        </w:trPr>
        <w:tc>
          <w:tcPr>
            <w:tcW w:type="dxa" w:w="1872"/>
          </w:tcPr>
          <w:p>
            <w:pPr>
              <w:spacing w:after="40"/>
            </w:pPr>
            <w:r>
              <w:rPr>
                <w:b/>
                <w:sz w:val="19"/>
              </w:rPr>
              <w:t>Ambient temperature range</w:t>
            </w:r>
          </w:p>
        </w:tc>
        <w:tc>
          <w:tcPr>
            <w:tcW w:type="dxa" w:w="1584"/>
          </w:tcPr>
          <w:p>
            <w:pPr>
              <w:spacing w:after="40"/>
            </w:pPr>
            <w:r>
              <w:rPr>
                <w:sz w:val="19"/>
              </w:rPr>
              <w:t>−40°C to +85°C</w:t>
            </w:r>
          </w:p>
        </w:tc>
        <w:tc>
          <w:tcPr>
            <w:tcW w:type="dxa" w:w="2736"/>
          </w:tcPr>
          <w:p>
            <w:pPr>
              <w:spacing w:after="40"/>
            </w:pPr>
            <w:r>
              <w:rPr>
                <w:b/>
                <w:color w:val="149174"/>
                <w:sz w:val="19"/>
              </w:rPr>
              <w:t>Final</w:t>
            </w:r>
          </w:p>
        </w:tc>
        <w:tc>
          <w:tcPr>
            <w:tcW w:type="dxa" w:w="3456"/>
          </w:tcPr>
          <w:p>
            <w:pPr>
              <w:spacing w:after="40"/>
            </w:pPr>
            <w:r>
              <w:rPr>
                <w:sz w:val="19"/>
              </w:rPr>
              <w:t>Project-confirmed value, extended-industrial electronics range. Distinct from the MQ-sensor hot-spot surface temperature above, which remains the top-priority open item for the T4 recommendation.</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8" name="Picture 8"/>
            <wp:cNvGraphicFramePr>
              <a:graphicFrameLocks noChangeAspect="1"/>
            </wp:cNvGraphicFramePr>
            <a:graphic>
              <a:graphicData uri="http://schemas.openxmlformats.org/drawingml/2006/picture">
                <pic:pic>
                  <pic:nvPicPr>
                    <pic:cNvPr id="0" name="01-diagram.png"/>
                    <pic:cNvPicPr/>
                  </pic:nvPicPr>
                  <pic:blipFill>
                    <a:blip r:embed="rId18"/>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9" name="Picture 9"/>
            <wp:cNvGraphicFramePr>
              <a:graphicFrameLocks noChangeAspect="1"/>
            </wp:cNvGraphicFramePr>
            <a:graphic>
              <a:graphicData uri="http://schemas.openxmlformats.org/drawingml/2006/picture">
                <pic:pic>
                  <pic:nvPicPr>
                    <pic:cNvPr id="0" name="02-diagram.png"/>
                    <pic:cNvPicPr/>
                  </pic:nvPicPr>
                  <pic:blipFill>
                    <a:blip r:embed="rId19"/>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10" name="Picture 10"/>
            <wp:cNvGraphicFramePr>
              <a:graphicFrameLocks noChangeAspect="1"/>
            </wp:cNvGraphicFramePr>
            <a:graphic>
              <a:graphicData uri="http://schemas.openxmlformats.org/drawingml/2006/picture">
                <pic:pic>
                  <pic:nvPicPr>
                    <pic:cNvPr id="0" name="03-diagram.png"/>
                    <pic:cNvPicPr/>
                  </pic:nvPicPr>
                  <pic:blipFill>
                    <a:blip r:embed="rId20"/>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04-diagram.png"/>
                    <pic:cNvPicPr/>
                  </pic:nvPicPr>
                  <pic:blipFill>
                    <a:blip r:embed="rId21"/>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05-diagram.png"/>
                    <pic:cNvPicPr/>
                  </pic:nvPicPr>
                  <pic:blipFill>
                    <a:blip r:embed="rId22"/>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06-diagram.png"/>
                    <pic:cNvPicPr/>
                  </pic:nvPicPr>
                  <pic:blipFill>
                    <a:blip r:embed="rId23"/>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07-diagram.png"/>
                    <pic:cNvPicPr/>
                  </pic:nvPicPr>
                  <pic:blipFill>
                    <a:blip r:embed="rId24"/>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15" name="Picture 15"/>
            <wp:cNvGraphicFramePr>
              <a:graphicFrameLocks noChangeAspect="1"/>
            </wp:cNvGraphicFramePr>
            <a:graphic>
              <a:graphicData uri="http://schemas.openxmlformats.org/drawingml/2006/picture">
                <pic:pic>
                  <pic:nvPicPr>
                    <pic:cNvPr id="0" name="08-diagram.png"/>
                    <pic:cNvPicPr/>
                  </pic:nvPicPr>
                  <pic:blipFill>
                    <a:blip r:embed="rId25"/>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16" name="Picture 16"/>
            <wp:cNvGraphicFramePr>
              <a:graphicFrameLocks noChangeAspect="1"/>
            </wp:cNvGraphicFramePr>
            <a:graphic>
              <a:graphicData uri="http://schemas.openxmlformats.org/drawingml/2006/picture">
                <pic:pic>
                  <pic:nvPicPr>
                    <pic:cNvPr id="0" name="09-diagram.png"/>
                    <pic:cNvPicPr/>
                  </pic:nvPicPr>
                  <pic:blipFill>
                    <a:blip r:embed="rId26"/>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17" name="Picture 17"/>
            <wp:cNvGraphicFramePr>
              <a:graphicFrameLocks noChangeAspect="1"/>
            </wp:cNvGraphicFramePr>
            <a:graphic>
              <a:graphicData uri="http://schemas.openxmlformats.org/drawingml/2006/picture">
                <pic:pic>
                  <pic:nvPicPr>
                    <pic:cNvPr id="0" name="10-pcb-layout.png"/>
                    <pic:cNvPicPr/>
                  </pic:nvPicPr>
                  <pic:blipFill>
                    <a:blip r:embed="rId27"/>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18" name="Picture 18"/>
            <wp:cNvGraphicFramePr>
              <a:graphicFrameLocks noChangeAspect="1"/>
            </wp:cNvGraphicFramePr>
            <a:graphic>
              <a:graphicData uri="http://schemas.openxmlformats.org/drawingml/2006/picture">
                <pic:pic>
                  <pic:nvPicPr>
                    <pic:cNvPr id="0" name="11-pcb-3d-render.png"/>
                    <pic:cNvPicPr/>
                  </pic:nvPicPr>
                  <pic:blipFill>
                    <a:blip r:embed="rId28"/>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19" name="Picture 19"/>
            <wp:cNvGraphicFramePr>
              <a:graphicFrameLocks noChangeAspect="1"/>
            </wp:cNvGraphicFramePr>
            <a:graphic>
              <a:graphicData uri="http://schemas.openxmlformats.org/drawingml/2006/picture">
                <pic:pic>
                  <pic:nvPicPr>
                    <pic:cNvPr id="0" name="bracket-mounting-drawing.png"/>
                    <pic:cNvPicPr/>
                  </pic:nvPicPr>
                  <pic:blipFill>
                    <a:blip r:embed="rId29"/>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block diagram</w:t>
            </w:r>
          </w:p>
        </w:tc>
        <w:tc>
          <w:tcPr>
            <w:tcW w:type="dxa" w:w="1872"/>
          </w:tcPr>
          <w:p>
            <w:pPr>
              <w:spacing w:after="40"/>
            </w:pPr>
            <w:r>
              <w:rPr>
                <w:b/>
                <w:color w:val="B56A1E"/>
                <w:sz w:val="19"/>
              </w:rPr>
              <w:t>Partially available</w:t>
            </w:r>
          </w:p>
        </w:tc>
        <w:tc>
          <w:tcPr>
            <w:tcW w:type="dxa" w:w="4032"/>
          </w:tcPr>
          <w:p>
            <w:pPr>
              <w:spacing w:after="40"/>
            </w:pPr>
            <w:r>
              <w:rPr>
                <w:sz w:val="19"/>
              </w:rPr>
              <w:t>Schematic capture and a derived 9-sheet block-diagram set exist with traceability evidence (pin-to-net mapping). Not yet issued in a released, revision-controlled drawing format with a formal drawing number.</w:t>
            </w:r>
          </w:p>
        </w:tc>
      </w:tr>
      <w:tr>
        <w:trPr>
          <w:cantSplit/>
        </w:trPr>
        <w:tc>
          <w:tcPr>
            <w:tcW w:type="dxa" w:w="3744"/>
          </w:tcPr>
          <w:p>
            <w:pPr>
              <w:spacing w:after="40"/>
            </w:pPr>
            <w:r>
              <w:rPr>
                <w:b/>
                <w:sz w:val="19"/>
              </w:rPr>
              <w:t>PCB layout</w:t>
            </w:r>
          </w:p>
        </w:tc>
        <w:tc>
          <w:tcPr>
            <w:tcW w:type="dxa" w:w="1872"/>
          </w:tcPr>
          <w:p>
            <w:pPr>
              <w:spacing w:after="40"/>
            </w:pPr>
            <w:r>
              <w:rPr>
                <w:b/>
                <w:color w:val="B56A1E"/>
                <w:sz w:val="19"/>
              </w:rPr>
              <w:t>Partially available</w:t>
            </w:r>
          </w:p>
        </w:tc>
        <w:tc>
          <w:tcPr>
            <w:tcW w:type="dxa" w:w="4032"/>
          </w:tcPr>
          <w:p>
            <w:pPr>
              <w:spacing w:after="40"/>
            </w:pPr>
            <w:r>
              <w:rPr>
                <w:sz w:val="19"/>
              </w:rPr>
              <w:t>Native EasyEDA/JLCPCB layout export (routed copper) and a 3D solid model exist for the same board revision. Not yet issued as a dimensioned, toleranced, released drawing with a formal drawing number.</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3"/>
      </w:pPr>
      <w:r>
        <w:t>2.6.e · Explosion-Protection Calculations and Explanations (if applicable)</w:t>
      </w:r>
    </w:p>
    <w:p>
      <w:pPr>
        <w:spacing w:after="160"/>
      </w:pPr>
      <w:r>
        <w:rPr>
          <w:b w:val="0"/>
          <w:i w:val="0"/>
          <w:sz w:val="21"/>
        </w:rPr>
        <w:t>Calculations depend on the explosion-protection concept selected (e.g., Ex d, Ex e, Ex i), which has not yet been confirmed with the ExCB, and on final enclosure geometry from the casing development partner. No calculations have been performed.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protection-concept confirmation and final enclosure design.</w:t>
            </w:r>
          </w:p>
        </w:tc>
      </w:tr>
    </w:tbl>
    <w:p>
      <w:pPr>
        <w:spacing w:after="80"/>
      </w:pPr>
    </w:p>
    <w:p>
      <w:pPr>
        <w:pStyle w:val="Heading3"/>
      </w:pPr>
      <w:r>
        <w:t>2.6.f · Temperature Group Calculation (Hottest-Point Temperature Estimation)</w:t>
      </w:r>
    </w:p>
    <w:p>
      <w:pPr>
        <w:spacing w:after="160"/>
      </w:pPr>
      <w:r>
        <w:rPr>
          <w:b w:val="0"/>
          <w:i w:val="0"/>
          <w:sz w:val="21"/>
        </w:rP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measurement is identified as the top-priority action required to substantiate the recommended T4 classification in Section 2.5.</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(L-bracket,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LGU/GLD/IECEX-TDF/2026-001  ·  Rev. 0.4</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