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8"/>
        </w:rPr>
        <w:t>PT LAPI GANESHA UTAMA</w:t>
      </w:r>
    </w:p>
    <w:p>
      <w:pPr>
        <w:spacing w:after="0"/>
      </w:pPr>
      <w:r>
        <w:rPr>
          <w:b w:val="0"/>
          <w:sz w:val="19"/>
        </w:rPr>
        <w:t>Jl. Dederuk No. 30, Sadang Serang, Bandung, Jawa Barat, Indonesia</w:t>
      </w:r>
    </w:p>
    <w:p>
      <w:pPr>
        <w:spacing w:after="160"/>
      </w:pPr>
      <w:r>
        <w:rPr>
          <w:b w:val="0"/>
          <w:sz w:val="19"/>
        </w:rPr>
        <w:t xml:space="preserve">Telepon: </w:t>
      </w:r>
      <w:r>
        <w:rPr>
          <w:b w:val="0"/>
          <w:sz w:val="19"/>
          <w:highlight w:val="yellow"/>
        </w:rPr>
        <w:t>[●]</w:t>
      </w:r>
      <w:r>
        <w:rPr>
          <w:b w:val="0"/>
          <w:sz w:val="19"/>
        </w:rPr>
        <w:t xml:space="preserve">  ·  E-mail: </w:t>
      </w:r>
      <w:r>
        <w:rPr>
          <w:b w:val="0"/>
          <w:sz w:val="19"/>
          <w:highlight w:val="yellow"/>
        </w:rPr>
        <w:t>[●]</w:t>
      </w:r>
    </w:p>
    <w:p>
      <w:pPr>
        <w:spacing w:after="0"/>
      </w:pPr>
      <w:r>
        <w:rPr>
          <w:b w:val="0"/>
        </w:rPr>
        <w:t>Nomor</w:t>
        <w:tab/>
        <w:t xml:space="preserve">: </w:t>
      </w:r>
      <w:r>
        <w:rPr>
          <w:b w:val="0"/>
          <w:highlight w:val="yellow"/>
        </w:rPr>
        <w:t>[Nomor Surat]</w:t>
      </w:r>
    </w:p>
    <w:p>
      <w:pPr>
        <w:spacing w:after="0"/>
      </w:pPr>
      <w:r>
        <w:rPr>
          <w:b w:val="0"/>
        </w:rPr>
        <w:t>Lampiran</w:t>
        <w:tab/>
        <w:t>: 4 (empat) berkas</w:t>
      </w:r>
    </w:p>
    <w:p>
      <w:pPr>
        <w:spacing w:after="200"/>
      </w:pPr>
      <w:r>
        <w:rPr>
          <w:b w:val="0"/>
        </w:rPr>
        <w:t>Perihal</w:t>
        <w:tab/>
        <w:t>: Surat Keterangan dan Pengantar Sampel Alat untuk Pengujian dan Sertifikasi ATEX</w:t>
      </w:r>
    </w:p>
    <w:p>
      <w:pPr>
        <w:spacing w:after="160"/>
      </w:pPr>
      <w:r>
        <w:rPr>
          <w:b w:val="0"/>
        </w:rPr>
        <w:t xml:space="preserve">Bandung, </w:t>
      </w:r>
      <w:r>
        <w:rPr>
          <w:b w:val="0"/>
          <w:highlight w:val="yellow"/>
        </w:rPr>
        <w:t>[Tanggal Surat]</w:t>
      </w:r>
      <w:r>
        <w:rPr>
          <w:b w:val="0"/>
        </w:rPr>
        <w:t xml:space="preserve"> 2026</w:t>
      </w:r>
    </w:p>
    <w:p>
      <w:pPr>
        <w:spacing w:after="0"/>
      </w:pPr>
      <w:r>
        <w:rPr>
          <w:b w:val="0"/>
        </w:rPr>
        <w:t>Kepada Yth.</w:t>
      </w:r>
    </w:p>
    <w:p>
      <w:pPr>
        <w:spacing w:after="0"/>
      </w:pPr>
      <w:r>
        <w:rPr>
          <w:b/>
        </w:rPr>
        <w:t>Petugas Direktorat Jenderal Bea dan Cukai</w:t>
      </w:r>
    </w:p>
    <w:p>
      <w:pPr>
        <w:spacing w:after="0"/>
      </w:pPr>
      <w:r>
        <w:rPr>
          <w:b w:val="0"/>
        </w:rPr>
        <w:t xml:space="preserve">Kantor Pengawasan dan Pelayanan Bea dan Cukai </w:t>
      </w:r>
      <w:r>
        <w:rPr>
          <w:b w:val="0"/>
          <w:highlight w:val="yellow"/>
        </w:rPr>
        <w:t>[Bandara Internasional Soekarno-Hatta / nama bandara keberangkatan]</w:t>
      </w:r>
    </w:p>
    <w:p>
      <w:pPr>
        <w:spacing w:after="200"/>
      </w:pPr>
      <w:r>
        <w:rPr>
          <w:b w:val="0"/>
        </w:rPr>
        <w:t>di tempat</w:t>
      </w:r>
    </w:p>
    <w:p>
      <w:r>
        <w:rPr>
          <w:b w:val="0"/>
        </w:rPr>
        <w:t>Dengan hormat,</w:t>
      </w:r>
    </w:p>
    <w:p>
      <w:pPr>
        <w:jc w:val="both"/>
      </w:pPr>
      <w:r>
        <w:rPr>
          <w:b w:val="0"/>
        </w:rPr>
        <w:t>Dengan ini kami menerangkan bahwa perwakilan PT LAPI Ganesha Utama (LGU) yang identitasnya tercantum di bawah membawa satu unit sampel alat berupa Gas Leak Detector ke Republik Rakyat Tiongkok untuk keperluan evaluasi teknis, pengujian, dan proses sertifikasi ATEX/IECEx melalui perusahaan penerima di Tiongkok.</w:t>
      </w:r>
    </w:p>
    <w:p>
      <w:pPr>
        <w:spacing w:after="40"/>
      </w:pPr>
      <w:r>
        <w:rPr>
          <w:b/>
        </w:rPr>
        <w:t>A. Rincian sampel alat</w:t>
      </w:r>
    </w:p>
    <w:tbl>
      <w:tblPr>
        <w:tblStyle w:val="TableGrid"/>
        <w:tblW w:type="auto" w:w="0"/>
        <w:tblLook w:firstColumn="1" w:firstRow="1" w:lastColumn="0" w:lastRow="0" w:noHBand="0" w:noVBand="1" w:val="04A0"/>
      </w:tblPr>
      <w:tblGrid>
        <w:gridCol w:w="4703"/>
        <w:gridCol w:w="4703"/>
      </w:tblGrid>
      <w:tr>
        <w:tc>
          <w:tcPr>
            <w:tcW w:type="dxa" w:w="2948"/>
          </w:tcPr>
          <w:p>
            <w:pPr>
              <w:spacing w:after="20"/>
            </w:pPr>
            <w:r>
              <w:rPr>
                <w:b/>
                <w:sz w:val="20"/>
              </w:rPr>
              <w:t>Nama barang</w:t>
            </w:r>
          </w:p>
        </w:tc>
        <w:tc>
          <w:tcPr>
            <w:tcW w:type="dxa" w:w="6123"/>
          </w:tcPr>
          <w:p>
            <w:pPr>
              <w:spacing w:after="20"/>
            </w:pPr>
            <w:r>
              <w:rPr>
                <w:sz w:val="20"/>
              </w:rPr>
              <w:t>Gas Leak Detector (detektor kebocoran gas tipe titik), GLD V2</w:t>
            </w:r>
          </w:p>
        </w:tc>
      </w:tr>
      <w:tr>
        <w:tc>
          <w:tcPr>
            <w:tcW w:type="dxa" w:w="2948"/>
          </w:tcPr>
          <w:p>
            <w:pPr>
              <w:spacing w:after="20"/>
            </w:pPr>
            <w:r>
              <w:rPr>
                <w:b/>
                <w:sz w:val="20"/>
              </w:rPr>
              <w:t>Merek / Produsen</w:t>
            </w:r>
          </w:p>
        </w:tc>
        <w:tc>
          <w:tcPr>
            <w:tcW w:type="dxa" w:w="6123"/>
          </w:tcPr>
          <w:p>
            <w:pPr>
              <w:spacing w:after="20"/>
            </w:pPr>
            <w:r>
              <w:rPr>
                <w:sz w:val="20"/>
              </w:rPr>
              <w:t>PT Galaksi Megatama Indonesia, Indonesia</w:t>
            </w:r>
          </w:p>
        </w:tc>
      </w:tr>
      <w:tr>
        <w:tc>
          <w:tcPr>
            <w:tcW w:type="dxa" w:w="2948"/>
          </w:tcPr>
          <w:p>
            <w:pPr>
              <w:spacing w:after="20"/>
            </w:pPr>
            <w:r>
              <w:rPr>
                <w:b/>
                <w:sz w:val="20"/>
              </w:rPr>
              <w:t>Model / Tipe</w:t>
            </w:r>
          </w:p>
        </w:tc>
        <w:tc>
          <w:tcPr>
            <w:tcW w:type="dxa" w:w="6123"/>
          </w:tcPr>
          <w:p>
            <w:pPr>
              <w:spacing w:after="20"/>
            </w:pPr>
            <w:r>
              <w:rPr>
                <w:sz w:val="20"/>
              </w:rPr>
              <w:t>GLD V2</w:t>
            </w:r>
          </w:p>
        </w:tc>
      </w:tr>
      <w:tr>
        <w:tc>
          <w:tcPr>
            <w:tcW w:type="dxa" w:w="2948"/>
          </w:tcPr>
          <w:p>
            <w:pPr>
              <w:spacing w:after="20"/>
            </w:pPr>
            <w:r>
              <w:rPr>
                <w:b/>
                <w:sz w:val="20"/>
              </w:rPr>
              <w:t>Nomor seri</w:t>
            </w:r>
          </w:p>
        </w:tc>
        <w:tc>
          <w:tcPr>
            <w:tcW w:type="dxa" w:w="6123"/>
          </w:tcPr>
          <w:p>
            <w:pPr>
              <w:spacing w:after="20"/>
            </w:pPr>
            <w:r>
              <w:rPr>
                <w:sz w:val="20"/>
              </w:rPr>
              <w:t>GLD2-0x1001</w:t>
            </w:r>
          </w:p>
        </w:tc>
      </w:tr>
      <w:tr>
        <w:tc>
          <w:tcPr>
            <w:tcW w:type="dxa" w:w="2948"/>
          </w:tcPr>
          <w:p>
            <w:pPr>
              <w:spacing w:after="20"/>
            </w:pPr>
            <w:r>
              <w:rPr>
                <w:b/>
                <w:sz w:val="20"/>
              </w:rPr>
              <w:t>Jumlah</w:t>
            </w:r>
          </w:p>
        </w:tc>
        <w:tc>
          <w:tcPr>
            <w:tcW w:type="dxa" w:w="6123"/>
          </w:tcPr>
          <w:p>
            <w:pPr>
              <w:spacing w:after="20"/>
            </w:pPr>
            <w:r>
              <w:rPr>
                <w:sz w:val="20"/>
              </w:rPr>
              <w:t>1 (satu) unit</w:t>
            </w:r>
          </w:p>
        </w:tc>
      </w:tr>
      <w:tr>
        <w:tc>
          <w:tcPr>
            <w:tcW w:type="dxa" w:w="2948"/>
          </w:tcPr>
          <w:p>
            <w:pPr>
              <w:spacing w:after="20"/>
            </w:pPr>
            <w:r>
              <w:rPr>
                <w:b/>
                <w:sz w:val="20"/>
              </w:rPr>
              <w:t>Uraian singkat</w:t>
            </w:r>
          </w:p>
        </w:tc>
        <w:tc>
          <w:tcPr>
            <w:tcW w:type="dxa" w:w="6123"/>
          </w:tcPr>
          <w:p>
            <w:pPr>
              <w:spacing w:after="20"/>
            </w:pPr>
            <w:r>
              <w:rPr>
                <w:sz w:val="20"/>
              </w:rPr>
              <w:t>Alat elektronik pendeteksi gas dalam casing logam (paduan aluminium ADC12), ±200 × 90 × 290 mm, ±2,4 kg, catu daya 24 VDC maks. 8 W, dilengkapi radio LoRa (920–923 MHz). Tidak berisi gas, tabung gas, maupun bahan kimia.</w:t>
            </w:r>
          </w:p>
        </w:tc>
      </w:tr>
      <w:tr>
        <w:tc>
          <w:tcPr>
            <w:tcW w:type="dxa" w:w="2948"/>
          </w:tcPr>
          <w:p>
            <w:pPr>
              <w:spacing w:after="20"/>
            </w:pPr>
            <w:r>
              <w:rPr>
                <w:b/>
                <w:sz w:val="20"/>
              </w:rPr>
              <w:t>Baterai</w:t>
            </w:r>
          </w:p>
        </w:tc>
        <w:tc>
          <w:tcPr>
            <w:tcW w:type="dxa" w:w="6123"/>
          </w:tcPr>
          <w:p>
            <w:pPr>
              <w:spacing w:after="20"/>
            </w:pPr>
            <w:r>
              <w:rPr>
                <w:sz w:val="20"/>
              </w:rPr>
              <w:t xml:space="preserve">Litium-ion, 7 sel 18650 paralel (1S7P, nominal 3,7 V), terpasang di dalam alat (UN 3481, baterai litium-ion dalam peralatan). Kapasitas: </w:t>
            </w:r>
            <w:r>
              <w:rPr>
                <w:sz w:val="20"/>
                <w:highlight w:val="yellow"/>
              </w:rPr>
              <w:t>[… mAh per sel → … Wh total]</w:t>
            </w:r>
            <w:r>
              <w:rPr>
                <w:sz w:val="20"/>
              </w:rPr>
              <w:t xml:space="preserve">. Alat dalam keadaan mati dan terlindung dari hubung singkat serta aktivasi tidak sengaja selama perjalanan. Ringkasan uji UN 38.3: </w:t>
            </w:r>
            <w:r>
              <w:rPr>
                <w:sz w:val="20"/>
                <w:highlight w:val="yellow"/>
              </w:rPr>
              <w:t>[dilampirkan / menyusul]</w:t>
            </w:r>
            <w:r>
              <w:rPr>
                <w:sz w:val="20"/>
              </w:rPr>
              <w:t>.</w:t>
            </w:r>
          </w:p>
        </w:tc>
      </w:tr>
      <w:tr>
        <w:tc>
          <w:tcPr>
            <w:tcW w:type="dxa" w:w="2948"/>
          </w:tcPr>
          <w:p>
            <w:pPr>
              <w:spacing w:after="20"/>
            </w:pPr>
            <w:r>
              <w:rPr>
                <w:b/>
                <w:sz w:val="20"/>
              </w:rPr>
              <w:t>Pos tarif HS (usulan)</w:t>
            </w:r>
          </w:p>
        </w:tc>
        <w:tc>
          <w:tcPr>
            <w:tcW w:type="dxa" w:w="6123"/>
          </w:tcPr>
          <w:p>
            <w:pPr>
              <w:spacing w:after="20"/>
            </w:pPr>
            <w:r>
              <w:rPr>
                <w:sz w:val="20"/>
                <w:highlight w:val="yellow"/>
              </w:rPr>
              <w:t>[9027.10 — dikonfirmasi ke petugas Bea Cukai/PPJK]</w:t>
            </w:r>
          </w:p>
        </w:tc>
      </w:tr>
      <w:tr>
        <w:tc>
          <w:tcPr>
            <w:tcW w:type="dxa" w:w="2948"/>
          </w:tcPr>
          <w:p>
            <w:pPr>
              <w:spacing w:after="20"/>
            </w:pPr>
            <w:r>
              <w:rPr>
                <w:b/>
                <w:sz w:val="20"/>
              </w:rPr>
              <w:t>Pemilik barang</w:t>
            </w:r>
          </w:p>
        </w:tc>
        <w:tc>
          <w:tcPr>
            <w:tcW w:type="dxa" w:w="6123"/>
          </w:tcPr>
          <w:p>
            <w:pPr>
              <w:spacing w:after="20"/>
            </w:pPr>
            <w:r>
              <w:rPr>
                <w:sz w:val="20"/>
              </w:rPr>
              <w:t>PT LAPI Ganesha Utama</w:t>
            </w:r>
          </w:p>
        </w:tc>
      </w:tr>
      <w:tr>
        <w:tc>
          <w:tcPr>
            <w:tcW w:type="dxa" w:w="2948"/>
          </w:tcPr>
          <w:p>
            <w:pPr>
              <w:spacing w:after="20"/>
            </w:pPr>
            <w:r>
              <w:rPr>
                <w:b/>
                <w:sz w:val="20"/>
              </w:rPr>
              <w:t>Nilai pabean</w:t>
            </w:r>
          </w:p>
        </w:tc>
        <w:tc>
          <w:tcPr>
            <w:tcW w:type="dxa" w:w="6123"/>
          </w:tcPr>
          <w:p>
            <w:pPr>
              <w:spacing w:after="20"/>
            </w:pPr>
            <w:r>
              <w:rPr>
                <w:sz w:val="20"/>
                <w:highlight w:val="yellow"/>
              </w:rPr>
              <w:t>[USD … — nilai yang dapat dipertanggungjawabkan, mis. biaya produksi prototipe]</w:t>
            </w:r>
          </w:p>
        </w:tc>
      </w:tr>
      <w:tr>
        <w:tc>
          <w:tcPr>
            <w:tcW w:type="dxa" w:w="2948"/>
          </w:tcPr>
          <w:p>
            <w:pPr>
              <w:spacing w:after="20"/>
            </w:pPr>
            <w:r>
              <w:rPr>
                <w:b/>
                <w:sz w:val="20"/>
              </w:rPr>
              <w:t>Negara tujuan</w:t>
            </w:r>
          </w:p>
        </w:tc>
        <w:tc>
          <w:tcPr>
            <w:tcW w:type="dxa" w:w="6123"/>
          </w:tcPr>
          <w:p>
            <w:pPr>
              <w:spacing w:after="20"/>
            </w:pPr>
            <w:r>
              <w:rPr>
                <w:sz w:val="20"/>
              </w:rPr>
              <w:t>Republik Rakyat Tiongkok</w:t>
            </w:r>
          </w:p>
        </w:tc>
      </w:tr>
      <w:tr>
        <w:tc>
          <w:tcPr>
            <w:tcW w:type="dxa" w:w="2948"/>
          </w:tcPr>
          <w:p>
            <w:pPr>
              <w:spacing w:after="20"/>
            </w:pPr>
            <w:r>
              <w:rPr>
                <w:b/>
                <w:sz w:val="20"/>
              </w:rPr>
              <w:t>Perusahaan penerima</w:t>
            </w:r>
          </w:p>
        </w:tc>
        <w:tc>
          <w:tcPr>
            <w:tcW w:type="dxa" w:w="6123"/>
          </w:tcPr>
          <w:p>
            <w:pPr>
              <w:spacing w:after="20"/>
            </w:pPr>
            <w:r>
              <w:rPr>
                <w:sz w:val="20"/>
              </w:rPr>
              <w:t xml:space="preserve">Shanghai Global Testing Services Co., Ltd., </w:t>
            </w:r>
            <w:r>
              <w:rPr>
                <w:sz w:val="20"/>
                <w:highlight w:val="yellow"/>
              </w:rPr>
              <w:t>[alamat di Shanghai]</w:t>
            </w:r>
          </w:p>
        </w:tc>
      </w:tr>
    </w:tbl>
    <w:p>
      <w:pPr>
        <w:spacing w:after="40"/>
      </w:pPr>
    </w:p>
    <w:p>
      <w:pPr>
        <w:spacing w:after="40"/>
      </w:pPr>
      <w:r>
        <w:rPr>
          <w:b/>
        </w:rPr>
        <w:t>B. Identitas pembawa barang</w:t>
      </w:r>
    </w:p>
    <w:tbl>
      <w:tblPr>
        <w:tblStyle w:val="TableGrid"/>
        <w:tblW w:type="auto" w:w="0"/>
        <w:tblLook w:firstColumn="1" w:firstRow="1" w:lastColumn="0" w:lastRow="0" w:noHBand="0" w:noVBand="1" w:val="04A0"/>
      </w:tblPr>
      <w:tblGrid>
        <w:gridCol w:w="4703"/>
        <w:gridCol w:w="4703"/>
      </w:tblGrid>
      <w:tr>
        <w:tc>
          <w:tcPr>
            <w:tcW w:type="dxa" w:w="2948"/>
          </w:tcPr>
          <w:p>
            <w:pPr>
              <w:spacing w:after="20"/>
            </w:pPr>
            <w:r>
              <w:rPr>
                <w:b/>
                <w:sz w:val="20"/>
              </w:rPr>
              <w:t>Nama</w:t>
            </w:r>
          </w:p>
        </w:tc>
        <w:tc>
          <w:tcPr>
            <w:tcW w:type="dxa" w:w="6123"/>
          </w:tcPr>
          <w:p>
            <w:pPr>
              <w:spacing w:after="20"/>
            </w:pPr>
            <w:r>
              <w:rPr>
                <w:sz w:val="20"/>
                <w:highlight w:val="yellow"/>
              </w:rPr>
              <w:t>[Nama lengkap sesuai paspor]</w:t>
            </w:r>
          </w:p>
        </w:tc>
      </w:tr>
      <w:tr>
        <w:tc>
          <w:tcPr>
            <w:tcW w:type="dxa" w:w="2948"/>
          </w:tcPr>
          <w:p>
            <w:pPr>
              <w:spacing w:after="20"/>
            </w:pPr>
            <w:r>
              <w:rPr>
                <w:b/>
                <w:sz w:val="20"/>
              </w:rPr>
              <w:t>Jabatan</w:t>
            </w:r>
          </w:p>
        </w:tc>
        <w:tc>
          <w:tcPr>
            <w:tcW w:type="dxa" w:w="6123"/>
          </w:tcPr>
          <w:p>
            <w:pPr>
              <w:spacing w:after="20"/>
            </w:pPr>
            <w:r>
              <w:rPr>
                <w:sz w:val="20"/>
                <w:highlight w:val="yellow"/>
              </w:rPr>
              <w:t>[Jabatan di LGU]</w:t>
            </w:r>
          </w:p>
        </w:tc>
      </w:tr>
      <w:tr>
        <w:tc>
          <w:tcPr>
            <w:tcW w:type="dxa" w:w="2948"/>
          </w:tcPr>
          <w:p>
            <w:pPr>
              <w:spacing w:after="20"/>
            </w:pPr>
            <w:r>
              <w:rPr>
                <w:b/>
                <w:sz w:val="20"/>
              </w:rPr>
              <w:t>Nomor paspor</w:t>
            </w:r>
          </w:p>
        </w:tc>
        <w:tc>
          <w:tcPr>
            <w:tcW w:type="dxa" w:w="6123"/>
          </w:tcPr>
          <w:p>
            <w:pPr>
              <w:spacing w:after="20"/>
            </w:pPr>
            <w:r>
              <w:rPr>
                <w:sz w:val="20"/>
                <w:highlight w:val="yellow"/>
              </w:rPr>
              <w:t>[●]</w:t>
            </w:r>
          </w:p>
        </w:tc>
      </w:tr>
      <w:tr>
        <w:tc>
          <w:tcPr>
            <w:tcW w:type="dxa" w:w="2948"/>
          </w:tcPr>
          <w:p>
            <w:pPr>
              <w:spacing w:after="20"/>
            </w:pPr>
            <w:r>
              <w:rPr>
                <w:b/>
                <w:sz w:val="20"/>
              </w:rPr>
              <w:t>Penerbangan / tanggal</w:t>
            </w:r>
          </w:p>
        </w:tc>
        <w:tc>
          <w:tcPr>
            <w:tcW w:type="dxa" w:w="6123"/>
          </w:tcPr>
          <w:p>
            <w:pPr>
              <w:spacing w:after="20"/>
            </w:pPr>
            <w:r>
              <w:rPr>
                <w:sz w:val="20"/>
                <w:highlight w:val="yellow"/>
              </w:rPr>
              <w:t>[Nomor penerbangan · tanggal keberangkatan]</w:t>
            </w:r>
          </w:p>
        </w:tc>
      </w:tr>
    </w:tbl>
    <w:p>
      <w:pPr>
        <w:spacing w:after="40"/>
      </w:pPr>
    </w:p>
    <w:p>
      <w:pPr>
        <w:spacing w:after="40"/>
      </w:pPr>
      <w:r>
        <w:rPr>
          <w:b/>
        </w:rPr>
        <w:t>C. Keterangan</w:t>
      </w:r>
    </w:p>
    <w:p>
      <w:pPr>
        <w:tabs>
          <w:tab w:pos="680" w:val="left"/>
        </w:tabs>
        <w:ind w:left="680" w:hanging="340"/>
        <w:jc w:val="both"/>
      </w:pPr>
      <w:r>
        <w:rPr>
          <w:b w:val="0"/>
        </w:rPr>
        <w:t>1.</w:t>
        <w:tab/>
        <w:t>Sampel alat dibawa bukan untuk tujuan penjualan atau distribusi komersial, melainkan khusus untuk mendukung evaluasi teknis dan sertifikasi ATEX/IECEx. Permohonan sertifikasi diajukan oleh PT Galaksi Megatama Indonesia selaku pemohon dan produsen.</w:t>
      </w:r>
    </w:p>
    <w:p>
      <w:pPr>
        <w:tabs>
          <w:tab w:pos="680" w:val="left"/>
        </w:tabs>
        <w:ind w:left="680" w:hanging="340"/>
        <w:jc w:val="both"/>
      </w:pPr>
      <w:r>
        <w:rPr>
          <w:b w:val="0"/>
        </w:rPr>
        <w:t>2.</w:t>
        <w:tab/>
        <w:t xml:space="preserve">Sampel alat diserahkan kepada perusahaan penerima di Tiongkok dan tetap berada di Tiongkok selama kegiatan pengujian dan proses sertifikasi, dengan mengikuti ketentuan impor, ekspor, dan kepabeanan yang berlaku. </w:t>
      </w:r>
      <w:r>
        <w:rPr>
          <w:b w:val="0"/>
          <w:highlight w:val="yellow"/>
        </w:rPr>
        <w:t>[Pilih salah satu: sampel tidak direncanakan kembali ke Indonesia / sampel direncanakan kembali ke Indonesia setelah pengujian.]</w:t>
      </w:r>
    </w:p>
    <w:p>
      <w:pPr>
        <w:tabs>
          <w:tab w:pos="680" w:val="left"/>
        </w:tabs>
        <w:ind w:left="680" w:hanging="340"/>
        <w:jc w:val="both"/>
      </w:pPr>
      <w:r>
        <w:rPr>
          <w:b w:val="0"/>
        </w:rPr>
        <w:t>3.</w:t>
        <w:tab/>
        <w:t>Kepemilikan alat tetap berada pada PT LAPI Ganesha Utama, kecuali kemudian disepakati lain secara tertulis oleh para pihak.</w:t>
      </w:r>
    </w:p>
    <w:p>
      <w:pPr>
        <w:tabs>
          <w:tab w:pos="680" w:val="left"/>
        </w:tabs>
        <w:ind w:left="680" w:hanging="340"/>
        <w:jc w:val="both"/>
      </w:pPr>
      <w:r>
        <w:rPr>
          <w:b w:val="0"/>
        </w:rPr>
        <w:t>4.</w:t>
        <w:tab/>
        <w:t>Surat ini merupakan keterangan mengenai identitas, kepemilikan, dan tujuan pembawaan sampel alat untuk mendukung pemeriksaan serta konsultasi prosedur kepabeanan. Surat ini bukan pengganti pemberitahuan ekspor, izin, atau dokumen kepabeanan lain yang diwajibkan peraturan yang berlaku; apabila diperlukan, kami siap melengkapi dokumen tersebut.</w:t>
      </w:r>
    </w:p>
    <w:p>
      <w:r>
        <w:rPr>
          <w:b w:val="0"/>
          <w:sz w:val="19"/>
        </w:rPr>
        <w:t xml:space="preserve">Lampiran: (1) foto sampel alat; (2) salinan formulir aplikasi sertifikasi ATEX; (3) salinan paspor pembawa barang; (4) </w:t>
      </w:r>
      <w:r>
        <w:rPr>
          <w:b w:val="0"/>
          <w:sz w:val="19"/>
          <w:highlight w:val="yellow"/>
        </w:rPr>
        <w:t>[ringkasan uji UN 38.3 sel baterai]</w:t>
      </w:r>
      <w:r>
        <w:rPr>
          <w:b w:val="0"/>
          <w:sz w:val="19"/>
        </w:rPr>
        <w:t>.</w:t>
      </w:r>
    </w:p>
    <w:p>
      <w:pPr>
        <w:jc w:val="both"/>
      </w:pPr>
      <w:r>
        <w:rPr>
          <w:b w:val="0"/>
        </w:rPr>
        <w:t>Demikian surat keterangan ini kami buat dengan sebenar-benarnya untuk digunakan sebagaimana mestinya.</w:t>
      </w:r>
    </w:p>
    <w:p>
      <w:pPr>
        <w:spacing w:after="0"/>
      </w:pPr>
      <w:r>
        <w:rPr>
          <w:b w:val="0"/>
        </w:rPr>
        <w:t>Hormat kami,</w:t>
      </w:r>
    </w:p>
    <w:p>
      <w:pPr>
        <w:spacing w:after="800"/>
      </w:pPr>
      <w:r>
        <w:rPr>
          <w:b/>
        </w:rPr>
        <w:t>PT LAPI GANESHA UTAMA</w:t>
      </w:r>
    </w:p>
    <w:p>
      <w:pPr>
        <w:spacing w:after="0"/>
      </w:pPr>
      <w:r>
        <w:rPr>
          <w:b/>
          <w:highlight w:val="yellow"/>
        </w:rPr>
        <w:t>[Nama Pejabat Berwenang]</w:t>
      </w:r>
    </w:p>
    <w:p>
      <w:pPr>
        <w:spacing w:after="0"/>
      </w:pPr>
      <w:r>
        <w:rPr>
          <w:b w:val="0"/>
          <w:highlight w:val="yellow"/>
        </w:rPr>
        <w:t>[Jabatan]</w:t>
      </w:r>
    </w:p>
    <w:p>
      <w:r>
        <w:rPr>
          <w:b w:val="0"/>
          <w:sz w:val="19"/>
          <w:highlight w:val="yellow"/>
        </w:rPr>
        <w:t>[Tanda tangan dan stempel perusahaan]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