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28"/>
        </w:rPr>
        <w:t>PT LAPI GANESHA UTAMA</w:t>
      </w:r>
    </w:p>
    <w:p>
      <w:pPr>
        <w:spacing w:after="0"/>
      </w:pPr>
      <w:r>
        <w:rPr>
          <w:b w:val="0"/>
          <w:sz w:val="19"/>
        </w:rPr>
        <w:t>Jl. Dederuk No. 30, Sadang Serang, Bandung, West Java, Indonesia</w:t>
      </w:r>
    </w:p>
    <w:p>
      <w:pPr>
        <w:spacing w:after="160"/>
      </w:pPr>
      <w:r>
        <w:rPr>
          <w:b w:val="0"/>
          <w:sz w:val="19"/>
        </w:rPr>
        <w:t xml:space="preserve">Telephone: </w:t>
      </w:r>
      <w:r>
        <w:rPr>
          <w:b w:val="0"/>
          <w:sz w:val="19"/>
          <w:highlight w:val="yellow"/>
        </w:rPr>
        <w:t>[●]</w:t>
      </w:r>
      <w:r>
        <w:rPr>
          <w:b w:val="0"/>
          <w:sz w:val="19"/>
        </w:rPr>
        <w:t xml:space="preserve">  ·  E-mail: </w:t>
      </w:r>
      <w:r>
        <w:rPr>
          <w:b w:val="0"/>
          <w:sz w:val="19"/>
          <w:highlight w:val="yellow"/>
        </w:rPr>
        <w:t>[●]</w:t>
      </w:r>
    </w:p>
    <w:p>
      <w:pPr>
        <w:spacing w:after="0"/>
      </w:pPr>
      <w:r>
        <w:rPr>
          <w:b w:val="0"/>
        </w:rPr>
        <w:t xml:space="preserve">Reference No.: </w:t>
      </w:r>
      <w:r>
        <w:rPr>
          <w:b w:val="0"/>
          <w:highlight w:val="yellow"/>
        </w:rPr>
        <w:t>[LGU/…/…/2026]</w:t>
      </w:r>
    </w:p>
    <w:p>
      <w:pPr>
        <w:spacing w:after="200"/>
      </w:pPr>
      <w:r>
        <w:rPr>
          <w:b w:val="0"/>
        </w:rPr>
        <w:t xml:space="preserve">Bandung, </w:t>
      </w:r>
      <w:r>
        <w:rPr>
          <w:b w:val="0"/>
          <w:highlight w:val="yellow"/>
        </w:rPr>
        <w:t>[date of issue]</w:t>
      </w:r>
      <w:r>
        <w:rPr>
          <w:b w:val="0"/>
        </w:rPr>
        <w:t xml:space="preserve"> 2026</w:t>
      </w:r>
    </w:p>
    <w:p>
      <w:pPr>
        <w:spacing w:after="0"/>
      </w:pPr>
      <w:r>
        <w:rPr>
          <w:b w:val="0"/>
        </w:rPr>
        <w:t>To:</w:t>
      </w:r>
    </w:p>
    <w:p>
      <w:pPr>
        <w:spacing w:after="0"/>
      </w:pPr>
      <w:r>
        <w:rPr>
          <w:b/>
        </w:rPr>
        <w:t>Shanghai Global Testing Services Co., Ltd.</w:t>
      </w:r>
    </w:p>
    <w:p>
      <w:pPr>
        <w:spacing w:after="0"/>
      </w:pPr>
      <w:r>
        <w:rPr>
          <w:b w:val="0"/>
          <w:highlight w:val="yellow"/>
        </w:rPr>
        <w:t>[Registered address of GTS in Shanghai]</w:t>
      </w:r>
    </w:p>
    <w:p>
      <w:pPr>
        <w:spacing w:after="200"/>
      </w:pPr>
      <w:r>
        <w:rPr>
          <w:b w:val="0"/>
        </w:rPr>
        <w:t>People’s Republic of China</w:t>
      </w:r>
    </w:p>
    <w:p>
      <w:pPr>
        <w:spacing w:after="160"/>
      </w:pPr>
      <w:r>
        <w:rPr>
          <w:b/>
        </w:rPr>
        <w:t>Subject: Letter of Introduction and Equipment Sample Handover for ATEX Certification Testing and Evaluation</w:t>
      </w:r>
    </w:p>
    <w:p>
      <w:r>
        <w:rPr>
          <w:b w:val="0"/>
        </w:rPr>
        <w:t>Dear Sir/Madam,</w:t>
      </w:r>
    </w:p>
    <w:p>
      <w:pPr>
        <w:jc w:val="both"/>
      </w:pPr>
      <w:r>
        <w:rPr>
          <w:b w:val="0"/>
        </w:rPr>
        <w:t>PT LAPI Ganesha Utama (“LGU”), Indonesia, hereby confirms that its authorised representative named below is carrying the equipment sample described in this letter to the People’s Republic of China for handover to Shanghai Global Testing Services Co., Ltd. (“GTS”).</w:t>
      </w:r>
    </w:p>
    <w:p>
      <w:pPr>
        <w:jc w:val="both"/>
      </w:pPr>
      <w:r>
        <w:rPr>
          <w:b w:val="0"/>
        </w:rPr>
        <w:t>The sample relates to the ATEX/IECEx certification application for the Gas Leak Detector GLD V2 submitted to GTS by PT Galaksi Megatama Indonesia as applicant and manufacturer. The equipment is intended exclusively for technical evaluation, testing, and coordination of the applicable assessment and certification process relating to ATEX/IECEx requirements.</w:t>
      </w:r>
    </w:p>
    <w:p>
      <w:pPr>
        <w:spacing w:after="40"/>
      </w:pPr>
      <w:r>
        <w:rPr>
          <w:b/>
        </w:rPr>
        <w:t>A. Equipment Details</w:t>
      </w:r>
    </w:p>
    <w:tbl>
      <w:tblPr>
        <w:tblStyle w:val="TableGrid"/>
        <w:tblW w:type="auto" w:w="0"/>
        <w:tblLook w:firstColumn="1" w:firstRow="1" w:lastColumn="0" w:lastRow="0" w:noHBand="0" w:noVBand="1" w:val="04A0"/>
      </w:tblPr>
      <w:tblGrid>
        <w:gridCol w:w="4703"/>
        <w:gridCol w:w="4703"/>
      </w:tblGrid>
      <w:tr>
        <w:tc>
          <w:tcPr>
            <w:tcW w:type="dxa" w:w="2948"/>
          </w:tcPr>
          <w:p>
            <w:pPr>
              <w:spacing w:after="20"/>
            </w:pPr>
            <w:r>
              <w:rPr>
                <w:b/>
                <w:sz w:val="20"/>
              </w:rPr>
              <w:t>Equipment name</w:t>
            </w:r>
          </w:p>
        </w:tc>
        <w:tc>
          <w:tcPr>
            <w:tcW w:type="dxa" w:w="6123"/>
          </w:tcPr>
          <w:p>
            <w:pPr>
              <w:spacing w:after="20"/>
            </w:pPr>
            <w:r>
              <w:rPr>
                <w:sz w:val="20"/>
              </w:rPr>
              <w:t>Gas Leak Detector (fixed point-type gas detector), GLD V2</w:t>
            </w:r>
          </w:p>
        </w:tc>
      </w:tr>
      <w:tr>
        <w:tc>
          <w:tcPr>
            <w:tcW w:type="dxa" w:w="2948"/>
          </w:tcPr>
          <w:p>
            <w:pPr>
              <w:spacing w:after="20"/>
            </w:pPr>
            <w:r>
              <w:rPr>
                <w:b/>
                <w:sz w:val="20"/>
              </w:rPr>
              <w:t>Manufacturer</w:t>
            </w:r>
          </w:p>
        </w:tc>
        <w:tc>
          <w:tcPr>
            <w:tcW w:type="dxa" w:w="6123"/>
          </w:tcPr>
          <w:p>
            <w:pPr>
              <w:spacing w:after="20"/>
            </w:pPr>
            <w:r>
              <w:rPr>
                <w:sz w:val="20"/>
              </w:rPr>
              <w:t>PT Galaksi Megatama Indonesia, Indonesia</w:t>
            </w:r>
          </w:p>
        </w:tc>
      </w:tr>
      <w:tr>
        <w:tc>
          <w:tcPr>
            <w:tcW w:type="dxa" w:w="2948"/>
          </w:tcPr>
          <w:p>
            <w:pPr>
              <w:spacing w:after="20"/>
            </w:pPr>
            <w:r>
              <w:rPr>
                <w:b/>
                <w:sz w:val="20"/>
              </w:rPr>
              <w:t>Model / Type</w:t>
            </w:r>
          </w:p>
        </w:tc>
        <w:tc>
          <w:tcPr>
            <w:tcW w:type="dxa" w:w="6123"/>
          </w:tcPr>
          <w:p>
            <w:pPr>
              <w:spacing w:after="20"/>
            </w:pPr>
            <w:r>
              <w:rPr>
                <w:sz w:val="20"/>
              </w:rPr>
              <w:t>GLD V2</w:t>
            </w:r>
          </w:p>
        </w:tc>
      </w:tr>
      <w:tr>
        <w:tc>
          <w:tcPr>
            <w:tcW w:type="dxa" w:w="2948"/>
          </w:tcPr>
          <w:p>
            <w:pPr>
              <w:spacing w:after="20"/>
            </w:pPr>
            <w:r>
              <w:rPr>
                <w:b/>
                <w:sz w:val="20"/>
              </w:rPr>
              <w:t>Serial number</w:t>
            </w:r>
          </w:p>
        </w:tc>
        <w:tc>
          <w:tcPr>
            <w:tcW w:type="dxa" w:w="6123"/>
          </w:tcPr>
          <w:p>
            <w:pPr>
              <w:spacing w:after="20"/>
            </w:pPr>
            <w:r>
              <w:rPr>
                <w:sz w:val="20"/>
              </w:rPr>
              <w:t>GLD2-0x1001</w:t>
            </w:r>
          </w:p>
        </w:tc>
      </w:tr>
      <w:tr>
        <w:tc>
          <w:tcPr>
            <w:tcW w:type="dxa" w:w="2948"/>
          </w:tcPr>
          <w:p>
            <w:pPr>
              <w:spacing w:after="20"/>
            </w:pPr>
            <w:r>
              <w:rPr>
                <w:b/>
                <w:sz w:val="20"/>
              </w:rPr>
              <w:t>Quantity</w:t>
            </w:r>
          </w:p>
        </w:tc>
        <w:tc>
          <w:tcPr>
            <w:tcW w:type="dxa" w:w="6123"/>
          </w:tcPr>
          <w:p>
            <w:pPr>
              <w:spacing w:after="20"/>
            </w:pPr>
            <w:r>
              <w:rPr>
                <w:sz w:val="20"/>
              </w:rPr>
              <w:t>1 (one) unit</w:t>
            </w:r>
          </w:p>
        </w:tc>
      </w:tr>
      <w:tr>
        <w:tc>
          <w:tcPr>
            <w:tcW w:type="dxa" w:w="2948"/>
          </w:tcPr>
          <w:p>
            <w:pPr>
              <w:spacing w:after="20"/>
            </w:pPr>
            <w:r>
              <w:rPr>
                <w:b/>
                <w:sz w:val="20"/>
              </w:rPr>
              <w:t>Country of origin</w:t>
            </w:r>
          </w:p>
        </w:tc>
        <w:tc>
          <w:tcPr>
            <w:tcW w:type="dxa" w:w="6123"/>
          </w:tcPr>
          <w:p>
            <w:pPr>
              <w:spacing w:after="20"/>
            </w:pPr>
            <w:r>
              <w:rPr>
                <w:sz w:val="20"/>
              </w:rPr>
              <w:t>Indonesia</w:t>
            </w:r>
          </w:p>
        </w:tc>
      </w:tr>
      <w:tr>
        <w:tc>
          <w:tcPr>
            <w:tcW w:type="dxa" w:w="2948"/>
          </w:tcPr>
          <w:p>
            <w:pPr>
              <w:spacing w:after="20"/>
            </w:pPr>
            <w:r>
              <w:rPr>
                <w:b/>
                <w:sz w:val="20"/>
              </w:rPr>
              <w:t>Description</w:t>
            </w:r>
          </w:p>
        </w:tc>
        <w:tc>
          <w:tcPr>
            <w:tcW w:type="dxa" w:w="6123"/>
          </w:tcPr>
          <w:p>
            <w:pPr>
              <w:spacing w:after="20"/>
            </w:pPr>
            <w:r>
              <w:rPr>
                <w:sz w:val="20"/>
              </w:rPr>
              <w:t>Electronic gas-sensing instrument in a metal (aluminium alloy ADC12) enclosure, approx. 200 × 90 × 290 mm, approx. 2.4 kg. Supply 24 VDC, max. 8 W. Integrated LoRa radio (920–923 MHz). Contains no gas, gas cylinders or chemical substances.</w:t>
            </w:r>
          </w:p>
        </w:tc>
      </w:tr>
      <w:tr>
        <w:tc>
          <w:tcPr>
            <w:tcW w:type="dxa" w:w="2948"/>
          </w:tcPr>
          <w:p>
            <w:pPr>
              <w:spacing w:after="20"/>
            </w:pPr>
            <w:r>
              <w:rPr>
                <w:b/>
                <w:sz w:val="20"/>
              </w:rPr>
              <w:t>Battery</w:t>
            </w:r>
          </w:p>
        </w:tc>
        <w:tc>
          <w:tcPr>
            <w:tcW w:type="dxa" w:w="6123"/>
          </w:tcPr>
          <w:p>
            <w:pPr>
              <w:spacing w:after="20"/>
            </w:pPr>
            <w:r>
              <w:rPr>
                <w:sz w:val="20"/>
              </w:rPr>
              <w:t xml:space="preserve">Lithium-ion, 7 × 18650 cells in parallel (1S7P, 3.7 V nominal), installed in the equipment (UN 3481, lithium ion batteries contained in equipment). Capacity: </w:t>
            </w:r>
            <w:r>
              <w:rPr>
                <w:sz w:val="20"/>
                <w:highlight w:val="yellow"/>
              </w:rPr>
              <w:t>[… mAh per cell → … Wh total]</w:t>
            </w:r>
            <w:r>
              <w:rPr>
                <w:sz w:val="20"/>
              </w:rPr>
              <w:t xml:space="preserve">. The equipment is switched off and protected against short circuit and accidental activation during transport. UN 38.3 test summary: </w:t>
            </w:r>
            <w:r>
              <w:rPr>
                <w:sz w:val="20"/>
                <w:highlight w:val="yellow"/>
              </w:rPr>
              <w:t>[attached / to be obtained]</w:t>
            </w:r>
            <w:r>
              <w:rPr>
                <w:sz w:val="20"/>
              </w:rPr>
              <w:t>.</w:t>
            </w:r>
          </w:p>
        </w:tc>
      </w:tr>
      <w:tr>
        <w:tc>
          <w:tcPr>
            <w:tcW w:type="dxa" w:w="2948"/>
          </w:tcPr>
          <w:p>
            <w:pPr>
              <w:spacing w:after="20"/>
            </w:pPr>
            <w:r>
              <w:rPr>
                <w:b/>
                <w:sz w:val="20"/>
              </w:rPr>
              <w:t>HS code (proposed)</w:t>
            </w:r>
          </w:p>
        </w:tc>
        <w:tc>
          <w:tcPr>
            <w:tcW w:type="dxa" w:w="6123"/>
          </w:tcPr>
          <w:p>
            <w:pPr>
              <w:spacing w:after="20"/>
            </w:pPr>
            <w:r>
              <w:rPr>
                <w:sz w:val="20"/>
                <w:highlight w:val="yellow"/>
              </w:rPr>
              <w:t>[9027.10 — to be confirmed with customs/forwarder]</w:t>
            </w:r>
          </w:p>
        </w:tc>
      </w:tr>
      <w:tr>
        <w:tc>
          <w:tcPr>
            <w:tcW w:type="dxa" w:w="2948"/>
          </w:tcPr>
          <w:p>
            <w:pPr>
              <w:spacing w:after="20"/>
            </w:pPr>
            <w:r>
              <w:rPr>
                <w:b/>
                <w:sz w:val="20"/>
              </w:rPr>
              <w:t>Declared customs value</w:t>
            </w:r>
          </w:p>
        </w:tc>
        <w:tc>
          <w:tcPr>
            <w:tcW w:type="dxa" w:w="6123"/>
          </w:tcPr>
          <w:p>
            <w:pPr>
              <w:spacing w:after="20"/>
            </w:pPr>
            <w:r>
              <w:rPr>
                <w:sz w:val="20"/>
                <w:highlight w:val="yellow"/>
              </w:rPr>
              <w:t>[USD … — value that can be justified, e.g. production cost of the prototype]</w:t>
            </w:r>
          </w:p>
        </w:tc>
      </w:tr>
      <w:tr>
        <w:tc>
          <w:tcPr>
            <w:tcW w:type="dxa" w:w="2948"/>
          </w:tcPr>
          <w:p>
            <w:pPr>
              <w:spacing w:after="20"/>
            </w:pPr>
            <w:r>
              <w:rPr>
                <w:b/>
                <w:sz w:val="20"/>
              </w:rPr>
              <w:t>Receiving company</w:t>
            </w:r>
          </w:p>
        </w:tc>
        <w:tc>
          <w:tcPr>
            <w:tcW w:type="dxa" w:w="6123"/>
          </w:tcPr>
          <w:p>
            <w:pPr>
              <w:spacing w:after="20"/>
            </w:pPr>
            <w:r>
              <w:rPr>
                <w:sz w:val="20"/>
              </w:rPr>
              <w:t>Shanghai Global Testing Services Co., Ltd.</w:t>
            </w:r>
          </w:p>
        </w:tc>
      </w:tr>
      <w:tr>
        <w:tc>
          <w:tcPr>
            <w:tcW w:type="dxa" w:w="2948"/>
          </w:tcPr>
          <w:p>
            <w:pPr>
              <w:spacing w:after="20"/>
            </w:pPr>
            <w:r>
              <w:rPr>
                <w:b/>
                <w:sz w:val="20"/>
              </w:rPr>
              <w:t>Contact person at GTS</w:t>
            </w:r>
          </w:p>
        </w:tc>
        <w:tc>
          <w:tcPr>
            <w:tcW w:type="dxa" w:w="6123"/>
          </w:tcPr>
          <w:p>
            <w:pPr>
              <w:spacing w:after="20"/>
            </w:pPr>
            <w:r>
              <w:rPr>
                <w:sz w:val="20"/>
                <w:highlight w:val="yellow"/>
              </w:rPr>
              <w:t>[Name, telephone, e-mail]</w:t>
            </w:r>
          </w:p>
        </w:tc>
      </w:tr>
    </w:tbl>
    <w:p>
      <w:pPr>
        <w:spacing w:after="40"/>
      </w:pPr>
    </w:p>
    <w:p>
      <w:pPr>
        <w:spacing w:after="40"/>
      </w:pPr>
      <w:r>
        <w:rPr>
          <w:b/>
        </w:rPr>
        <w:t>B. Authorised Representative Carrying the Sample</w:t>
      </w:r>
    </w:p>
    <w:tbl>
      <w:tblPr>
        <w:tblStyle w:val="TableGrid"/>
        <w:tblW w:type="auto" w:w="0"/>
        <w:tblLook w:firstColumn="1" w:firstRow="1" w:lastColumn="0" w:lastRow="0" w:noHBand="0" w:noVBand="1" w:val="04A0"/>
      </w:tblPr>
      <w:tblGrid>
        <w:gridCol w:w="4703"/>
        <w:gridCol w:w="4703"/>
      </w:tblGrid>
      <w:tr>
        <w:tc>
          <w:tcPr>
            <w:tcW w:type="dxa" w:w="2948"/>
          </w:tcPr>
          <w:p>
            <w:pPr>
              <w:spacing w:after="20"/>
            </w:pPr>
            <w:r>
              <w:rPr>
                <w:b/>
                <w:sz w:val="20"/>
              </w:rPr>
              <w:t>Name</w:t>
            </w:r>
          </w:p>
        </w:tc>
        <w:tc>
          <w:tcPr>
            <w:tcW w:type="dxa" w:w="6123"/>
          </w:tcPr>
          <w:p>
            <w:pPr>
              <w:spacing w:after="20"/>
            </w:pPr>
            <w:r>
              <w:rPr>
                <w:sz w:val="20"/>
                <w:highlight w:val="yellow"/>
              </w:rPr>
              <w:t>[Full name as in passport]</w:t>
            </w:r>
          </w:p>
        </w:tc>
      </w:tr>
      <w:tr>
        <w:tc>
          <w:tcPr>
            <w:tcW w:type="dxa" w:w="2948"/>
          </w:tcPr>
          <w:p>
            <w:pPr>
              <w:spacing w:after="20"/>
            </w:pPr>
            <w:r>
              <w:rPr>
                <w:b/>
                <w:sz w:val="20"/>
              </w:rPr>
              <w:t>Position</w:t>
            </w:r>
          </w:p>
        </w:tc>
        <w:tc>
          <w:tcPr>
            <w:tcW w:type="dxa" w:w="6123"/>
          </w:tcPr>
          <w:p>
            <w:pPr>
              <w:spacing w:after="20"/>
            </w:pPr>
            <w:r>
              <w:rPr>
                <w:sz w:val="20"/>
                <w:highlight w:val="yellow"/>
              </w:rPr>
              <w:t>[Position at LGU]</w:t>
            </w:r>
          </w:p>
        </w:tc>
      </w:tr>
      <w:tr>
        <w:tc>
          <w:tcPr>
            <w:tcW w:type="dxa" w:w="2948"/>
          </w:tcPr>
          <w:p>
            <w:pPr>
              <w:spacing w:after="20"/>
            </w:pPr>
            <w:r>
              <w:rPr>
                <w:b/>
                <w:sz w:val="20"/>
              </w:rPr>
              <w:t>Passport number</w:t>
            </w:r>
          </w:p>
        </w:tc>
        <w:tc>
          <w:tcPr>
            <w:tcW w:type="dxa" w:w="6123"/>
          </w:tcPr>
          <w:p>
            <w:pPr>
              <w:spacing w:after="20"/>
            </w:pPr>
            <w:r>
              <w:rPr>
                <w:sz w:val="20"/>
                <w:highlight w:val="yellow"/>
              </w:rPr>
              <w:t>[●]</w:t>
            </w:r>
          </w:p>
        </w:tc>
      </w:tr>
      <w:tr>
        <w:tc>
          <w:tcPr>
            <w:tcW w:type="dxa" w:w="2948"/>
          </w:tcPr>
          <w:p>
            <w:pPr>
              <w:spacing w:after="20"/>
            </w:pPr>
            <w:r>
              <w:rPr>
                <w:b/>
                <w:sz w:val="20"/>
              </w:rPr>
              <w:t>Flight / travel date</w:t>
            </w:r>
          </w:p>
        </w:tc>
        <w:tc>
          <w:tcPr>
            <w:tcW w:type="dxa" w:w="6123"/>
          </w:tcPr>
          <w:p>
            <w:pPr>
              <w:spacing w:after="20"/>
            </w:pPr>
            <w:r>
              <w:rPr>
                <w:sz w:val="20"/>
                <w:highlight w:val="yellow"/>
              </w:rPr>
              <w:t>[Flight no. · departure date · arrival airport]</w:t>
            </w:r>
          </w:p>
        </w:tc>
      </w:tr>
    </w:tbl>
    <w:p>
      <w:pPr>
        <w:spacing w:after="40"/>
      </w:pPr>
    </w:p>
    <w:p>
      <w:pPr>
        <w:spacing w:after="40"/>
      </w:pPr>
      <w:r>
        <w:rPr>
          <w:b/>
        </w:rPr>
        <w:t>C. Purpose and Conditions of Handover</w:t>
      </w:r>
    </w:p>
    <w:p>
      <w:pPr>
        <w:tabs>
          <w:tab w:pos="680" w:val="left"/>
        </w:tabs>
        <w:ind w:left="680" w:hanging="340"/>
        <w:jc w:val="both"/>
      </w:pPr>
      <w:r>
        <w:rPr>
          <w:b w:val="0"/>
        </w:rPr>
        <w:t>1.</w:t>
        <w:tab/>
        <w:t>The equipment is provided solely for technical evaluation, testing, and activities associated with the ATEX/IECEx certification process.</w:t>
      </w:r>
    </w:p>
    <w:p>
      <w:pPr>
        <w:tabs>
          <w:tab w:pos="680" w:val="left"/>
        </w:tabs>
        <w:ind w:left="680" w:hanging="340"/>
        <w:jc w:val="both"/>
      </w:pPr>
      <w:r>
        <w:rPr>
          <w:b w:val="0"/>
        </w:rPr>
        <w:t>2.</w:t>
        <w:tab/>
        <w:t>The equipment is not being transferred pursuant to a commercial sale. Its declared customs value is stated for customs purposes only and does not represent a sale price.</w:t>
      </w:r>
    </w:p>
    <w:p>
      <w:pPr>
        <w:tabs>
          <w:tab w:pos="680" w:val="left"/>
        </w:tabs>
        <w:ind w:left="680" w:hanging="340"/>
        <w:jc w:val="both"/>
      </w:pPr>
      <w:r>
        <w:rPr>
          <w:b w:val="0"/>
        </w:rPr>
        <w:t>3.</w:t>
        <w:tab/>
        <w:t>The equipment is intended to remain in China for the duration of the agreed testing and certification activities, subject to applicable import, customs, and regulatory requirements.</w:t>
      </w:r>
    </w:p>
    <w:p>
      <w:pPr>
        <w:tabs>
          <w:tab w:pos="680" w:val="left"/>
        </w:tabs>
        <w:ind w:left="680" w:hanging="340"/>
        <w:jc w:val="both"/>
      </w:pPr>
      <w:r>
        <w:rPr>
          <w:b w:val="0"/>
        </w:rPr>
        <w:t>4.</w:t>
        <w:tab/>
        <w:t>Ownership of the equipment remains with PT LAPI Ganesha Utama unless otherwise agreed in writing by the parties. The certification application itself is held by PT Galaksi Megatama Indonesia.</w:t>
      </w:r>
    </w:p>
    <w:p>
      <w:pPr>
        <w:tabs>
          <w:tab w:pos="680" w:val="left"/>
        </w:tabs>
        <w:ind w:left="680" w:hanging="340"/>
        <w:jc w:val="both"/>
      </w:pPr>
      <w:r>
        <w:rPr>
          <w:b w:val="0"/>
        </w:rPr>
        <w:t>5.</w:t>
        <w:tab/>
        <w:t>The receiving company is authorised to receive the equipment and to coordinate the relevant technical testing, evaluation, and certification activities with the applicable laboratory or certification body.</w:t>
      </w:r>
    </w:p>
    <w:p>
      <w:pPr>
        <w:tabs>
          <w:tab w:pos="680" w:val="left"/>
        </w:tabs>
        <w:ind w:left="680" w:hanging="340"/>
        <w:jc w:val="both"/>
      </w:pPr>
      <w:r>
        <w:rPr>
          <w:b w:val="0"/>
        </w:rPr>
        <w:t>6.</w:t>
        <w:tab/>
        <w:t xml:space="preserve">Any destructive testing, material alteration, disposal, transfer to another party, or other disposition of the equipment shall be subject to prior written agreement between LGU and the receiving company. </w:t>
      </w:r>
      <w:r>
        <w:rPr>
          <w:b w:val="0"/>
          <w:highlight w:val="yellow"/>
        </w:rPr>
        <w:t>[Optional: state whether the sample is to be returned to LGU after testing.]</w:t>
      </w:r>
    </w:p>
    <w:p>
      <w:pPr>
        <w:tabs>
          <w:tab w:pos="680" w:val="left"/>
        </w:tabs>
        <w:ind w:left="680" w:hanging="340"/>
        <w:jc w:val="both"/>
      </w:pPr>
      <w:r>
        <w:rPr>
          <w:b w:val="0"/>
        </w:rPr>
        <w:t>7.</w:t>
        <w:tab/>
        <w:t>The receiving company shall coordinate the applicable import and customs procedures in China, including any requirement relating to the integrated radio module, and ensure that the equipment is handled in accordance with applicable laws and regulations.</w:t>
      </w:r>
    </w:p>
    <w:p>
      <w:pPr>
        <w:jc w:val="both"/>
      </w:pPr>
      <w:r>
        <w:rPr>
          <w:b w:val="0"/>
        </w:rPr>
        <w:t>This letter is issued to confirm the purpose and intended handling of the equipment sample and to support the relevant technical and customs documentation. Should further information be required, please contact the undersigned.</w:t>
      </w:r>
    </w:p>
    <w:p>
      <w:r>
        <w:rPr>
          <w:b w:val="0"/>
          <w:sz w:val="19"/>
        </w:rPr>
        <w:t xml:space="preserve">Enclosures: (1) photographs of the sample; (2) copy of the ATEX application form; (3) </w:t>
      </w:r>
      <w:r>
        <w:rPr>
          <w:b w:val="0"/>
          <w:sz w:val="19"/>
          <w:highlight w:val="yellow"/>
        </w:rPr>
        <w:t>[copy of the representative’s passport]</w:t>
      </w:r>
      <w:r>
        <w:rPr>
          <w:b w:val="0"/>
          <w:sz w:val="19"/>
        </w:rPr>
        <w:t xml:space="preserve">; (4) </w:t>
      </w:r>
      <w:r>
        <w:rPr>
          <w:b w:val="0"/>
          <w:sz w:val="19"/>
          <w:highlight w:val="yellow"/>
        </w:rPr>
        <w:t>[UN 38.3 test summary of the battery cells]</w:t>
      </w:r>
      <w:r>
        <w:rPr>
          <w:b w:val="0"/>
          <w:sz w:val="19"/>
        </w:rPr>
        <w:t>.</w:t>
      </w:r>
    </w:p>
    <w:p>
      <w:pPr>
        <w:spacing w:after="0"/>
      </w:pPr>
      <w:r>
        <w:rPr>
          <w:b w:val="0"/>
        </w:rPr>
        <w:t>Yours faithfully,</w:t>
      </w:r>
    </w:p>
    <w:p>
      <w:pPr>
        <w:spacing w:after="800"/>
      </w:pPr>
      <w:r>
        <w:rPr>
          <w:b/>
        </w:rPr>
        <w:t>PT LAPI GANESHA UTAMA</w:t>
      </w:r>
    </w:p>
    <w:p>
      <w:pPr>
        <w:spacing w:after="0"/>
      </w:pPr>
      <w:r>
        <w:rPr>
          <w:b/>
          <w:highlight w:val="yellow"/>
        </w:rPr>
        <w:t>[Name of Authorised Signatory]</w:t>
      </w:r>
    </w:p>
    <w:p>
      <w:pPr>
        <w:spacing w:after="0"/>
      </w:pPr>
      <w:r>
        <w:rPr>
          <w:b w:val="0"/>
          <w:highlight w:val="yellow"/>
        </w:rPr>
        <w:t>[Position]</w:t>
      </w:r>
    </w:p>
    <w:p>
      <w:r>
        <w:rPr>
          <w:b w:val="0"/>
          <w:sz w:val="19"/>
          <w:highlight w:val="yellow"/>
        </w:rPr>
        <w:t>[Signature and company stamp]</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