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LAPI GANESHA UTAMA</w:t>
            </w:r>
          </w:p>
          <w:p>
            <w:pPr>
              <w:spacing w:after="60"/>
            </w:pPr>
            <w:r>
              <w:rPr>
                <w:color w:val="C7D2E0"/>
                <w:sz w:val="19"/>
              </w:rPr>
              <w:t>In technical partnership with the Institute of Technology Bandung</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LGU/GLD/IECEX-TDF/2026-001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0.2</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17 September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Manufacturer</w:t>
            </w:r>
          </w:p>
        </w:tc>
        <w:tc>
          <w:tcPr>
            <w:tcW w:type="dxa" w:w="6480"/>
          </w:tcPr>
          <w:p>
            <w:pPr>
              <w:spacing w:after="40"/>
            </w:pPr>
            <w:r>
              <w:rPr>
                <w:sz w:val="20"/>
              </w:rPr>
              <w:t>PT LAPI Ganesha Utama</w:t>
            </w:r>
          </w:p>
        </w:tc>
      </w:tr>
      <w:tr>
        <w:tc>
          <w:tcPr>
            <w:tcW w:type="dxa" w:w="2880"/>
            <w:shd w:val="clear" w:color="auto" w:fill="EFEFEF"/>
          </w:tcPr>
          <w:p>
            <w:pPr>
              <w:spacing w:after="40"/>
            </w:pPr>
            <w:r>
              <w:rPr>
                <w:b/>
                <w:color w:val="4A4A4A"/>
                <w:sz w:val="19"/>
              </w:rPr>
              <w:t>Technical partner</w:t>
            </w:r>
          </w:p>
        </w:tc>
        <w:tc>
          <w:tcPr>
            <w:tcW w:type="dxa" w:w="6480"/>
          </w:tcPr>
          <w:p>
            <w:pPr>
              <w:spacing w:after="40"/>
            </w:pPr>
            <w:r>
              <w:rPr>
                <w:sz w:val="20"/>
              </w:rPr>
              <w:t>Institute of Technology Bandung</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bl>
    <w:p>
      <w:r>
        <w:br w:type="page"/>
      </w:r>
    </w:p>
    <w:p>
      <w:pPr>
        <w:spacing w:after="80"/>
      </w:pPr>
      <w:r>
        <w:rPr>
          <w:b/>
          <w:i w:val="0"/>
          <w:color w:val="1A2B3D"/>
          <w:sz w:val="24"/>
        </w:rPr>
        <w:t>Table of Contents</w:t>
      </w:r>
    </w:p>
    <w:p>
      <w:r>
        <w:fldChar w:fldCharType="begin"/>
        <w:instrText xml:space="preserve">TOC \o "1-3" \h \z \u</w:instrText>
      </w:r>
      <w:r>
        <w:fldChar w:fldCharType="separate"/>
      </w:r>
      <w:r>
        <w:t>Right-click and choose Update Field to generate the table of contents.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and is not yet in the authors' possession; items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B02A37"/>
                <w:sz w:val="19"/>
              </w:rPr>
              <w:t>Template not yet received</w:t>
            </w:r>
          </w:p>
        </w:tc>
        <w:tc>
          <w:tcPr>
            <w:tcW w:type="dxa" w:w="2880"/>
          </w:tcPr>
          <w:p>
            <w:pPr>
              <w:spacing w:after="40"/>
            </w:pPr>
            <w:r>
              <w:rPr>
                <w:sz w:val="19"/>
              </w:rPr>
              <w:t>Issued by the ExCB</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02A37"/>
                <w:sz w:val="19"/>
              </w:rPr>
              <w:t>To be provided</w:t>
            </w:r>
          </w:p>
        </w:tc>
        <w:tc>
          <w:tcPr>
            <w:tcW w:type="dxa" w:w="2880"/>
          </w:tcPr>
          <w:p>
            <w:pPr>
              <w:spacing w:after="40"/>
            </w:pPr>
            <w:r>
              <w:rPr>
                <w:sz w:val="19"/>
              </w:rPr>
              <w:t>Manufacturer — legal/administration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02A37"/>
                <w:sz w:val="19"/>
              </w:rPr>
              <w:t>To be provided</w:t>
            </w:r>
          </w:p>
        </w:tc>
        <w:tc>
          <w:tcPr>
            <w:tcW w:type="dxa" w:w="2880"/>
          </w:tcPr>
          <w:p>
            <w:pPr>
              <w:spacing w:after="40"/>
            </w:pPr>
            <w:r>
              <w:rPr>
                <w:sz w:val="19"/>
              </w:rPr>
              <w:t>Manufacturer — management</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 + external casing partner</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02A37"/>
                <w:sz w:val="19"/>
              </w:rPr>
              <w:t>To be confirmed</w:t>
            </w:r>
          </w:p>
        </w:tc>
        <w:tc>
          <w:tcPr>
            <w:tcW w:type="dxa" w:w="2880"/>
          </w:tcPr>
          <w:p>
            <w:pPr>
              <w:spacing w:after="40"/>
            </w:pPr>
            <w:r>
              <w:rPr>
                <w:sz w:val="19"/>
              </w:rPr>
              <w:t>Manufacturer — quality function</w:t>
            </w:r>
          </w:p>
        </w:tc>
      </w:tr>
    </w:tbl>
    <w:p>
      <w:pPr>
        <w:spacing w:after="40"/>
      </w:pPr>
    </w:p>
    <w:p>
      <w:pPr>
        <w:pStyle w:val="Heading2"/>
      </w:pPr>
      <w:r>
        <w:t>1.1 · Application Form</w:t>
      </w:r>
    </w:p>
    <w:p>
      <w:pPr>
        <w:spacing w:after="160"/>
      </w:pPr>
      <w:r>
        <w:rPr>
          <w:b w:val="0"/>
          <w:i w:val="0"/>
          <w:sz w:val="21"/>
        </w:rP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LAPI Ganesha Utama</w:t>
            </w:r>
          </w:p>
        </w:tc>
        <w:tc>
          <w:tcPr>
            <w:tcW w:type="dxa" w:w="2160"/>
          </w:tcPr>
          <w:p>
            <w:pPr>
              <w:spacing w:after="40"/>
            </w:pPr>
            <w:r>
              <w:rPr>
                <w:b/>
                <w:color w:val="149174"/>
                <w:sz w:val="19"/>
              </w:rPr>
              <w:t>Confirmed</w:t>
            </w:r>
          </w:p>
        </w:tc>
        <w:tc>
          <w:tcPr>
            <w:tcW w:type="dxa" w:w="2304"/>
          </w:tcPr>
          <w:p>
            <w:pPr>
              <w:spacing w:after="40"/>
            </w:pPr>
            <w:r>
              <w:rPr>
                <w:sz w:val="19"/>
              </w:rPr>
            </w:r>
          </w:p>
        </w:tc>
      </w:tr>
      <w:tr>
        <w:trPr>
          <w:cantSplit/>
        </w:trPr>
        <w:tc>
          <w:tcPr>
            <w:tcW w:type="dxa" w:w="2160"/>
          </w:tcPr>
          <w:p>
            <w:pPr>
              <w:spacing w:after="40"/>
            </w:pPr>
            <w:r>
              <w:rPr>
                <w:b/>
                <w:sz w:val="19"/>
              </w:rPr>
              <w:t>Technical development partner</w:t>
            </w:r>
          </w:p>
        </w:tc>
        <w:tc>
          <w:tcPr>
            <w:tcW w:type="dxa" w:w="2736"/>
          </w:tcPr>
          <w:p>
            <w:pPr>
              <w:spacing w:after="40"/>
            </w:pPr>
            <w:r>
              <w:rPr>
                <w:sz w:val="19"/>
              </w:rPr>
              <w:t>Institute of Technology Bandung — IoT Laboratory &amp; Physics Laboratory</w:t>
            </w:r>
          </w:p>
        </w:tc>
        <w:tc>
          <w:tcPr>
            <w:tcW w:type="dxa" w:w="2160"/>
          </w:tcPr>
          <w:p>
            <w:pPr>
              <w:spacing w:after="40"/>
            </w:pPr>
            <w:r>
              <w:rPr>
                <w:b/>
                <w:color w:val="149174"/>
                <w:sz w:val="19"/>
              </w:rPr>
              <w:t>Confirmed</w:t>
            </w:r>
          </w:p>
        </w:tc>
        <w:tc>
          <w:tcPr>
            <w:tcW w:type="dxa" w:w="2304"/>
          </w:tcPr>
          <w:p>
            <w:pPr>
              <w:spacing w:after="40"/>
            </w:pPr>
            <w:r>
              <w:rPr>
                <w:sz w:val="19"/>
              </w:rPr>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Not yet selected — Ex d, Ex e, and Ex i under evaluation</w:t>
            </w:r>
          </w:p>
        </w:tc>
        <w:tc>
          <w:tcPr>
            <w:tcW w:type="dxa" w:w="2160"/>
          </w:tcPr>
          <w:p>
            <w:pPr>
              <w:spacing w:after="40"/>
            </w:pPr>
            <w:r>
              <w:rPr>
                <w:b/>
                <w:color w:val="B02A37"/>
                <w:sz w:val="19"/>
              </w:rPr>
              <w:t>Open</w:t>
            </w:r>
          </w:p>
        </w:tc>
        <w:tc>
          <w:tcPr>
            <w:tcW w:type="dxa" w:w="2304"/>
          </w:tcPr>
          <w:p>
            <w:pPr>
              <w:spacing w:after="40"/>
            </w:pPr>
            <w:r>
              <w:rPr>
                <w:sz w:val="19"/>
              </w:rPr>
              <w:t>Section 2.6.e</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the standard corresponding to the type of protection once selected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LAPI Ganesha Utama.</w:t>
            </w:r>
          </w:p>
        </w:tc>
      </w:tr>
      <w:tr>
        <w:trPr>
          <w:cantSplit/>
        </w:trPr>
        <w:tc>
          <w:tcPr>
            <w:tcW w:type="dxa" w:w="3024"/>
          </w:tcPr>
          <w:p>
            <w:pPr>
              <w:spacing w:after="40"/>
            </w:pPr>
            <w:r>
              <w:rPr>
                <w:b/>
                <w:sz w:val="19"/>
              </w:rPr>
              <w:t>Legal form and shareholding status</w:t>
            </w:r>
          </w:p>
        </w:tc>
        <w:tc>
          <w:tcPr>
            <w:tcW w:type="dxa" w:w="1872"/>
          </w:tcPr>
          <w:p>
            <w:pPr>
              <w:spacing w:after="40"/>
            </w:pPr>
            <w:r>
              <w:rPr>
                <w:b/>
                <w:color w:val="B02A37"/>
                <w:sz w:val="19"/>
              </w:rPr>
              <w:t>To be provided</w:t>
            </w:r>
          </w:p>
        </w:tc>
        <w:tc>
          <w:tcPr>
            <w:tcW w:type="dxa" w:w="4464"/>
          </w:tcPr>
          <w:p>
            <w:pPr>
              <w:spacing w:after="40"/>
            </w:pPr>
            <w:r>
              <w:rPr>
                <w:sz w:val="19"/>
              </w:rPr>
              <w:t>As stated in the deed of establishment.</w:t>
            </w:r>
          </w:p>
        </w:tc>
      </w:tr>
      <w:tr>
        <w:trPr>
          <w:cantSplit/>
        </w:trPr>
        <w:tc>
          <w:tcPr>
            <w:tcW w:type="dxa" w:w="3024"/>
          </w:tcPr>
          <w:p>
            <w:pPr>
              <w:spacing w:after="40"/>
            </w:pPr>
            <w:r>
              <w:rPr>
                <w:b/>
                <w:sz w:val="19"/>
              </w:rPr>
              <w:t>Business registration number</w:t>
            </w:r>
          </w:p>
        </w:tc>
        <w:tc>
          <w:tcPr>
            <w:tcW w:type="dxa" w:w="1872"/>
          </w:tcPr>
          <w:p>
            <w:pPr>
              <w:spacing w:after="40"/>
            </w:pPr>
            <w:r>
              <w:rPr>
                <w:b/>
                <w:color w:val="B02A37"/>
                <w:sz w:val="19"/>
              </w:rPr>
              <w:t>To be provided</w:t>
            </w:r>
          </w:p>
        </w:tc>
        <w:tc>
          <w:tcPr>
            <w:tcW w:type="dxa" w:w="4464"/>
          </w:tcPr>
          <w:p>
            <w:pPr>
              <w:spacing w:after="40"/>
            </w:pPr>
            <w:r>
              <w:rPr>
                <w:sz w:val="19"/>
              </w:rPr>
              <w:t>Business identification number issued under Indonesian company registration.</w:t>
            </w:r>
          </w:p>
        </w:tc>
      </w:tr>
      <w:tr>
        <w:trPr>
          <w:cantSplit/>
        </w:trPr>
        <w:tc>
          <w:tcPr>
            <w:tcW w:type="dxa" w:w="3024"/>
          </w:tcPr>
          <w:p>
            <w:pPr>
              <w:spacing w:after="40"/>
            </w:pPr>
            <w:r>
              <w:rPr>
                <w:b/>
                <w:sz w:val="19"/>
              </w:rPr>
              <w:t>Taxpayer identification number</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02A37"/>
                <w:sz w:val="19"/>
              </w:rPr>
              <w:t>To be provided</w:t>
            </w:r>
          </w:p>
        </w:tc>
        <w:tc>
          <w:tcPr>
            <w:tcW w:type="dxa" w:w="4464"/>
          </w:tcPr>
          <w:p>
            <w:pPr>
              <w:spacing w:after="40"/>
            </w:pPr>
            <w:r>
              <w:rPr>
                <w:sz w:val="19"/>
              </w:rPr>
              <w:t>Including the ministerial approval/registration record.</w:t>
            </w:r>
          </w:p>
        </w:tc>
      </w:tr>
      <w:tr>
        <w:trPr>
          <w:cantSplit/>
        </w:trPr>
        <w:tc>
          <w:tcPr>
            <w:tcW w:type="dxa" w:w="3024"/>
          </w:tcPr>
          <w:p>
            <w:pPr>
              <w:spacing w:after="40"/>
            </w:pPr>
            <w:r>
              <w:rPr>
                <w:b/>
                <w:sz w:val="19"/>
              </w:rPr>
              <w:t>Registered (domicile) address</w:t>
            </w:r>
          </w:p>
        </w:tc>
        <w:tc>
          <w:tcPr>
            <w:tcW w:type="dxa" w:w="1872"/>
          </w:tcPr>
          <w:p>
            <w:pPr>
              <w:spacing w:after="40"/>
            </w:pPr>
            <w:r>
              <w:rPr>
                <w:b/>
                <w:color w:val="B02A37"/>
                <w:sz w:val="19"/>
              </w:rPr>
              <w:t>To be provided</w:t>
            </w:r>
          </w:p>
        </w:tc>
        <w:tc>
          <w:tcPr>
            <w:tcW w:type="dxa" w:w="4464"/>
          </w:tcPr>
          <w:p>
            <w:pPr>
              <w:spacing w:after="40"/>
            </w:pPr>
            <w:r>
              <w:rPr>
                <w:sz w:val="19"/>
              </w:rPr>
              <w:t>Registered address as it appears on the certificate; required even where it differs from the manufacturing address in 1.4.</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02A37"/>
                <w:sz w:val="19"/>
              </w:rPr>
              <w:t>To be provided</w:t>
            </w:r>
          </w:p>
        </w:tc>
        <w:tc>
          <w:tcPr>
            <w:tcW w:type="dxa" w:w="4464"/>
          </w:tcPr>
          <w:p>
            <w:pPr>
              <w:spacing w:after="40"/>
            </w:pPr>
            <w:r>
              <w:rPr>
                <w:sz w:val="19"/>
              </w:rPr>
              <w:t>The registered activity classification should be consistent with manufacture of the equipment being certified.</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B02A37"/>
                <w:sz w:val="19"/>
              </w:rPr>
              <w:t>To be provided</w:t>
            </w:r>
          </w:p>
        </w:tc>
        <w:tc>
          <w:tcPr>
            <w:tcW w:type="dxa" w:w="4464"/>
          </w:tcPr>
          <w:p>
            <w:pPr>
              <w:spacing w:after="40"/>
            </w:pPr>
            <w:r>
              <w:rPr>
                <w:sz w:val="19"/>
              </w:rPr>
              <w:t>Certification bodies commonly accept a scanned copy; some require a translation or a notarized copy. To be confirmed with the ExCB.</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02A37"/>
                <w:sz w:val="19"/>
              </w:rPr>
              <w:t>To be provided</w:t>
            </w:r>
          </w:p>
        </w:tc>
        <w:tc>
          <w:tcPr>
            <w:tcW w:type="dxa" w:w="4464"/>
          </w:tcPr>
          <w:p>
            <w:pPr>
              <w:spacing w:after="40"/>
            </w:pPr>
            <w:r>
              <w:rPr>
                <w:sz w:val="19"/>
              </w:rPr>
              <w:t>Should show the units responsible for design, production, and quality, and the reporting line between them.</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02A37"/>
                <w:sz w:val="19"/>
              </w:rPr>
              <w:t>To be provided</w:t>
            </w:r>
          </w:p>
        </w:tc>
        <w:tc>
          <w:tcPr>
            <w:tcW w:type="dxa" w:w="4464"/>
          </w:tcPr>
          <w:p>
            <w:pPr>
              <w:spacing w:after="40"/>
            </w:pPr>
            <w:r>
              <w:rPr>
                <w:sz w:val="19"/>
              </w:rPr>
              <w:t>Name and position of the officer empowered to sign on behalf of the manufacturer.</w:t>
            </w:r>
          </w:p>
        </w:tc>
      </w:tr>
      <w:tr>
        <w:trPr>
          <w:cantSplit/>
        </w:trPr>
        <w:tc>
          <w:tcPr>
            <w:tcW w:type="dxa" w:w="3024"/>
          </w:tcPr>
          <w:p>
            <w:pPr>
              <w:spacing w:after="40"/>
            </w:pPr>
            <w:r>
              <w:rPr>
                <w:b/>
                <w:sz w:val="19"/>
              </w:rPr>
              <w:t>Certification project contact</w:t>
            </w:r>
          </w:p>
        </w:tc>
        <w:tc>
          <w:tcPr>
            <w:tcW w:type="dxa" w:w="1872"/>
          </w:tcPr>
          <w:p>
            <w:pPr>
              <w:spacing w:after="40"/>
            </w:pPr>
            <w:r>
              <w:rPr>
                <w:b/>
                <w:color w:val="B02A37"/>
                <w:sz w:val="19"/>
              </w:rPr>
              <w:t>To be provided</w:t>
            </w:r>
          </w:p>
        </w:tc>
        <w:tc>
          <w:tcPr>
            <w:tcW w:type="dxa" w:w="4464"/>
          </w:tcPr>
          <w:p>
            <w:pPr>
              <w:spacing w:after="40"/>
            </w:pPr>
            <w:r>
              <w:rPr>
                <w:sz w:val="19"/>
              </w:rPr>
              <w:t>Name, position, e-mail, and telephone — the single point of contact for ExCB correspondence.</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Technical partner contact</w:t>
            </w:r>
          </w:p>
        </w:tc>
        <w:tc>
          <w:tcPr>
            <w:tcW w:type="dxa" w:w="1872"/>
          </w:tcPr>
          <w:p>
            <w:pPr>
              <w:spacing w:after="40"/>
            </w:pPr>
            <w:r>
              <w:rPr>
                <w:b/>
                <w:color w:val="B56A1E"/>
                <w:sz w:val="19"/>
              </w:rPr>
              <w:t>Organization identified; contact to be confirmed</w:t>
            </w:r>
          </w:p>
        </w:tc>
        <w:tc>
          <w:tcPr>
            <w:tcW w:type="dxa" w:w="4464"/>
          </w:tcPr>
          <w:p>
            <w:pPr>
              <w:spacing w:after="40"/>
            </w:pPr>
            <w:r>
              <w:rPr>
                <w:sz w:val="19"/>
              </w:rPr>
              <w:t>Institute of Technology Bandung — IoT Laboratory / Physics Laboratory.</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structure of the supply chain is known and is stated below; the addresses and the facility profile itself are not yet documented. The product is at prototype stage, and the location for serial production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02A37"/>
                <w:sz w:val="19"/>
              </w:rPr>
              <w:t>To be provided</w:t>
            </w:r>
          </w:p>
        </w:tc>
        <w:tc>
          <w:tcPr>
            <w:tcW w:type="dxa" w:w="4464"/>
          </w:tcPr>
          <w:p>
            <w:pPr>
              <w:spacing w:after="40"/>
            </w:pPr>
            <w:r>
              <w:rPr>
                <w:sz w:val="19"/>
              </w:rPr>
              <w:t>Developed and manufactured by an external mechanical partner (see “About this document”). That partner's identity, plant address, and process capability are to be supplied by the partner and are prerequisites for Sections 2.6.c and 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02A37"/>
                <w:sz w:val="19"/>
              </w:rPr>
              <w:t>To be confirmed</w:t>
            </w:r>
          </w:p>
        </w:tc>
        <w:tc>
          <w:tcPr>
            <w:tcW w:type="dxa" w:w="4464"/>
          </w:tcPr>
          <w:p>
            <w:pPr>
              <w:spacing w:after="40"/>
            </w:pPr>
            <w:r>
              <w:rPr>
                <w:sz w:val="19"/>
              </w:rPr>
              <w:t>Whether the manufacturer currently holds certification and, if so, the certificate number, scope, issuing body, and validity period.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and stainless steel — no plastic or PVC) and mounted via an L-bracket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current production power configuration is continuous 24 VDC, supplied via an AC/DC adapter connected to the site electrical supply. A portable battery power path (Li-ion 18650) remains under development (R&amp;D) and has not become a deployed production configuration.</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 (Version 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LAPI Ganesha Utama</w:t>
            </w:r>
          </w:p>
        </w:tc>
      </w:tr>
      <w:tr>
        <w:tc>
          <w:tcPr>
            <w:tcW w:type="dxa" w:w="3168"/>
            <w:shd w:val="clear" w:color="auto" w:fill="EFEFEF"/>
          </w:tcPr>
          <w:p>
            <w:pPr>
              <w:spacing w:after="40"/>
            </w:pPr>
            <w:r>
              <w:rPr>
                <w:b/>
                <w:color w:val="4A4A4A"/>
                <w:sz w:val="19"/>
              </w:rPr>
              <w:t>Technical development partner</w:t>
            </w:r>
          </w:p>
        </w:tc>
        <w:tc>
          <w:tcPr>
            <w:tcW w:type="dxa" w:w="6192"/>
          </w:tcPr>
          <w:p>
            <w:pPr>
              <w:spacing w:after="40"/>
            </w:pPr>
            <w:r>
              <w:rPr>
                <w:sz w:val="20"/>
              </w:rPr>
              <w:t>Institute of Technology Bandung — IoT Laboratory &amp; Physics Laboratory</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Acquisition of 8-channel gas sensor data and LoRa transmission</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 stainless steel</w:t>
            </w:r>
          </w:p>
        </w:tc>
      </w:tr>
    </w:tbl>
    <w:p>
      <w:pPr>
        <w:spacing w:after="120"/>
      </w:pPr>
    </w:p>
    <w:p>
      <w:pPr>
        <w:spacing w:after="160"/>
      </w:pPr>
      <w:r>
        <w:rPr>
          <w:b w:val="0"/>
          <w:i/>
          <w:color w:val="4A4A4A"/>
          <w:sz w:val="18"/>
        </w:rPr>
        <w:t>Source: official product technical datasheet (Institute of Technology Bandung,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 the alarm-push pathway has been successfully tested on a campus mesh network (field validation at a production refinery installation is still pending).</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w:t>
            </w:r>
          </w:p>
        </w:tc>
        <w:tc>
          <w:tcPr>
            <w:tcW w:type="dxa" w:w="2160"/>
          </w:tcPr>
          <w:p>
            <w:pPr>
              <w:spacing w:after="40"/>
            </w:pPr>
            <w:r>
              <w:rPr>
                <w:sz w:val="19"/>
              </w:rPr>
              <w:t>220 VAC, 50 Hz</w:t>
            </w:r>
          </w:p>
        </w:tc>
        <w:tc>
          <w:tcPr>
            <w:tcW w:type="dxa" w:w="1584"/>
          </w:tcPr>
          <w:p>
            <w:pPr>
              <w:spacing w:after="40"/>
            </w:pPr>
            <w:r>
              <w:rPr>
                <w:b/>
                <w:color w:val="149174"/>
                <w:sz w:val="19"/>
              </w:rPr>
              <w:t>Final</w:t>
            </w:r>
          </w:p>
        </w:tc>
        <w:tc>
          <w:tcPr>
            <w:tcW w:type="dxa" w:w="3312"/>
          </w:tcPr>
          <w:p>
            <w:pPr>
              <w:spacing w:after="40"/>
            </w:pPr>
            <w:r>
              <w:rPr>
                <w:sz w:val="19"/>
              </w:rPr>
              <w:t>Compliant with the Indonesian national electrical grid standard (PLN).</w:t>
            </w:r>
          </w:p>
        </w:tc>
      </w:tr>
      <w:tr>
        <w:trPr>
          <w:cantSplit/>
        </w:trPr>
        <w:tc>
          <w:tcPr>
            <w:tcW w:type="dxa" w:w="2304"/>
          </w:tcPr>
          <w:p>
            <w:pPr>
              <w:spacing w:after="40"/>
            </w:pPr>
            <w:r>
              <w:rPr>
                <w:b/>
                <w:sz w:val="19"/>
              </w:rPr>
              <w:t>AC/DC adapter output</w:t>
            </w:r>
          </w:p>
        </w:tc>
        <w:tc>
          <w:tcPr>
            <w:tcW w:type="dxa" w:w="2160"/>
          </w:tcPr>
          <w:p>
            <w:pPr>
              <w:spacing w:after="40"/>
            </w:pPr>
            <w:r>
              <w:rPr>
                <w:sz w:val="19"/>
              </w:rPr>
              <w:t>24 VDC</w:t>
            </w:r>
          </w:p>
        </w:tc>
        <w:tc>
          <w:tcPr>
            <w:tcW w:type="dxa" w:w="1584"/>
          </w:tcPr>
          <w:p>
            <w:pPr>
              <w:spacing w:after="40"/>
            </w:pPr>
            <w:r>
              <w:rPr>
                <w:b/>
                <w:color w:val="149174"/>
                <w:sz w:val="19"/>
              </w:rPr>
              <w:t>Final</w:t>
            </w:r>
          </w:p>
        </w:tc>
        <w:tc>
          <w:tcPr>
            <w:tcW w:type="dxa" w:w="3312"/>
          </w:tcPr>
          <w:p>
            <w:pPr>
              <w:spacing w:after="40"/>
            </w:pPr>
            <w:r>
              <w:rPr>
                <w:sz w:val="19"/>
              </w:rPr>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continuous-power configuration. The battery (R&amp;D) configuration is recorded separately at 5.75 W — a different operating mode, not a data conflict.</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2× resettable PPTC fuse (F1/F2); TVS/ESD suppression diodes (D1, D4/D5/D11, D6); Schottky diodes (D7/D13, D8/D9, D12)</w:t>
            </w:r>
          </w:p>
        </w:tc>
        <w:tc>
          <w:tcPr>
            <w:tcW w:type="dxa" w:w="1584"/>
          </w:tcPr>
          <w:p>
            <w:pPr>
              <w:spacing w:after="40"/>
            </w:pPr>
            <w:r>
              <w:rPr>
                <w:b/>
                <w:color w:val="B56A1E"/>
                <w:sz w:val="19"/>
              </w:rPr>
              <w:t>Partially available — component-level evidence</w:t>
            </w:r>
          </w:p>
        </w:tc>
        <w:tc>
          <w:tcPr>
            <w:tcW w:type="dxa" w:w="3312"/>
          </w:tcPr>
          <w:p>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which specific rail each component protects and its exact circuit role (e.g., reverse-polarity blocking vs. flyback) has not yet been cross-checked against the schematic net list, and no consolidated protection-scheme write-up has been produced for ExCB review.</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sensing element directly exposed to ambient air.</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 MHz</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17 dBm</w:t>
            </w:r>
          </w:p>
        </w:tc>
        <w:tc>
          <w:tcPr>
            <w:tcW w:type="dxa" w:w="1584"/>
          </w:tcPr>
          <w:p>
            <w:pPr>
              <w:spacing w:after="40"/>
            </w:pPr>
            <w:r>
              <w:rPr>
                <w:b/>
                <w:color w:val="149174"/>
                <w:sz w:val="19"/>
              </w:rPr>
              <w:t>Final</w:t>
            </w:r>
          </w:p>
        </w:tc>
        <w:tc>
          <w:tcPr>
            <w:tcW w:type="dxa" w:w="3168"/>
          </w:tcPr>
          <w:p>
            <w:pPr>
              <w:spacing w:after="40"/>
            </w:pPr>
            <w:r>
              <w:rPr>
                <w:sz w:val="19"/>
              </w:rPr>
              <w:t>The radio module supports up to 22 dBm — 17 dBm is an operational configuration, not the module's maximum limit.</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On some units, the 2.4 GHz Wi-Fi antenna remains inside the enclosure and must be relocated externally.</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 stainless steel</w:t>
            </w:r>
          </w:p>
        </w:tc>
        <w:tc>
          <w:tcPr>
            <w:tcW w:type="dxa" w:w="1584"/>
          </w:tcPr>
          <w:p>
            <w:pPr>
              <w:spacing w:after="40"/>
            </w:pPr>
            <w:r>
              <w:rPr>
                <w:b/>
                <w:color w:val="B56A1E"/>
                <w:sz w:val="19"/>
              </w:rPr>
              <w:t>Partially available — specific grade pending</w:t>
            </w:r>
          </w:p>
        </w:tc>
        <w:tc>
          <w:tcPr>
            <w:tcW w:type="dxa" w:w="2880"/>
          </w:tcPr>
          <w:p>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sensor-case body (Ø102 mm outer housing ring, Ø90/Ø80 mm internal bores) that incorporates a stainless-steel filter mesh disc, a small DC cooling fan, and a transparent viewing window. The specific alloy/grade of the aluminum body and the supplier listing's own certification claims have not been independently verified — the listing's specification text could not be retrieved for cross-check, so this should be treated as project-confirmed sourcing context, not a verified datasheet citation. PVC is not used in any housing or bracket component.</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≈2 kg</w:t>
            </w:r>
          </w:p>
        </w:tc>
        <w:tc>
          <w:tcPr>
            <w:tcW w:type="dxa" w:w="1584"/>
          </w:tcPr>
          <w:p>
            <w:pPr>
              <w:spacing w:after="40"/>
            </w:pPr>
            <w:r>
              <w:rPr>
                <w:b/>
                <w:color w:val="149174"/>
                <w:sz w:val="19"/>
              </w:rPr>
              <w:t>Final</w:t>
            </w:r>
          </w:p>
        </w:tc>
        <w:tc>
          <w:tcPr>
            <w:tcW w:type="dxa" w:w="2880"/>
          </w:tcPr>
          <w:p>
            <w:pPr>
              <w:spacing w:after="40"/>
            </w:pPr>
            <w:r>
              <w:rPr>
                <w:sz w:val="19"/>
              </w:rPr>
              <w:t>Project-confirmed value; not yet documented against a calibrated weighing record.</w:t>
            </w:r>
          </w:p>
        </w:tc>
      </w:tr>
      <w:tr>
        <w:trPr>
          <w:cantSplit/>
        </w:trPr>
        <w:tc>
          <w:tcPr>
            <w:tcW w:type="dxa" w:w="2160"/>
          </w:tcPr>
          <w:p>
            <w:pPr>
              <w:spacing w:after="40"/>
            </w:pPr>
            <w:r>
              <w:rPr>
                <w:b/>
                <w:sz w:val="19"/>
              </w:rPr>
              <w:t>Mounting method</w:t>
            </w:r>
          </w:p>
        </w:tc>
        <w:tc>
          <w:tcPr>
            <w:tcW w:type="dxa" w:w="2736"/>
          </w:tcPr>
          <w:p>
            <w:pPr>
              <w:spacing w:after="40"/>
            </w:pPr>
            <w:r>
              <w:rPr>
                <w:sz w:val="19"/>
              </w:rPr>
              <w:t>L-bracket, following the design already installed at the refinery</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w:t>
            </w:r>
          </w:p>
        </w:tc>
        <w:tc>
          <w:tcPr>
            <w:tcW w:type="dxa" w:w="1584"/>
          </w:tcPr>
          <w:p>
            <w:pPr>
              <w:spacing w:after="40"/>
            </w:pPr>
            <w:r>
              <w:rPr>
                <w:b/>
                <w:color w:val="B02A37"/>
                <w:sz w:val="19"/>
              </w:rPr>
              <w:t>Pending confirmation</w:t>
            </w:r>
          </w:p>
        </w:tc>
        <w:tc>
          <w:tcPr>
            <w:tcW w:type="dxa" w:w="2880"/>
          </w:tcPr>
          <w:p>
            <w:pPr>
              <w:spacing w:after="40"/>
            </w:pPr>
            <w:r>
              <w:rPr>
                <w:sz w:val="19"/>
              </w:rPr>
              <w:t>Not yet tested/determined.</w:t>
            </w:r>
          </w:p>
        </w:tc>
      </w:tr>
      <w:tr>
        <w:trPr>
          <w:cantSplit/>
        </w:trPr>
        <w:tc>
          <w:tcPr>
            <w:tcW w:type="dxa" w:w="2160"/>
          </w:tcPr>
          <w:p>
            <w:pPr>
              <w:spacing w:after="40"/>
            </w:pPr>
            <w:r>
              <w:rPr>
                <w:b/>
                <w:sz w:val="19"/>
              </w:rPr>
              <w:t>Cable entry (gland)</w:t>
            </w:r>
          </w:p>
        </w:tc>
        <w:tc>
          <w:tcPr>
            <w:tcW w:type="dxa" w:w="2736"/>
          </w:tcPr>
          <w:p>
            <w:pPr>
              <w:spacing w:after="40"/>
            </w:pPr>
            <w:r>
              <w:rPr>
                <w:sz w:val="19"/>
              </w:rPr>
              <w:t>—</w:t>
            </w:r>
          </w:p>
        </w:tc>
        <w:tc>
          <w:tcPr>
            <w:tcW w:type="dxa" w:w="1584"/>
          </w:tcPr>
          <w:p>
            <w:pPr>
              <w:spacing w:after="40"/>
            </w:pPr>
            <w:r>
              <w:rPr>
                <w:b/>
                <w:color w:val="B02A37"/>
                <w:sz w:val="19"/>
              </w:rPr>
              <w:t>Pending confirmation</w:t>
            </w:r>
          </w:p>
        </w:tc>
        <w:tc>
          <w:tcPr>
            <w:tcW w:type="dxa" w:w="2880"/>
          </w:tcPr>
          <w:p>
            <w:pPr>
              <w:spacing w:after="40"/>
            </w:pPr>
            <w:r>
              <w:rPr>
                <w:sz w:val="19"/>
              </w:rPr>
              <w:t>Cable gland specification not yet determined.</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−40°C to +85°C (ambient)</w:t>
            </w:r>
          </w:p>
        </w:tc>
        <w:tc>
          <w:tcPr>
            <w:tcW w:type="dxa" w:w="1584"/>
          </w:tcPr>
          <w:p>
            <w:pPr>
              <w:spacing w:after="40"/>
            </w:pPr>
            <w:r>
              <w:rPr>
                <w:b/>
                <w:color w:val="149174"/>
                <w:sz w:val="19"/>
              </w:rPr>
              <w:t>Final</w:t>
            </w:r>
          </w:p>
        </w:tc>
        <w:tc>
          <w:tcPr>
            <w:tcW w:type="dxa" w:w="2880"/>
          </w:tcPr>
          <w:p>
            <w:pPr>
              <w:spacing w:after="40"/>
            </w:pPr>
            <w:r>
              <w:rPr>
                <w:sz w:val="19"/>
              </w:rPr>
              <w:t>Project-confirmed value, extended-industrial electronics range — a key input for temperature class (T1–T6) determination in Section 2.5. Not yet documented against a calibrated test record.</w:t>
            </w:r>
          </w:p>
        </w:tc>
      </w:tr>
      <w:tr>
        <w:trPr>
          <w:cantSplit/>
        </w:trPr>
        <w:tc>
          <w:tcPr>
            <w:tcW w:type="dxa" w:w="2160"/>
          </w:tcPr>
          <w:p>
            <w:pPr>
              <w:spacing w:after="40"/>
            </w:pPr>
            <w:r>
              <w:rPr>
                <w:b/>
                <w:sz w:val="19"/>
              </w:rPr>
              <w:t>Operating humidity</w:t>
            </w:r>
          </w:p>
        </w:tc>
        <w:tc>
          <w:tcPr>
            <w:tcW w:type="dxa" w:w="2736"/>
          </w:tcPr>
          <w:p>
            <w:pPr>
              <w:spacing w:after="40"/>
            </w:pPr>
            <w:r>
              <w:rPr>
                <w:sz w:val="19"/>
              </w:rPr>
              <w:t>—</w:t>
            </w:r>
          </w:p>
        </w:tc>
        <w:tc>
          <w:tcPr>
            <w:tcW w:type="dxa" w:w="1584"/>
          </w:tcPr>
          <w:p>
            <w:pPr>
              <w:spacing w:after="40"/>
            </w:pPr>
            <w:r>
              <w:rPr>
                <w:b/>
                <w:color w:val="B02A37"/>
                <w:sz w:val="19"/>
              </w:rPr>
              <w:t>Pending confirmation</w:t>
            </w:r>
          </w:p>
        </w:tc>
        <w:tc>
          <w:tcPr>
            <w:tcW w:type="dxa" w:w="2880"/>
          </w:tcPr>
          <w:p>
            <w:pPr>
              <w:spacing w:after="40"/>
            </w:pPr>
            <w:r>
              <w:rPr>
                <w:sz w:val="19"/>
              </w:rPr>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pPr>
        <w:spacing w:after="80"/>
      </w:pPr>
    </w:p>
    <w:p>
      <w:pPr>
        <w:pStyle w:val="Heading2"/>
      </w:pPr>
      <w:r>
        <w:t>2.4 · Product Photographs — Overall and Key Components</w:t>
      </w:r>
    </w:p>
    <w:p>
      <w:pPr>
        <w:spacing w:after="160"/>
      </w:pPr>
      <w:r>
        <w:rPr>
          <w:b w:val="0"/>
          <w:i w:val="0"/>
          <w:sz w:val="21"/>
        </w:rP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379912" cy="228600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379912" cy="2286000"/>
                          </a:xfrm>
                          <a:prstGeom prst="rect"/>
                        </pic:spPr>
                      </pic:pic>
                    </a:graphicData>
                  </a:graphic>
                </wp:inline>
              </w:drawing>
            </w:r>
          </w:p>
          <w:p>
            <w:pPr>
              <w:spacing w:after="200"/>
            </w:pPr>
            <w:r>
              <w:rPr>
                <w:b/>
                <w:sz w:val="19"/>
              </w:rPr>
              <w:t>Complete unit — front view</w:t>
              <w:br/>
            </w:r>
            <w:r>
              <w:rPr>
                <w:color w:val="4A4A4A"/>
                <w:sz w:val="17"/>
              </w:rPr>
              <w:t>The fully assembled Node Sensor (GLD): the main enclosure (blue) with sensor mesh cover, external LoRa antenna, and a visual alarm module (cylindrical housing, red lens) mounted on the right side.</w:t>
            </w:r>
          </w:p>
        </w:tc>
        <w:tc>
          <w:tcPr>
            <w:tcW w:type="dxa" w:w="4873"/>
          </w:tcPr>
          <w:p>
            <w:pPr>
              <w:spacing w:after="40"/>
              <w:jc w:val="center"/>
            </w:pPr>
            <w:r>
              <w:drawing>
                <wp:inline xmlns:a="http://schemas.openxmlformats.org/drawingml/2006/main" xmlns:pic="http://schemas.openxmlformats.org/drawingml/2006/picture">
                  <wp:extent cx="1714500" cy="228600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1714500" cy="2286000"/>
                          </a:xfrm>
                          <a:prstGeom prst="rect"/>
                        </pic:spPr>
                      </pic:pic>
                    </a:graphicData>
                  </a:graphic>
                </wp:inline>
              </w:drawing>
            </w:r>
          </w:p>
          <w:p>
            <w:pPr>
              <w:spacing w:after="200"/>
            </w:pPr>
            <w:r>
              <w:rPr>
                <w:b/>
                <w:sz w:val="19"/>
              </w:rPr>
              <w:t>Complete unit — alternate angle</w:t>
              <w:br/>
            </w:r>
            <w:r>
              <w:rPr>
                <w:color w:val="4A4A4A"/>
                <w:sz w:val="17"/>
              </w:rPr>
              <w:t>An alternate view of the assembled unit, showing the position of the antenna, alarm module, and the cable-gland side of the enclosure.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PenutupMesh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1._Motherboard_Casing.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2._Motherboard_ModulSensor_Casing.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6" name="Picture 6"/>
                  <wp:cNvGraphicFramePr>
                    <a:graphicFrameLocks noChangeAspect="1"/>
                  </wp:cNvGraphicFramePr>
                  <a:graphic>
                    <a:graphicData uri="http://schemas.openxmlformats.org/drawingml/2006/picture">
                      <pic:pic>
                        <pic:nvPicPr>
                          <pic:cNvPr id="0" name="ModulAlarm.jpg"/>
                          <pic:cNvPicPr/>
                        </pic:nvPicPr>
                        <pic:blipFill>
                          <a:blip r:embed="rId16"/>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7" name="Picture 7"/>
                  <wp:cNvGraphicFramePr>
                    <a:graphicFrameLocks noChangeAspect="1"/>
                  </wp:cNvGraphicFramePr>
                  <a:graphic>
                    <a:graphicData uri="http://schemas.openxmlformats.org/drawingml/2006/picture">
                      <pic:pic>
                        <pic:nvPicPr>
                          <pic:cNvPr id="0" name="PenutupMesh.jpg"/>
                          <pic:cNvPicPr/>
                        </pic:nvPicPr>
                        <pic:blipFill>
                          <a:blip r:embed="rId17"/>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pPr>
        <w:spacing w:after="8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toxic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Not yet substantiated by measurement. MQ-series metal-oxide sensors rely on an internal heating element as their normal operating principle; a hot-spot measurement specific to the sensor models and enclosure configuration used here has not yet been performed (see 2.6.f).</w:t>
            </w:r>
          </w:p>
        </w:tc>
      </w:tr>
      <w:tr>
        <w:trPr>
          <w:cantSplit/>
        </w:trPr>
        <w:tc>
          <w:tcPr>
            <w:tcW w:type="dxa" w:w="1872"/>
          </w:tcPr>
          <w:p>
            <w:pPr>
              <w:spacing w:after="40"/>
            </w:pPr>
            <w:r>
              <w:rPr>
                <w:b/>
                <w:sz w:val="19"/>
              </w:rPr>
              <w:t>Ambient temperature range</w:t>
            </w:r>
          </w:p>
        </w:tc>
        <w:tc>
          <w:tcPr>
            <w:tcW w:type="dxa" w:w="1584"/>
          </w:tcPr>
          <w:p>
            <w:pPr>
              <w:spacing w:after="40"/>
            </w:pPr>
            <w:r>
              <w:rPr>
                <w:sz w:val="19"/>
              </w:rPr>
              <w:t>−40°C to +85°C</w:t>
            </w:r>
          </w:p>
        </w:tc>
        <w:tc>
          <w:tcPr>
            <w:tcW w:type="dxa" w:w="2736"/>
          </w:tcPr>
          <w:p>
            <w:pPr>
              <w:spacing w:after="40"/>
            </w:pPr>
            <w:r>
              <w:rPr>
                <w:b/>
                <w:color w:val="149174"/>
                <w:sz w:val="19"/>
              </w:rPr>
              <w:t>Final</w:t>
            </w:r>
          </w:p>
        </w:tc>
        <w:tc>
          <w:tcPr>
            <w:tcW w:type="dxa" w:w="3456"/>
          </w:tcPr>
          <w:p>
            <w:pPr>
              <w:spacing w:after="40"/>
            </w:pPr>
            <w:r>
              <w:rPr>
                <w:sz w:val="19"/>
              </w:rPr>
              <w:t>Project-confirmed value, extended-industrial electronics range. Distinct from the MQ-sensor hot-spot surface temperature above, which remains the top-priority open item for the T4 recommendation.</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and zone are not yet formally established.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Status is reported item by item below; most sub-items are not yet available — this is reported plainly rather than implied to be complete.</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8" name="Picture 8"/>
            <wp:cNvGraphicFramePr>
              <a:graphicFrameLocks noChangeAspect="1"/>
            </wp:cNvGraphicFramePr>
            <a:graphic>
              <a:graphicData uri="http://schemas.openxmlformats.org/drawingml/2006/picture">
                <pic:pic>
                  <pic:nvPicPr>
                    <pic:cNvPr id="0" name="01-diagram.png"/>
                    <pic:cNvPicPr/>
                  </pic:nvPicPr>
                  <pic:blipFill>
                    <a:blip r:embed="rId18"/>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9" name="Picture 9"/>
            <wp:cNvGraphicFramePr>
              <a:graphicFrameLocks noChangeAspect="1"/>
            </wp:cNvGraphicFramePr>
            <a:graphic>
              <a:graphicData uri="http://schemas.openxmlformats.org/drawingml/2006/picture">
                <pic:pic>
                  <pic:nvPicPr>
                    <pic:cNvPr id="0" name="02-diagram.png"/>
                    <pic:cNvPicPr/>
                  </pic:nvPicPr>
                  <pic:blipFill>
                    <a:blip r:embed="rId19"/>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10" name="Picture 10"/>
            <wp:cNvGraphicFramePr>
              <a:graphicFrameLocks noChangeAspect="1"/>
            </wp:cNvGraphicFramePr>
            <a:graphic>
              <a:graphicData uri="http://schemas.openxmlformats.org/drawingml/2006/picture">
                <pic:pic>
                  <pic:nvPicPr>
                    <pic:cNvPr id="0" name="03-diagram.png"/>
                    <pic:cNvPicPr/>
                  </pic:nvPicPr>
                  <pic:blipFill>
                    <a:blip r:embed="rId20"/>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11" name="Picture 11"/>
            <wp:cNvGraphicFramePr>
              <a:graphicFrameLocks noChangeAspect="1"/>
            </wp:cNvGraphicFramePr>
            <a:graphic>
              <a:graphicData uri="http://schemas.openxmlformats.org/drawingml/2006/picture">
                <pic:pic>
                  <pic:nvPicPr>
                    <pic:cNvPr id="0" name="04-diagram.png"/>
                    <pic:cNvPicPr/>
                  </pic:nvPicPr>
                  <pic:blipFill>
                    <a:blip r:embed="rId21"/>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12" name="Picture 12"/>
            <wp:cNvGraphicFramePr>
              <a:graphicFrameLocks noChangeAspect="1"/>
            </wp:cNvGraphicFramePr>
            <a:graphic>
              <a:graphicData uri="http://schemas.openxmlformats.org/drawingml/2006/picture">
                <pic:pic>
                  <pic:nvPicPr>
                    <pic:cNvPr id="0" name="05-diagram.png"/>
                    <pic:cNvPicPr/>
                  </pic:nvPicPr>
                  <pic:blipFill>
                    <a:blip r:embed="rId22"/>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13" name="Picture 13"/>
            <wp:cNvGraphicFramePr>
              <a:graphicFrameLocks noChangeAspect="1"/>
            </wp:cNvGraphicFramePr>
            <a:graphic>
              <a:graphicData uri="http://schemas.openxmlformats.org/drawingml/2006/picture">
                <pic:pic>
                  <pic:nvPicPr>
                    <pic:cNvPr id="0" name="06-diagram.png"/>
                    <pic:cNvPicPr/>
                  </pic:nvPicPr>
                  <pic:blipFill>
                    <a:blip r:embed="rId23"/>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14" name="Picture 14"/>
            <wp:cNvGraphicFramePr>
              <a:graphicFrameLocks noChangeAspect="1"/>
            </wp:cNvGraphicFramePr>
            <a:graphic>
              <a:graphicData uri="http://schemas.openxmlformats.org/drawingml/2006/picture">
                <pic:pic>
                  <pic:nvPicPr>
                    <pic:cNvPr id="0" name="07-diagram.png"/>
                    <pic:cNvPicPr/>
                  </pic:nvPicPr>
                  <pic:blipFill>
                    <a:blip r:embed="rId24"/>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15" name="Picture 15"/>
            <wp:cNvGraphicFramePr>
              <a:graphicFrameLocks noChangeAspect="1"/>
            </wp:cNvGraphicFramePr>
            <a:graphic>
              <a:graphicData uri="http://schemas.openxmlformats.org/drawingml/2006/picture">
                <pic:pic>
                  <pic:nvPicPr>
                    <pic:cNvPr id="0" name="08-diagram.png"/>
                    <pic:cNvPicPr/>
                  </pic:nvPicPr>
                  <pic:blipFill>
                    <a:blip r:embed="rId25"/>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16" name="Picture 16"/>
            <wp:cNvGraphicFramePr>
              <a:graphicFrameLocks noChangeAspect="1"/>
            </wp:cNvGraphicFramePr>
            <a:graphic>
              <a:graphicData uri="http://schemas.openxmlformats.org/drawingml/2006/picture">
                <pic:pic>
                  <pic:nvPicPr>
                    <pic:cNvPr id="0" name="09-diagram.png"/>
                    <pic:cNvPicPr/>
                  </pic:nvPicPr>
                  <pic:blipFill>
                    <a:blip r:embed="rId26"/>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17" name="Picture 17"/>
            <wp:cNvGraphicFramePr>
              <a:graphicFrameLocks noChangeAspect="1"/>
            </wp:cNvGraphicFramePr>
            <a:graphic>
              <a:graphicData uri="http://schemas.openxmlformats.org/drawingml/2006/picture">
                <pic:pic>
                  <pic:nvPicPr>
                    <pic:cNvPr id="0" name="10-pcb-layout.png"/>
                    <pic:cNvPicPr/>
                  </pic:nvPicPr>
                  <pic:blipFill>
                    <a:blip r:embed="rId27"/>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18" name="Picture 18"/>
            <wp:cNvGraphicFramePr>
              <a:graphicFrameLocks noChangeAspect="1"/>
            </wp:cNvGraphicFramePr>
            <a:graphic>
              <a:graphicData uri="http://schemas.openxmlformats.org/drawingml/2006/picture">
                <pic:pic>
                  <pic:nvPicPr>
                    <pic:cNvPr id="0" name="11-pcb-3d-render.png"/>
                    <pic:cNvPicPr/>
                  </pic:nvPicPr>
                  <pic:blipFill>
                    <a:blip r:embed="rId28"/>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pPr>
        <w:spacing w:after="160"/>
      </w:pPr>
      <w:r>
        <w:rPr>
          <w:b w:val="0"/>
          <w:i w:val="0"/>
          <w:sz w:val="21"/>
        </w:rP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pPr>
        <w:jc w:val="center"/>
      </w:pPr>
      <w:r>
        <w:drawing>
          <wp:inline xmlns:a="http://schemas.openxmlformats.org/drawingml/2006/main" xmlns:pic="http://schemas.openxmlformats.org/drawingml/2006/picture">
            <wp:extent cx="5669280" cy="3847707"/>
            <wp:docPr id="19" name="Picture 19"/>
            <wp:cNvGraphicFramePr>
              <a:graphicFrameLocks noChangeAspect="1"/>
            </wp:cNvGraphicFramePr>
            <a:graphic>
              <a:graphicData uri="http://schemas.openxmlformats.org/drawingml/2006/picture">
                <pic:pic>
                  <pic:nvPicPr>
                    <pic:cNvPr id="0" name="bracket-mounting-drawing.png"/>
                    <pic:cNvPicPr/>
                  </pic:nvPicPr>
                  <pic:blipFill>
                    <a:blip r:embed="rId29"/>
                    <a:stretch>
                      <a:fillRect/>
                    </a:stretch>
                  </pic:blipFill>
                  <pic:spPr>
                    <a:xfrm>
                      <a:off x="0" y="0"/>
                      <a:ext cx="5669280" cy="3847707"/>
                    </a:xfrm>
                    <a:prstGeom prst="rect"/>
                  </pic:spPr>
                </pic:pic>
              </a:graphicData>
            </a:graphic>
          </wp:inline>
        </w:drawing>
      </w:r>
    </w:p>
    <w:p>
      <w:pPr>
        <w:spacing w:after="240"/>
        <w:jc w:val="center"/>
      </w:pPr>
      <w:r>
        <w:rPr>
          <w:b/>
          <w:sz w:val="19"/>
        </w:rPr>
        <w:t>Enclosure envelope &amp; mounting bracket — dimensioned drawing sheet</w:t>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block diagram</w:t>
            </w:r>
          </w:p>
        </w:tc>
        <w:tc>
          <w:tcPr>
            <w:tcW w:type="dxa" w:w="1872"/>
          </w:tcPr>
          <w:p>
            <w:pPr>
              <w:spacing w:after="40"/>
            </w:pPr>
            <w:r>
              <w:rPr>
                <w:b/>
                <w:color w:val="B56A1E"/>
                <w:sz w:val="19"/>
              </w:rPr>
              <w:t>Partially available</w:t>
            </w:r>
          </w:p>
        </w:tc>
        <w:tc>
          <w:tcPr>
            <w:tcW w:type="dxa" w:w="4032"/>
          </w:tcPr>
          <w:p>
            <w:pPr>
              <w:spacing w:after="40"/>
            </w:pPr>
            <w:r>
              <w:rPr>
                <w:sz w:val="19"/>
              </w:rPr>
              <w:t>Schematic capture and a derived 9-sheet block-diagram set exist with traceability evidence (pin-to-net mapping). Not yet issued in a released, revision-controlled drawing format with a formal drawing number.</w:t>
            </w:r>
          </w:p>
        </w:tc>
      </w:tr>
      <w:tr>
        <w:trPr>
          <w:cantSplit/>
        </w:trPr>
        <w:tc>
          <w:tcPr>
            <w:tcW w:type="dxa" w:w="3744"/>
          </w:tcPr>
          <w:p>
            <w:pPr>
              <w:spacing w:after="40"/>
            </w:pPr>
            <w:r>
              <w:rPr>
                <w:b/>
                <w:sz w:val="19"/>
              </w:rPr>
              <w:t>PCB layout</w:t>
            </w:r>
          </w:p>
        </w:tc>
        <w:tc>
          <w:tcPr>
            <w:tcW w:type="dxa" w:w="1872"/>
          </w:tcPr>
          <w:p>
            <w:pPr>
              <w:spacing w:after="40"/>
            </w:pPr>
            <w:r>
              <w:rPr>
                <w:b/>
                <w:color w:val="B56A1E"/>
                <w:sz w:val="19"/>
              </w:rPr>
              <w:t>Partially available</w:t>
            </w:r>
          </w:p>
        </w:tc>
        <w:tc>
          <w:tcPr>
            <w:tcW w:type="dxa" w:w="4032"/>
          </w:tcPr>
          <w:p>
            <w:pPr>
              <w:spacing w:after="40"/>
            </w:pPr>
            <w:r>
              <w:rPr>
                <w:sz w:val="19"/>
              </w:rPr>
              <w:t>Native EasyEDA/JLCPCB layout export (routed copper) and a 3D solid model exist for the same board revision. Not yet issued as a dimensioned, toleranced, released drawing with a formal drawing number.</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02A37"/>
                <w:sz w:val="19"/>
              </w:rPr>
              <w:t>Not yet available</w:t>
            </w:r>
          </w:p>
        </w:tc>
        <w:tc>
          <w:tcPr>
            <w:tcW w:type="dxa" w:w="4032"/>
          </w:tcPr>
          <w:p>
            <w:pPr>
              <w:spacing w:after="40"/>
            </w:pPr>
            <w:r>
              <w:rPr>
                <w:sz w:val="19"/>
              </w:rPr>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external mechanical/casing development partner and its bill of materials has not yet been provided to the authors.</w:t>
            </w:r>
          </w:p>
        </w:tc>
      </w:tr>
    </w:tbl>
    <w:p>
      <w:pPr>
        <w:spacing w:after="8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Dependent on the enclosure design and material selection, which sits with the external casing development partner rather than the authors.</w:t>
            </w:r>
          </w:p>
        </w:tc>
      </w:tr>
    </w:tbl>
    <w:p>
      <w:pPr>
        <w:spacing w:after="8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This describes the casing partner's manufacturing process, not an internal electronics process — it will need to be obtained from that partner once their process is finalized.</w:t>
            </w:r>
          </w:p>
        </w:tc>
      </w:tr>
    </w:tbl>
    <w:p>
      <w:pPr>
        <w:spacing w:after="80"/>
      </w:pPr>
    </w:p>
    <w:p>
      <w:pPr>
        <w:pStyle w:val="Heading3"/>
      </w:pPr>
      <w:r>
        <w:t>2.6.e · Explosion-Protection Calculations and Explanations (if applicable)</w:t>
      </w:r>
    </w:p>
    <w:p>
      <w:pPr>
        <w:spacing w:after="160"/>
      </w:pPr>
      <w:r>
        <w:rPr>
          <w:b w:val="0"/>
          <w:i w:val="0"/>
          <w:sz w:val="21"/>
        </w:rPr>
        <w:t>Calculations depend on the explosion-protection concept selected (e.g., Ex d, Ex e, Ex i), which has not yet been confirmed with the ExCB, and on final enclosure geometry from the casing development partner. No calculations have been performed.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 pending protection-concept confirmation and final enclosure design.</w:t>
            </w:r>
          </w:p>
        </w:tc>
      </w:tr>
    </w:tbl>
    <w:p>
      <w:pPr>
        <w:spacing w:after="80"/>
      </w:pPr>
    </w:p>
    <w:p>
      <w:pPr>
        <w:pStyle w:val="Heading3"/>
      </w:pPr>
      <w:r>
        <w:t>2.6.f · Temperature Group Calculation (Hottest-Point Temperature Estimation)</w:t>
      </w:r>
    </w:p>
    <w:p>
      <w:pPr>
        <w:spacing w:after="160"/>
      </w:pPr>
      <w:r>
        <w:rPr>
          <w:b w:val="0"/>
          <w:i w:val="0"/>
          <w:sz w:val="21"/>
        </w:rPr>
        <w:t>No hottest-point temperature calculation or measurement has been performed for this product. As general context: MQ-series metal-oxide gas sensors operate using an internal heating element, a class of sensor commonly associated with published operating temperatures in the approximate 200–400°C range — however, this is a general characteristic of the sensor class, not a measured value for the specific sensor models, drive circuitry, and enclosure configuration used in this product. A worst-case hot-spot measurement is identified as the top-priority action required to substantiate the recommended T4 classification in Section 2.5.</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02A37"/>
                <w:sz w:val="19"/>
              </w:rPr>
              <w:t>Not yet available</w:t>
            </w:r>
          </w:p>
        </w:tc>
        <w:tc>
          <w:tcPr>
            <w:tcW w:type="dxa" w:w="4320"/>
          </w:tcPr>
          <w:p>
            <w:pPr>
              <w:spacing w:after="40"/>
            </w:pPr>
            <w:r>
              <w:rPr>
                <w:sz w:val="19"/>
              </w:rPr>
              <w:t>No Ex-specific safety warnings have been drafted.</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Partially available</w:t>
            </w:r>
          </w:p>
        </w:tc>
        <w:tc>
          <w:tcPr>
            <w:tcW w:type="dxa" w:w="4320"/>
          </w:tcPr>
          <w:p>
            <w:pPr>
              <w:spacing w:after="40"/>
            </w:pPr>
            <w:r>
              <w:rPr>
                <w:sz w:val="19"/>
              </w:rPr>
              <w:t>A mechanical mounting method exists separately (L-bracket, installed to existing structures without drilling or welding — see Section 2.3.c), but cable-entry method, torque values, grounding requirements, and cleaning requirements have not yet been formally specified.</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Partially available</w:t>
            </w:r>
          </w:p>
        </w:tc>
        <w:tc>
          <w:tcPr>
            <w:tcW w:type="dxa" w:w="4320"/>
          </w:tcPr>
          <w:p>
            <w:pPr>
              <w:spacing w:after="40"/>
            </w:pPr>
            <w:r>
              <w:rPr>
                <w:sz w:val="19"/>
              </w:rPr>
              <w:t>A firmware command/operation reference exists (Serial, MQTT, and LoRa command protocol for engineering use), but it covers software operation and commissioning — not Ex-specific maintenance or inspection requirements (frequency, content, precautions).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Partially available — not yet consolidated into an Ex-specific installation and operation manual for ExCB review.</w:t>
            </w:r>
          </w:p>
        </w:tc>
      </w:tr>
    </w:tbl>
    <w:p>
      <w:pPr>
        <w:spacing w:after="80"/>
      </w:pPr>
    </w:p>
    <w:p>
      <w:pPr>
        <w:pStyle w:val="Heading3"/>
      </w:pPr>
      <w:r>
        <w:t>2.6.h · Nameplate Information</w:t>
      </w:r>
    </w:p>
    <w:p>
      <w:pPr>
        <w:spacing w:after="160"/>
      </w:pPr>
      <w:r>
        <w:rPr>
          <w:b w:val="0"/>
          <w:i w:val="0"/>
          <w:sz w:val="21"/>
        </w:rPr>
        <w:t>Nameplate artwork cannot yet be finalized: it depends on the certificate number, protection marking, temperature class, ambient range, IP rating, and serialization scheme — none of which has been assigned yet.</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The product is still being built from scratch at prototype/development stage; no finalized, serialized unit yet exists to register as a submission sample. This item becomes actionable once a build reaches a stable, submission-ready configuration.</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an applicable battery source, multimeter, and oscilloscope/logic analyzer</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(Institute of Technology Bandung, Revision 4.0), internal technical specification documentation, EMC parameter measurement data, and product photography. Fields marked “Pending confirmation”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LGU/GLD/IECEX-TDF/2026-001  ·  Rev. 0.2</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pPr>
    <w:rPr>
      <w:rFonts w:ascii="Calibri" w:hAnsi="Calibri"/>
      <w:sz w:val="19"/>
    </w:rPr>
  </w:style>
  <w:style w:type="paragraph" w:customStyle="1" w:styleId="TOC2">
    <w:name w:val="TOC 2"/>
    <w:pPr>
      <w:spacing w:before="0" w:after="0" w:line="240" w:lineRule="auto"/>
    </w:pPr>
    <w:rPr>
      <w:rFonts w:ascii="Calibri" w:hAnsi="Calibri"/>
      <w:sz w:val="18"/>
    </w:rPr>
  </w:style>
  <w:style w:type="paragraph" w:customStyle="1" w:styleId="TOC3">
    <w:name w:val="TOC 3"/>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