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01 — Model AI Klasifikasi Gas di Perangkat GLD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akuisisi data 8 sensor gas, pelatihan dan pengujian model CNN Dual-Branch, kuantisasi untuk mikrokontroler ESP32-S3, serta uji real-time langsung di perangkat GLD.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4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s.d. 6 Agustus 2026 (hasil dipresentasikan pada rapat 6 Agustus 2026)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FAT-01 (akuisisi sensor), FAT-02 (klasifikasi AI di perangkat)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dan area kampus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8 sensor gas MQ pada node GLD menghasilkan data yang valid dan konsisten untuk dataset.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Mengukur akurasi model klasifikasi gas pada data uji dari dataset pengembangan yang belum pernah dilihat model.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model tetap akurat setelah diperkecil (kuantisasi) agar muat di ESP32-S3.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model berjalan langsung di perangkat (on-device) dan mengklasifikasikan gas sebenarnya secara real-time.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ESP32-S3, 8 sensor MQ (MQ2, MQ3, MQ4, MQ5, MQ6, MQ7, MQ8, MQ135); unit uji real-time: device 1001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Model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CNN Dual-Branch: cabang A Conv1D (16 filter, kernel 3) untuk 8 nilai ADC sensor; cabang B Dense untuk 7 fitur pengetahuan datasheet sensor; digabung lalu Dense 16 → output kelas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Pelatihan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Maksimum 200 epoch dengan early stopping (15 epoch), batch 32, 15% data latih untuk validasi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Runtime di perangkat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TensorFlow Lite Micro, model INT8 ditanam di firmware sebagai header C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Keluaran di perangkat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Sesuai Technical Datasheet Rev 4.0 Gas Leak Detector (4 September 2026), bagian 4.1: label Clean Air, LPG, dan H2 beserta nilai confidence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Laporan ini memuat dua tahap uji: (1) validasi model pada dataset pengembangan berlabel LPG, CO₂, dan udara bersih (Bagian 4.1 dan 4.2); (2) uji real-time di perangkat dengan konfigurasi label Clean Air, LPG, dan H2 sesuai Technical Datasheet Rev 4.0 (Bagian 4.3).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arsitekt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Arsitektur model CNN Dual-Branch</w:t>
      </w:r>
    </w:p>
    <w:p>
      <w:pPr>
        <w:pStyle w:val="Heading1"/>
      </w:pPr>
      <w:r>
        <w:rPr>
          <w:color w:val="1B2A4A"/>
        </w:rPr>
        <w:t>3. Metode</w:t>
      </w:r>
    </w:p>
    <w:p>
      <w:pPr>
        <w:pStyle w:val="ListBullet"/>
        <w:spacing w:after="60"/>
      </w:pPr>
      <w:r>
        <w:rPr>
          <w:b/>
          <w:i w:val="0"/>
          <w:sz w:val="20"/>
        </w:rPr>
        <w:t>Dataset pengembangan.</w:t>
      </w:r>
      <w:r>
        <w:rPr>
          <w:b w:val="0"/>
          <w:i w:val="0"/>
          <w:sz w:val="20"/>
        </w:rPr>
        <w:t xml:space="preserve"> 1.870 pembacaan sensor unik (duplikat dibuang) pada 3 kondisi: LPG, CO₂, dan udara bersih. Dibagi seimbang 80% latih (1.496) dan 20% uji (374).</w:t>
      </w:r>
    </w:p>
    <w:p>
      <w:pPr>
        <w:pStyle w:val="ListBullet"/>
        <w:spacing w:after="60"/>
      </w:pPr>
      <w:r>
        <w:rPr>
          <w:b/>
          <w:i w:val="0"/>
          <w:sz w:val="20"/>
        </w:rPr>
        <w:t>Uji model.</w:t>
      </w:r>
      <w:r>
        <w:rPr>
          <w:b w:val="0"/>
          <w:i w:val="0"/>
          <w:sz w:val="20"/>
        </w:rPr>
        <w:t xml:space="preserve"> Model diuji pada 374 data uji independen; dihitung akurasi, F1-score, dan presisi per kelas.</w:t>
      </w:r>
    </w:p>
    <w:p>
      <w:pPr>
        <w:pStyle w:val="ListBullet"/>
        <w:spacing w:after="60"/>
      </w:pPr>
      <w:r>
        <w:rPr>
          <w:b/>
          <w:i w:val="0"/>
          <w:sz w:val="20"/>
        </w:rPr>
        <w:t>Kuantisasi.</w:t>
      </w:r>
      <w:r>
        <w:rPr>
          <w:b w:val="0"/>
          <w:i w:val="0"/>
          <w:sz w:val="20"/>
        </w:rPr>
        <w:t xml:space="preserve"> Model dikonversi bertahap: Keras → TFLite float32 → TFLite INT8, akurasi diukur ulang tiap tahap.</w:t>
      </w:r>
    </w:p>
    <w:p>
      <w:pPr>
        <w:pStyle w:val="ListBullet"/>
        <w:spacing w:after="60"/>
      </w:pPr>
      <w:r>
        <w:rPr>
          <w:b/>
          <w:i w:val="0"/>
          <w:sz w:val="20"/>
        </w:rPr>
        <w:t>Uji real-time di perangkat.</w:t>
      </w:r>
      <w:r>
        <w:rPr>
          <w:b w:val="0"/>
          <w:i w:val="0"/>
          <w:sz w:val="20"/>
        </w:rPr>
        <w:t xml:space="preserve"> Model INT8 dijalankan di board ESP32-S3 (device 1001) nonstop ±11,7 menit dengan paparan H2 dan udara bersih; hasil klasifikasi dibandingkan dengan gas sebenarnya yang dipaparkan.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Sebaran data per kondisi gas dan sensor yang dipakai</w:t>
      </w:r>
    </w:p>
    <w:p>
      <w:pPr>
        <w:pStyle w:val="Heading1"/>
      </w:pPr>
      <w:r>
        <w:rPr>
          <w:color w:val="1B2A4A"/>
        </w:rPr>
        <w:t>4. Hasil</w:t>
      </w:r>
    </w:p>
    <w:p>
      <w:pPr>
        <w:pStyle w:val="Heading2"/>
      </w:pPr>
      <w:r>
        <w:rPr>
          <w:color w:val="1B2A4A"/>
        </w:rPr>
        <w:t>4.1 Akurasi pada data uji (dataset pengembangan)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4896"/>
      </w:tblGrid>
      <w:tr>
        <w:tc>
          <w:tcPr>
            <w:tcW w:type="dxa" w:w="504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89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Akurasi keseluruhan (374 data uji)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50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F1-score rata-rata</w:t>
            </w:r>
          </w:p>
        </w:tc>
        <w:tc>
          <w:tcPr>
            <w:tcW w:type="dxa" w:w="48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99,56%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LPG (220 data)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50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CO₂ (109 data)</w:t>
            </w:r>
          </w:p>
        </w:tc>
        <w:tc>
          <w:tcPr>
            <w:tcW w:type="dxa" w:w="48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udara bersih (45 data)</w:t>
            </w:r>
          </w:p>
        </w:tc>
        <w:tc>
          <w:tcPr>
            <w:tcW w:type="dxa" w:w="489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98%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hasil_uj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3. Hasil uji model dan confusion matrix</w:t>
      </w:r>
    </w:p>
    <w:p>
      <w:pPr>
        <w:pStyle w:val="Heading2"/>
      </w:pPr>
      <w:r>
        <w:rPr>
          <w:color w:val="1B2A4A"/>
        </w:rPr>
        <w:t>4.2 Kuantisasi untuk ESP32-S3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320"/>
        <w:gridCol w:w="2736"/>
        <w:gridCol w:w="2880"/>
      </w:tblGrid>
      <w:tr>
        <w:tc>
          <w:tcPr>
            <w:tcW w:type="dxa" w:w="43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Versi model</w:t>
            </w:r>
          </w:p>
        </w:tc>
        <w:tc>
          <w:tcPr>
            <w:tcW w:type="dxa" w:w="273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28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Akurasi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Keras (asli)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57,95 KB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TFLite float32</w:t>
            </w:r>
          </w:p>
        </w:tc>
        <w:tc>
          <w:tcPr>
            <w:tcW w:type="dxa" w:w="273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11,29 KB</w:t>
            </w:r>
          </w:p>
        </w:tc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99,73%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TFLite INT8 (format yang ditanam di perangkat)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9,14 KB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99,20%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Model diperkecil 84% dengan penurunan akurasi hanya 0,53 poin persen.</w:t>
      </w:r>
    </w:p>
    <w:p>
      <w:pPr>
        <w:pStyle w:val="Heading2"/>
      </w:pPr>
      <w:r>
        <w:rPr>
          <w:color w:val="1B2A4A"/>
        </w:rPr>
        <w:t>4.3 Uji real-time di perangkat (label Clean Air, LPG, H2)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320"/>
        <w:gridCol w:w="5616"/>
      </w:tblGrid>
      <w:tr>
        <w:tc>
          <w:tcPr>
            <w:tcW w:type="dxa" w:w="43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561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Perangkat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Board ESP32-S3 GLD, device 1001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Durasi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±11,7 menit nonstop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Jumlah pembacaan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1.176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Gas yang dipaparkan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H2 dan udara bersih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Akurasi real-time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97,65%</w:t>
            </w:r>
          </w:p>
        </w:tc>
      </w:tr>
      <w:tr>
        <w:tc>
          <w:tcPr>
            <w:tcW w:type="dxa" w:w="43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56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98,4% (676 benar dari 687)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Udara bersih</w:t>
            </w:r>
          </w:p>
        </w:tc>
        <w:tc>
          <w:tcPr>
            <w:tcW w:type="dxa" w:w="5616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Presisi 96,9% (474 benar dari 489)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9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real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4. Hasil uji real-time di perangkat (device 1001)</w:t>
      </w:r>
    </w:p>
    <w:p>
      <w:pPr>
        <w:pStyle w:val="Heading1"/>
      </w:pPr>
      <w:r>
        <w:rPr>
          <w:color w:val="1B2A4A"/>
        </w:rPr>
        <w:t>5.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Kedelapan sensor menghasilkan data valid; dataset pengembangan 1.870 pembacaan berhasil disusun (FAT-01 lulus).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Pada dataset pengembangan, model mencapai akurasi 99,73% pada data uji dan 99,20% setelah kuantisasi INT8 berukuran 9,14 KB.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 perangkat (label Clean Air, LPG, H2), model berjalan langsung di ESP32-S3 dengan akurasi real-time 97,65% pada paparan H2 dan udara bersih; keputusan alarm diambil di node tanpa menunggu server (FAT-02 lulus). Deteksi LPG di perangkat dibuktikan pada uji alarm otomatis (FAT-06).</w:t>
      </w:r>
    </w:p>
    <w:p>
      <w:pPr>
        <w:pStyle w:val="Heading1"/>
      </w:pPr>
      <w:r>
        <w:rPr>
          <w:color w:val="1B2A4A"/>
        </w:rPr>
        <w:t>6.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LGU/GLD/UJI-LAB/2026-001  ·  Rev. 1.1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01 — Model AI GLD  | 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