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1.2</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4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untuk pengesahan — hasil uji laboratorium,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448"/>
        <w:gridCol w:w="1872"/>
        <w:gridCol w:w="5616"/>
      </w:tblGrid>
      <w:tr>
        <w:tc>
          <w:tcPr>
            <w:tcW w:type="dxa" w:w="2448"/>
            <w:shd w:val="clear" w:color="auto" w:fill="1B2A4A"/>
          </w:tcPr>
          <w:p>
            <w:pPr>
              <w:spacing w:after="20"/>
            </w:pPr>
            <w:r>
              <w:rPr>
                <w:b/>
                <w:color w:val="FFFFFF"/>
                <w:sz w:val="18"/>
              </w:rPr>
              <w:t>Perangkat</w:t>
            </w:r>
          </w:p>
        </w:tc>
        <w:tc>
          <w:tcPr>
            <w:tcW w:type="dxa" w:w="1872"/>
            <w:shd w:val="clear" w:color="auto" w:fill="1B2A4A"/>
          </w:tcPr>
          <w:p>
            <w:pPr>
              <w:spacing w:after="20"/>
            </w:pPr>
            <w:r>
              <w:rPr>
                <w:b/>
                <w:color w:val="FFFFFF"/>
                <w:sz w:val="18"/>
              </w:rPr>
              <w:t>Jumlah tersedia</w:t>
            </w:r>
          </w:p>
        </w:tc>
        <w:tc>
          <w:tcPr>
            <w:tcW w:type="dxa" w:w="5616"/>
            <w:shd w:val="clear" w:color="auto" w:fill="1B2A4A"/>
          </w:tcPr>
          <w:p>
            <w:pPr>
              <w:spacing w:after="20"/>
            </w:pPr>
            <w:r>
              <w:rPr>
                <w:b/>
                <w:color w:val="FFFFFF"/>
                <w:sz w:val="18"/>
              </w:rPr>
              <w:t>Keterangan</w:t>
            </w:r>
          </w:p>
        </w:tc>
      </w:tr>
      <w:tr>
        <w:tc>
          <w:tcPr>
            <w:tcW w:type="dxa" w:w="2448"/>
          </w:tcPr>
          <w:p>
            <w:pPr>
              <w:spacing w:after="20"/>
            </w:pPr>
            <w:r>
              <w:rPr>
                <w:b w:val="0"/>
                <w:i w:val="0"/>
                <w:sz w:val="18"/>
              </w:rPr>
              <w:t>Node sensor GLD</w:t>
            </w:r>
          </w:p>
        </w:tc>
        <w:tc>
          <w:tcPr>
            <w:tcW w:type="dxa" w:w="1872"/>
          </w:tcPr>
          <w:p>
            <w:pPr>
              <w:spacing w:after="20"/>
            </w:pPr>
            <w:r>
              <w:rPr>
                <w:b w:val="0"/>
                <w:i w:val="0"/>
                <w:sz w:val="18"/>
              </w:rPr>
              <w:t>4 unit</w:t>
            </w:r>
          </w:p>
        </w:tc>
        <w:tc>
          <w:tcPr>
            <w:tcW w:type="dxa" w:w="5616"/>
          </w:tcPr>
          <w:p>
            <w:pPr>
              <w:spacing w:after="20"/>
            </w:pPr>
            <w:r>
              <w:rPr>
                <w:b w:val="0"/>
                <w:i w:val="0"/>
                <w:sz w:val="18"/>
              </w:rPr>
              <w:t>8 sensor MQ, ESP32-S3, LoRa; 3 unit untuk RU IV + 1 cadangan</w:t>
            </w:r>
          </w:p>
        </w:tc>
      </w:tr>
      <w:tr>
        <w:tc>
          <w:tcPr>
            <w:tcW w:type="dxa" w:w="2448"/>
            <w:shd w:val="clear" w:color="auto" w:fill="FAFAF8"/>
          </w:tcPr>
          <w:p>
            <w:pPr>
              <w:spacing w:after="20"/>
            </w:pPr>
            <w:r>
              <w:rPr>
                <w:b w:val="0"/>
                <w:i w:val="0"/>
                <w:sz w:val="18"/>
              </w:rPr>
              <w:t>Cluster Head (CH)</w:t>
            </w:r>
          </w:p>
        </w:tc>
        <w:tc>
          <w:tcPr>
            <w:tcW w:type="dxa" w:w="1872"/>
            <w:shd w:val="clear" w:color="auto" w:fill="FAFAF8"/>
          </w:tcPr>
          <w:p>
            <w:pPr>
              <w:spacing w:after="20"/>
            </w:pPr>
            <w:r>
              <w:rPr>
                <w:b w:val="0"/>
                <w:i w:val="0"/>
                <w:sz w:val="18"/>
              </w:rPr>
              <w:t>16 unit</w:t>
            </w:r>
          </w:p>
        </w:tc>
        <w:tc>
          <w:tcPr>
            <w:tcW w:type="dxa" w:w="5616"/>
            <w:shd w:val="clear" w:color="auto" w:fill="FAFAF8"/>
          </w:tcPr>
          <w:p>
            <w:pPr>
              <w:spacing w:after="20"/>
            </w:pPr>
            <w:r>
              <w:rPr>
                <w:b w:val="0"/>
                <w:i w:val="0"/>
                <w:sz w:val="18"/>
              </w:rPr>
              <w:t>9 unit besar + 7 unit kecil; panel surya + baterai</w:t>
            </w:r>
          </w:p>
        </w:tc>
      </w:tr>
      <w:tr>
        <w:tc>
          <w:tcPr>
            <w:tcW w:type="dxa" w:w="2448"/>
          </w:tcPr>
          <w:p>
            <w:pPr>
              <w:spacing w:after="20"/>
            </w:pPr>
            <w:r>
              <w:rPr>
                <w:b w:val="0"/>
                <w:i w:val="0"/>
                <w:sz w:val="18"/>
              </w:rPr>
              <w:t>Gateway</w:t>
            </w:r>
          </w:p>
        </w:tc>
        <w:tc>
          <w:tcPr>
            <w:tcW w:type="dxa" w:w="1872"/>
          </w:tcPr>
          <w:p>
            <w:pPr>
              <w:spacing w:after="20"/>
            </w:pPr>
            <w:r>
              <w:rPr>
                <w:b w:val="0"/>
                <w:i w:val="0"/>
                <w:sz w:val="18"/>
              </w:rPr>
              <w:t>1 unit</w:t>
            </w:r>
          </w:p>
        </w:tc>
        <w:tc>
          <w:tcPr>
            <w:tcW w:type="dxa" w:w="5616"/>
          </w:tcPr>
          <w:p>
            <w:pPr>
              <w:spacing w:after="20"/>
            </w:pPr>
            <w:r>
              <w:rPr>
                <w:b w:val="0"/>
                <w:i w:val="0"/>
                <w:sz w:val="18"/>
              </w:rPr>
              <w:t>Radio mesh LoRa → Wi-Fi → MQTT</w:t>
            </w:r>
          </w:p>
        </w:tc>
      </w:tr>
      <w:tr>
        <w:tc>
          <w:tcPr>
            <w:tcW w:type="dxa" w:w="2448"/>
            <w:shd w:val="clear" w:color="auto" w:fill="FAFAF8"/>
          </w:tcPr>
          <w:p>
            <w:pPr>
              <w:spacing w:after="20"/>
            </w:pPr>
            <w:r>
              <w:rPr>
                <w:b w:val="0"/>
                <w:i w:val="0"/>
                <w:sz w:val="18"/>
              </w:rPr>
              <w:t>Server laboratorium</w:t>
            </w:r>
          </w:p>
        </w:tc>
        <w:tc>
          <w:tcPr>
            <w:tcW w:type="dxa" w:w="1872"/>
            <w:shd w:val="clear" w:color="auto" w:fill="FAFAF8"/>
          </w:tcPr>
          <w:p>
            <w:pPr>
              <w:spacing w:after="20"/>
            </w:pPr>
            <w:r>
              <w:rPr>
                <w:b w:val="0"/>
                <w:i w:val="0"/>
                <w:sz w:val="18"/>
              </w:rPr>
              <w:t>1 set</w:t>
            </w:r>
          </w:p>
        </w:tc>
        <w:tc>
          <w:tcPr>
            <w:tcW w:type="dxa" w:w="561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Akurasi uji 99,73%; INT8 di chip 99,20%; real-time di perangkat 97,65%</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87% pada 200 m terhalang gedung</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saat GLD disemprot LPG; diterima server di bawah 30 detik</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Ketujuh item lulus. Penerimaan resmi ditetapkan melalui lembar pengesahan (Bagian 5).</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Dataset 1.870 pembacaan unik dari 8 sensor pada 3 kondisi gas berhasil disusun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Model dilatih dan diuji pada data yang belum pernah dilihat, dikuantisasi INT8, ditanam di firmware, lalu diuji real-time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muat di memori ESP32-S3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Akurasi data uji 99,73% (374 data, F1 rata-rata 99,56%); model INT8 9,14 KB akurasi 99,20%; uji real-time di perangkat ±11,7 menit nonstop, 1.176 pembacaan, akurasi 97,65% (H2 presisi 98,4%; udara bersih 96,9%).</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hasil uji, uji real-time, kuantisasi).</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jarak operasional yang direncanakan antar-hop.</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177 m (depan LFT) dan 243 m (Gerbang Utara); PDR 87% pada 200 m terhalang gedung (STEI Lt.2); di atas ±340 m atau terhalang berat link putus. Keterbatasan jarak per-hop diatasi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Catatan uji CH (Mei 2026) dan uji mesh 8 CH (16 Juli 2026),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(KPI proposal: Response Time ≤30 detik).</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otomatis tanpa pull request (uji 6–8 Agustus 2026). Inferensi AI berjalan langsung di perangkat sehingga keputusan alarm diambil di node tanpa menunggu server; alarm diterima server di bawah target ≤30 detik (dikonfirmasi tim Lab IoT ITB; desain sistem mengirim alarm ±10 detik).</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alarm tampil di dashboard laboratorium. Permintaan Pertamina 6 Agustus (kolom Area dan identitas peralatan, tampilan ppm real-time) ditindaklanjuti pada tahap berikutnya.</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Lembar pengesahan</w:t>
      </w:r>
    </w:p>
    <w:p>
      <w:pPr>
        <w:spacing w:after="120"/>
      </w:pPr>
      <w:r>
        <w:rPr>
          <w:b w:val="0"/>
          <w:i w:val="0"/>
          <w:sz w:val="19"/>
        </w:rPr>
        <w:t>Dengan ditandatanganinya lembar ini, para pihak menyatakan telah memeriksa dan/atau menyaksikan hasil Factory Acceptance Test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Catatan uji CH (Mei 2026) dan uji mesh 8 CH (16 Juli 2026)</w:t>
            </w:r>
          </w:p>
        </w:tc>
        <w:tc>
          <w:tcPr>
            <w:tcW w:type="dxa" w:w="2736"/>
            <w:shd w:val="clear" w:color="auto" w:fill="FAFAF8"/>
          </w:tcPr>
          <w:p>
            <w:pPr>
              <w:spacing w:after="20"/>
            </w:pPr>
            <w:r>
              <w:rPr>
                <w:b w:val="0"/>
                <w:i w:val="0"/>
                <w:sz w:val="18"/>
              </w:rPr>
              <w:t>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FAT-05,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bl>
    <w:p>
      <w:pPr>
        <w:spacing w:after="4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LGU/GLD/FAT/2026-001  ·  Rev. 1.2</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Factory Acceptance Test — Sistem GLD Tahap 2  |  Draf untuk Pengesahan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