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1.4</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5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Untuk pengesahan — hasil uji laboratorium (FAT),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160"/>
        <w:gridCol w:w="2880"/>
        <w:gridCol w:w="4896"/>
      </w:tblGrid>
      <w:tr>
        <w:tc>
          <w:tcPr>
            <w:tcW w:type="dxa" w:w="2160"/>
            <w:shd w:val="clear" w:color="auto" w:fill="1B2A4A"/>
          </w:tcPr>
          <w:p>
            <w:pPr>
              <w:spacing w:after="20"/>
            </w:pPr>
            <w:r>
              <w:rPr>
                <w:b/>
                <w:color w:val="FFFFFF"/>
                <w:sz w:val="18"/>
              </w:rPr>
              <w:t>Perangkat</w:t>
            </w:r>
          </w:p>
        </w:tc>
        <w:tc>
          <w:tcPr>
            <w:tcW w:type="dxa" w:w="2880"/>
            <w:shd w:val="clear" w:color="auto" w:fill="1B2A4A"/>
          </w:tcPr>
          <w:p>
            <w:pPr>
              <w:spacing w:after="20"/>
            </w:pPr>
            <w:r>
              <w:rPr>
                <w:b/>
                <w:color w:val="FFFFFF"/>
                <w:sz w:val="18"/>
              </w:rPr>
              <w:t>Jumlah tersedia</w:t>
            </w:r>
          </w:p>
        </w:tc>
        <w:tc>
          <w:tcPr>
            <w:tcW w:type="dxa" w:w="4896"/>
            <w:shd w:val="clear" w:color="auto" w:fill="1B2A4A"/>
          </w:tcPr>
          <w:p>
            <w:pPr>
              <w:spacing w:after="20"/>
            </w:pPr>
            <w:r>
              <w:rPr>
                <w:b/>
                <w:color w:val="FFFFFF"/>
                <w:sz w:val="18"/>
              </w:rPr>
              <w:t>Dipakai dalam uji FAT</w:t>
            </w:r>
          </w:p>
        </w:tc>
      </w:tr>
      <w:tr>
        <w:tc>
          <w:tcPr>
            <w:tcW w:type="dxa" w:w="2160"/>
          </w:tcPr>
          <w:p>
            <w:pPr>
              <w:spacing w:after="20"/>
            </w:pPr>
            <w:r>
              <w:rPr>
                <w:b w:val="0"/>
                <w:i w:val="0"/>
                <w:sz w:val="18"/>
              </w:rPr>
              <w:t>Node sensor GLD</w:t>
            </w:r>
          </w:p>
        </w:tc>
        <w:tc>
          <w:tcPr>
            <w:tcW w:type="dxa" w:w="2880"/>
          </w:tcPr>
          <w:p>
            <w:pPr>
              <w:spacing w:after="20"/>
            </w:pPr>
            <w:r>
              <w:rPr>
                <w:b w:val="0"/>
                <w:i w:val="0"/>
                <w:sz w:val="18"/>
              </w:rPr>
              <w:t>4 unit (3 untuk RU IV + 1 cadangan)</w:t>
            </w:r>
          </w:p>
        </w:tc>
        <w:tc>
          <w:tcPr>
            <w:tcW w:type="dxa" w:w="4896"/>
          </w:tcPr>
          <w:p>
            <w:pPr>
              <w:spacing w:after="20"/>
            </w:pPr>
            <w:r>
              <w:rPr>
                <w:b w:val="0"/>
                <w:i w:val="0"/>
                <w:sz w:val="18"/>
              </w:rPr>
              <w:t>Uji real-time AI pada device 1001; uji CH dan downlink pada node beralamat 0xAA01 dan 0xF020</w:t>
            </w:r>
          </w:p>
        </w:tc>
      </w:tr>
      <w:tr>
        <w:tc>
          <w:tcPr>
            <w:tcW w:type="dxa" w:w="2160"/>
            <w:shd w:val="clear" w:color="auto" w:fill="FAFAF8"/>
          </w:tcPr>
          <w:p>
            <w:pPr>
              <w:spacing w:after="20"/>
            </w:pPr>
            <w:r>
              <w:rPr>
                <w:b w:val="0"/>
                <w:i w:val="0"/>
                <w:sz w:val="18"/>
              </w:rPr>
              <w:t>Cluster Head (CH)</w:t>
            </w:r>
          </w:p>
        </w:tc>
        <w:tc>
          <w:tcPr>
            <w:tcW w:type="dxa" w:w="2880"/>
            <w:shd w:val="clear" w:color="auto" w:fill="FAFAF8"/>
          </w:tcPr>
          <w:p>
            <w:pPr>
              <w:spacing w:after="20"/>
            </w:pPr>
            <w:r>
              <w:rPr>
                <w:b w:val="0"/>
                <w:i w:val="0"/>
                <w:sz w:val="18"/>
              </w:rPr>
              <w:t>16 unit (9 besar + 7 kecil)</w:t>
            </w:r>
          </w:p>
        </w:tc>
        <w:tc>
          <w:tcPr>
            <w:tcW w:type="dxa" w:w="4896"/>
            <w:shd w:val="clear" w:color="auto" w:fill="FAFAF8"/>
          </w:tcPr>
          <w:p>
            <w:pPr>
              <w:spacing w:after="20"/>
            </w:pPr>
            <w:r>
              <w:rPr>
                <w:b w:val="0"/>
                <w:i w:val="0"/>
                <w:sz w:val="18"/>
              </w:rPr>
              <w:t>3 unit pada uji failover dan alarm otomatis; 8 unit pada uji mesh 16 Juli 2026</w:t>
            </w:r>
          </w:p>
        </w:tc>
      </w:tr>
      <w:tr>
        <w:tc>
          <w:tcPr>
            <w:tcW w:type="dxa" w:w="2160"/>
          </w:tcPr>
          <w:p>
            <w:pPr>
              <w:spacing w:after="20"/>
            </w:pPr>
            <w:r>
              <w:rPr>
                <w:b w:val="0"/>
                <w:i w:val="0"/>
                <w:sz w:val="18"/>
              </w:rPr>
              <w:t>Gateway</w:t>
            </w:r>
          </w:p>
        </w:tc>
        <w:tc>
          <w:tcPr>
            <w:tcW w:type="dxa" w:w="2880"/>
          </w:tcPr>
          <w:p>
            <w:pPr>
              <w:spacing w:after="20"/>
            </w:pPr>
            <w:r>
              <w:rPr>
                <w:b w:val="0"/>
                <w:i w:val="0"/>
                <w:sz w:val="18"/>
              </w:rPr>
              <w:t>1 unit</w:t>
            </w:r>
          </w:p>
        </w:tc>
        <w:tc>
          <w:tcPr>
            <w:tcW w:type="dxa" w:w="4896"/>
          </w:tcPr>
          <w:p>
            <w:pPr>
              <w:spacing w:after="20"/>
            </w:pPr>
            <w:r>
              <w:rPr>
                <w:b w:val="0"/>
                <w:i w:val="0"/>
                <w:sz w:val="18"/>
              </w:rPr>
              <w:t>1 unit (radio mesh LoRa → Wi-Fi → MQTT)</w:t>
            </w:r>
          </w:p>
        </w:tc>
      </w:tr>
      <w:tr>
        <w:tc>
          <w:tcPr>
            <w:tcW w:type="dxa" w:w="2160"/>
            <w:shd w:val="clear" w:color="auto" w:fill="FAFAF8"/>
          </w:tcPr>
          <w:p>
            <w:pPr>
              <w:spacing w:after="20"/>
            </w:pPr>
            <w:r>
              <w:rPr>
                <w:b w:val="0"/>
                <w:i w:val="0"/>
                <w:sz w:val="18"/>
              </w:rPr>
              <w:t>Server laboratorium</w:t>
            </w:r>
          </w:p>
        </w:tc>
        <w:tc>
          <w:tcPr>
            <w:tcW w:type="dxa" w:w="2880"/>
            <w:shd w:val="clear" w:color="auto" w:fill="FAFAF8"/>
          </w:tcPr>
          <w:p>
            <w:pPr>
              <w:spacing w:after="20"/>
            </w:pPr>
            <w:r>
              <w:rPr>
                <w:b w:val="0"/>
                <w:i w:val="0"/>
                <w:sz w:val="18"/>
              </w:rPr>
              <w:t>1 set</w:t>
            </w:r>
          </w:p>
        </w:tc>
        <w:tc>
          <w:tcPr>
            <w:tcW w:type="dxa" w:w="489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AI berjalan di perangkat; uji real-time 97,65%; validasi model 99,73% (INT8 99,20%)</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jalur pandang bebas; batas jangkauan per hop teridentifikasi</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di server saat GLD disemprot LPG, tanpa permintaan data</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Ketujuh item lulus. Penerimaan hasil uji dinyatakan melalui lembar pengesahan uji (Bagian 5).</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8 dari 8 kanal terbaca valid. Dataset pengembangan 1.870 pembacaan unik dari 8 sensor berhasil disusun pada 3 kondisi (LPG, CO₂, udara bersih), dibagi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(a) Validasi model pada dataset pengembangan: model dilatih dan diuji pada data yang belum pernah dilihat, lalu dikuantisasi INT8 agar muat di ESP32-S3. (b) Uji real-time di perangkat: model ditanam di firmware dan dijalankan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berjalan di ESP32-S3 tanpa server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 Dataset pengembangan (LPG, CO₂, udara bersih): akurasi data uji 99,73% (374 data, F1 rata-rata 99,56%); setelah kuantisasi INT8 (9,14 KB) 99,20%. (b) Konfigurasi model di perangkat sesuai Technical Datasheet Rev 4.0 (4 September 2026): label Clean Air, LPG, dan H2 beserta nilai confidence. Uji real-time di perangkat ±11,7 menit nonstop, 1.176 pembacaan, akurasi 97,65% (H2 presisi 98,4%; udara bersih 96,9%). Deteksi LPG di perangkat dibuktikan pada FAT-06.</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Technical Datasheet Rev 4.0 Gas Leak Detector (bagian 4.1, keluaran klasifikasi); Laporan Uji Laboratorium 01.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link jalur pandang bebas antar-hop, dan batas jangkauan per hop teridentifikasi sebagai dasar penempatan GLD dan CH.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link jalur pandang bebas 177 m (depan LFT) dan 243 m (Gerbang Utara). Batas jangkauan teridentifikasi: PDR 87% pada 201 m terhalang gedung (STEI Lt.2); link putus di atas ±340 m atau saat terhalang berat. Jarak antar-hop di lokasi ditetapkan di bawah batas ini dan jangkauan diperluas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Kutipan catatan uji Lab IoT ITB: uji CH dan failover (Mei 2026), uji mesh 8 CH dan downlink (16 Juli 2026); Laporan Uji Laboratorium 03.</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tanpa permintaan data dari server (push).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secara otomatis tanpa permintaan data dari server (uji 6–8 Agustus 2026). Keputusan alarm diambil di node oleh AI di perangkat, lalu dikirim langsung ke server. Waktu respons tidak diukur dengan pencatat waktu pada uji ini; interval laporan radio sesuai desain adalah 10 detik (Technical Datasheet Rev 4.0). Waktu respons terhadap KPI proposal (≤30 detik) diukur pada Site Acceptance Test di lokasi.</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status alarm tiap node tampil di dashboard laboratorium. Masukan Pertamina pada rapat 6 Agustus 2026 (kolom Area dan identitas peralatan, tampilan ppm real-time) merupakan penyesuaian tampilan aplikasi untuk lokasi; tidak termasuk kriteria FAT-07 dan dikerjakan pada konfigurasi aplikasi di lokasi.</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Lembar pengesahan uji</w:t>
      </w:r>
    </w:p>
    <w:p>
      <w:pPr>
        <w:spacing w:after="120"/>
      </w:pPr>
      <w:r>
        <w:rPr>
          <w:b w:val="0"/>
          <w:i w:val="0"/>
          <w:sz w:val="19"/>
        </w:rPr>
        <w:t>Dengan ditandatanganinya lembar ini, para pihak menyatakan telah memeriksa dan/atau menyaksikan hasil Factory Acceptance Test FAT-01 sampai FAT-07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Kutipan catatan uji Lab IoT ITB: uji CH dan failover (Mei 2026), baseline LoRa, uji mesh 8 CH dan downlink (16 Juli 2026)</w:t>
            </w:r>
          </w:p>
        </w:tc>
        <w:tc>
          <w:tcPr>
            <w:tcW w:type="dxa" w:w="2736"/>
            <w:shd w:val="clear" w:color="auto" w:fill="FAFAF8"/>
          </w:tcPr>
          <w:p>
            <w:pPr>
              <w:spacing w:after="20"/>
            </w:pPr>
            <w:r>
              <w:rPr>
                <w:b w:val="0"/>
                <w:i w:val="0"/>
                <w:sz w:val="18"/>
              </w:rPr>
              <w:t>FAT-03, 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FAT-02, FAT-05, FAT-06,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r>
        <w:tc>
          <w:tcPr>
            <w:tcW w:type="dxa" w:w="576"/>
          </w:tcPr>
          <w:p>
            <w:pPr>
              <w:spacing w:after="20"/>
            </w:pPr>
            <w:r>
              <w:rPr>
                <w:b w:val="0"/>
                <w:i w:val="0"/>
                <w:sz w:val="18"/>
              </w:rPr>
              <w:t>7</w:t>
            </w:r>
          </w:p>
        </w:tc>
        <w:tc>
          <w:tcPr>
            <w:tcW w:type="dxa" w:w="6624"/>
          </w:tcPr>
          <w:p>
            <w:pPr>
              <w:spacing w:after="20"/>
            </w:pPr>
            <w:r>
              <w:rPr>
                <w:b w:val="0"/>
                <w:i w:val="0"/>
                <w:sz w:val="18"/>
              </w:rPr>
              <w:t>Laporan Uji Laboratorium 01 — Model AI (LGU/GLD/UJI-LAB/2026-001)</w:t>
            </w:r>
          </w:p>
        </w:tc>
        <w:tc>
          <w:tcPr>
            <w:tcW w:type="dxa" w:w="2736"/>
          </w:tcPr>
          <w:p>
            <w:pPr>
              <w:spacing w:after="20"/>
            </w:pPr>
            <w:r>
              <w:rPr>
                <w:b w:val="0"/>
                <w:i w:val="0"/>
                <w:sz w:val="18"/>
              </w:rPr>
              <w:t>FAT-01, FAT-02</w:t>
            </w:r>
          </w:p>
        </w:tc>
      </w:tr>
      <w:tr>
        <w:tc>
          <w:tcPr>
            <w:tcW w:type="dxa" w:w="576"/>
            <w:shd w:val="clear" w:color="auto" w:fill="FAFAF8"/>
          </w:tcPr>
          <w:p>
            <w:pPr>
              <w:spacing w:after="20"/>
            </w:pPr>
            <w:r>
              <w:rPr>
                <w:b w:val="0"/>
                <w:i w:val="0"/>
                <w:sz w:val="18"/>
              </w:rPr>
              <w:t>8</w:t>
            </w:r>
          </w:p>
        </w:tc>
        <w:tc>
          <w:tcPr>
            <w:tcW w:type="dxa" w:w="6624"/>
            <w:shd w:val="clear" w:color="auto" w:fill="FAFAF8"/>
          </w:tcPr>
          <w:p>
            <w:pPr>
              <w:spacing w:after="20"/>
            </w:pPr>
            <w:r>
              <w:rPr>
                <w:b w:val="0"/>
                <w:i w:val="0"/>
                <w:sz w:val="18"/>
              </w:rPr>
              <w:t>Laporan Uji Laboratorium 02 — Komunikasi LoRa (LGU/GLD/UJI-LAB/2026-002)</w:t>
            </w:r>
          </w:p>
        </w:tc>
        <w:tc>
          <w:tcPr>
            <w:tcW w:type="dxa" w:w="2736"/>
            <w:shd w:val="clear" w:color="auto" w:fill="FAFAF8"/>
          </w:tcPr>
          <w:p>
            <w:pPr>
              <w:spacing w:after="20"/>
            </w:pPr>
            <w:r>
              <w:rPr>
                <w:b w:val="0"/>
                <w:i w:val="0"/>
                <w:sz w:val="18"/>
              </w:rPr>
              <w:t>FAT-03</w:t>
            </w:r>
          </w:p>
        </w:tc>
      </w:tr>
      <w:tr>
        <w:tc>
          <w:tcPr>
            <w:tcW w:type="dxa" w:w="576"/>
          </w:tcPr>
          <w:p>
            <w:pPr>
              <w:spacing w:after="20"/>
            </w:pPr>
            <w:r>
              <w:rPr>
                <w:b w:val="0"/>
                <w:i w:val="0"/>
                <w:sz w:val="18"/>
              </w:rPr>
              <w:t>9</w:t>
            </w:r>
          </w:p>
        </w:tc>
        <w:tc>
          <w:tcPr>
            <w:tcW w:type="dxa" w:w="6624"/>
          </w:tcPr>
          <w:p>
            <w:pPr>
              <w:spacing w:after="20"/>
            </w:pPr>
            <w:r>
              <w:rPr>
                <w:b w:val="0"/>
                <w:i w:val="0"/>
                <w:sz w:val="18"/>
              </w:rPr>
              <w:t>Laporan Uji Laboratorium 03 — Mesh, Failover, Downlink &amp; Integrasi (LGU/GLD/UJI-LAB/2026-003)</w:t>
            </w:r>
          </w:p>
        </w:tc>
        <w:tc>
          <w:tcPr>
            <w:tcW w:type="dxa" w:w="2736"/>
          </w:tcPr>
          <w:p>
            <w:pPr>
              <w:spacing w:after="20"/>
            </w:pPr>
            <w:r>
              <w:rPr>
                <w:b w:val="0"/>
                <w:i w:val="0"/>
                <w:sz w:val="18"/>
              </w:rPr>
              <w:t>FAT-04 s.d. FAT-07</w:t>
            </w:r>
          </w:p>
        </w:tc>
      </w:tr>
    </w:tbl>
    <w:p>
      <w:pPr>
        <w:spacing w:after="4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LGU/GLD/FAT/2026-001  ·  Rev. 1.4</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Factory Acceptance Test — Sistem GLD Tahap 2  |  Untuk Pengesahan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