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B335F"/>
          <w:sz w:val="26"/>
        </w:rPr>
        <w:t>PT LAPI GANESHA UTAMA</w:t>
      </w:r>
    </w:p>
    <w:p>
      <w:pPr>
        <w:spacing w:after="280"/>
      </w:pPr>
      <w:r>
        <w:rPr>
          <w:color w:val="555B66"/>
          <w:sz w:val="18"/>
        </w:rPr>
        <w:t>Bekerja sama dengan Institut Teknologi Bandung — Lab IoT &amp; Lab Fisika</w:t>
      </w:r>
    </w:p>
    <w:p>
      <w:pPr>
        <w:spacing w:after="40" w:before="0"/>
      </w:pPr>
      <w:r>
        <w:rPr>
          <w:b/>
          <w:i w:val="0"/>
          <w:color w:val="2B5FCB"/>
          <w:sz w:val="17"/>
        </w:rPr>
        <w:t>DRAF INTERNAL — BELUM DIKIRIM</w:t>
      </w:r>
    </w:p>
    <w:p>
      <w:pPr>
        <w:spacing w:after="80" w:before="0"/>
      </w:pPr>
      <w:r>
        <w:rPr>
          <w:b/>
          <w:i w:val="0"/>
          <w:color w:val="1B335F"/>
          <w:sz w:val="35"/>
        </w:rPr>
        <w:t>Isian Application Form for ATEX (GTS, Rev. A0)</w:t>
      </w:r>
    </w:p>
    <w:p>
      <w:pPr>
        <w:spacing w:after="240" w:before="0"/>
      </w:pPr>
      <w:r>
        <w:rPr>
          <w:b w:val="0"/>
          <w:i w:val="0"/>
          <w:color w:val="555B66"/>
          <w:sz w:val="22"/>
        </w:rPr>
        <w:t>Gas Leak Detector (GLD) V2 — Node Sensor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Formulir sumber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Application Form for ATEX, versi A0 — Shanghai Global Testing Services Co., Ltd. (GTS), diterima 23 Sep 2026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Berkas asli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Sumber Dokumen/input form sertifikasi/GTS_ATEX_Application_Form_A0.pdf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Dokumen acuan data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Dokumen Teknis Sertifikasi GLD IECEx/ATEX — No. LGU/GLD/IECEX-TDF/2026-001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Tujuan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Draf isian internal agar transkrip ke formulir resmi GTS tinggal salin — BUKAN berkas yang dikirim ke GTS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Status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Applicant sudah diputuskan (LGU). Sebagian field lain masih “Perlu keputusan”/data belum ada — lihat highlight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149174"/>
                <w:sz w:val="19"/>
              </w:rPr>
              <w:t xml:space="preserve">✓ Diputuskan:  </w:t>
            </w:r>
            <w:r>
              <w:rPr>
                <w:color w:val="262321"/>
                <w:sz w:val="19"/>
              </w:rPr>
              <w:t>Formulir GTS memisahkan dua entitas: “Applicant” (pemohon/委托方) dan “Manufacturer” (制造商). Dikonfirmasi user (23 Sep 2026): “Applicant” = PT LAPI Ganesha Utama (LGU) — konsisten dengan peran LGU sebagai design and development authority di dokumen sertifikasi (dec:130–131); PT Galaksi Megatama Indonesia tetap “Manufacturer”. Alamat resmi, PIC kontak, dan penandatangan LGU untuk pengajuan ini BELUM ada di berkas manapun di repo — masih perlu dilengkapi sebelum formulir bisa ditranskrip penuh.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1. Applicant Contact Information — Info Kontak Pemohon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5040"/>
        <w:gridCol w:w="2592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504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25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name — 委托方公司名称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di berkas manapun — perlu alamat resmi terdaftar LGU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Contact person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 — lihat Formulir_Isian_Data_Dasar butir 3.3 (PIC proyek sertifikasi)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Mobile / Tel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E-mail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ditentukan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Report &amp; invoice mailing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Diasumsikan alamat LGU (Applicant) — sama seperti alamat Applicant di atas, cek ulang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2. Data Utama (akan menjadi acuan sertifikat)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Kolom “Chinese” pada formulir asli tidak diisi di sini — belum ada terjemahan Mandarin resmi untuk data produk; tanyakan ke GTS apakah wajib disediakan pemohon atau diterjemahkan oleh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336"/>
        <w:gridCol w:w="1296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33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2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申请公司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申请公司地址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= baris Applicant company address di atas (belum ada data)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Manufacturer 制造商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Galaksi Megatama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制造商地址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Plaza Summarecon Bekasi, Jl. Bulevar Ahmad Yani Kav. K.01, Level 7, Harapanmulya Village, Medansatria Sub-district, Bekasi City, West Java 17143,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产品名称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Gas Leak Detector (GLD) — Node Sensor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Model No 全部型号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 (satu model saat ini; belum ada varian lain)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Main model 主测型号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Marking Code 防爆标识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final — tergantung Method of Protection yang belum diputuskan (lihat bagian Method of Protection). Draf tim per 24 Sep 2026 (bukan keputusan ExCB): II 2G Ex [db/ib] IIC T4 Gb (dipersempit ke Ex d atau Ex i, opsi Ex e/n/dst. sudah dikesampingkan tim). ⚠️ Draf tim yg sama sempat juga menulis “Ex tb IIIC T135°C Db, Tamb −40°C to +85°C” di bagian nameplate — TIDAK dipakai di sini krn ini disalin dari marking produk referensi (flame detector Talentum, bukan data GLD) dan bertentangan dgn tabel Mechanical Parameters di dokumen yg sama (−20°C to +60°C, dec:144); GLD juga belum pernah dinilai butuh proteksi debu (“D”/“tb”).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Rating 技术参数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24 VDC, arus maks. ≈0,33 A, daya maks. 7,995 W (≈8 W) — konfigurasi produksi (bukan varian baterai R&amp;D)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size and weight 产品尺寸及重量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200 × 90 × 290 mm; 2,378 kg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i w:val="0"/>
          <w:color w:val="1B335F"/>
          <w:sz w:val="19"/>
        </w:rPr>
        <w:t>Short description of product(s) / 产品的简要描述 — draf: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Draf (cek ulang):  </w:t>
            </w:r>
            <w:r>
              <w:rPr>
                <w:color w:val="262321"/>
                <w:sz w:val="19"/>
              </w:rPr>
              <w:t>“A fixed (stationary), wall/pipe-mounted wireless sensor node for continuous flammable and toxic gas leak detection in oil &amp; gas refinery processing areas. The unit samples ambient air via an internal MQ-series sensor array, classifies gas presence on-device using an embedded AI model, and reports readings and alarms over a LoRa wireless mesh network to a central monitoring system. Powered by a continuous 24 VDC site supply.”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B02A37"/>
          <w:sz w:val="25"/>
        </w:rPr>
        <w:t>Method of Protection — Belum diputuskan (penghambat utama, lihat dec:98)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 </w:t>
            </w:r>
            <w:r>
              <w:rPr>
                <w:color w:val="B56A1E"/>
                <w:sz w:val="19"/>
              </w:rPr>
              <w:t>Ini bukan sekadar formulir kosong — memilih salah satu opsi ini adalah keputusan rekayasa yang menentukan seluruh scope pengujian (flame-path, komponen bersertifikat Ex, dst.). Belum ada keputusan resmi. Kandidat yang relevan berdasarkan riset internal (bukan rekomendasi final): “Ex d” (flameproof enclosure — cocok untuk casing die-cast aluminium ADC12 yang sudah ada) dan/atau “Ex i” (intrinsic safety — relevan karena catu daya rendah, 24VDC/~8W) untuk sirkuit internal. Jangan mencentang opsi manapun sebelum ada keputusan tim engineering.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sz w:val="19"/>
        </w:rPr>
        <w:t>☐  Gas – Flameproof enclosures "d"</w:t>
      </w:r>
    </w:p>
    <w:p>
      <w:pPr>
        <w:spacing w:after="60"/>
      </w:pPr>
      <w:r>
        <w:rPr>
          <w:sz w:val="19"/>
        </w:rPr>
        <w:t>☐  Gas and Dust – Pressurized enclosures "p"</w:t>
      </w:r>
    </w:p>
    <w:p>
      <w:pPr>
        <w:spacing w:after="60"/>
      </w:pPr>
      <w:r>
        <w:rPr>
          <w:sz w:val="19"/>
        </w:rPr>
        <w:t>☐  Gas – Powder filling "q"</w:t>
      </w:r>
    </w:p>
    <w:p>
      <w:pPr>
        <w:spacing w:after="60"/>
      </w:pPr>
      <w:r>
        <w:rPr>
          <w:sz w:val="19"/>
        </w:rPr>
        <w:t>☐  Gas – Oil immersion "o"</w:t>
      </w:r>
    </w:p>
    <w:p>
      <w:pPr>
        <w:spacing w:after="60"/>
      </w:pPr>
      <w:r>
        <w:rPr>
          <w:sz w:val="19"/>
        </w:rPr>
        <w:t>☐  Gas – Increased safety "e"</w:t>
      </w:r>
    </w:p>
    <w:p>
      <w:pPr>
        <w:spacing w:after="60"/>
      </w:pPr>
      <w:r>
        <w:rPr>
          <w:sz w:val="19"/>
        </w:rPr>
        <w:t>☐  Gas and Dust – Intrinsic safety "i"</w:t>
      </w:r>
    </w:p>
    <w:p>
      <w:pPr>
        <w:spacing w:after="60"/>
      </w:pPr>
      <w:r>
        <w:rPr>
          <w:sz w:val="19"/>
        </w:rPr>
        <w:t>☐  Gas – Type of protection "n"</w:t>
      </w:r>
    </w:p>
    <w:p>
      <w:pPr>
        <w:spacing w:after="60"/>
      </w:pPr>
      <w:r>
        <w:rPr>
          <w:sz w:val="19"/>
        </w:rPr>
        <w:t>☐  Gas – Optical radiation "op"</w:t>
      </w:r>
    </w:p>
    <w:p>
      <w:pPr>
        <w:spacing w:after="60"/>
      </w:pPr>
      <w:r>
        <w:rPr>
          <w:sz w:val="19"/>
        </w:rPr>
        <w:t>☐  Gas and Dust – Encapsulation "m"</w:t>
      </w:r>
    </w:p>
    <w:p>
      <w:pPr>
        <w:spacing w:after="60"/>
      </w:pPr>
      <w:r>
        <w:rPr>
          <w:sz w:val="19"/>
        </w:rPr>
        <w:t>☐  Dust – Protection by enclosures "t"</w:t>
      </w:r>
    </w:p>
    <w:p>
      <w:pPr>
        <w:spacing w:after="60"/>
      </w:pPr>
      <w:r>
        <w:rPr>
          <w:sz w:val="19"/>
        </w:rPr>
        <w:t>☐  Safety-, Control-, Regulation Device (EN 50495)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Group Equipment, Explosion Subgroup, Level of Protection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Ditandai berdasarkan rekomendasi tim yang sudah tercatat di Dokumen Teknis Sertifikasi §2.5 — “Group II” konsisten dengan penggunaan non-tambang (refinery) dan relatif tidak ambigu; Subgroup/Level tetap berstatus rekomendasi tim, bukan keputusan ExCB.</w:t>
      </w:r>
    </w:p>
    <w:p>
      <w:pPr>
        <w:spacing w:after="60"/>
      </w:pPr>
      <w:r>
        <w:rPr>
          <w:sz w:val="19"/>
        </w:rPr>
        <w:t>☐  Group I (mining)</w:t>
      </w:r>
    </w:p>
    <w:p>
      <w:pPr>
        <w:spacing w:after="60"/>
      </w:pPr>
      <w:r>
        <w:rPr>
          <w:b/>
          <w:color w:val="1B335F"/>
          <w:sz w:val="19"/>
        </w:rPr>
        <w:t>☒  Group II (Non-mining equipment)</w:t>
      </w:r>
      <w:r>
        <w:rPr>
          <w:i/>
          <w:color w:val="555B66"/>
          <w:sz w:val="17"/>
        </w:rPr>
        <w:t xml:space="preserve">  — sesuai penggunaan refinery/non-tambang — relatif pasti</w:t>
      </w:r>
    </w:p>
    <w:p>
      <w:pPr>
        <w:spacing w:after="60"/>
      </w:pPr>
      <w:r>
        <w:rPr>
          <w:sz w:val="19"/>
        </w:rPr>
        <w:t>☐  Group III (Dust, IEC only)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Subgroup II</w:t>
      </w:r>
    </w:p>
    <w:p>
      <w:pPr>
        <w:spacing w:after="60"/>
      </w:pPr>
      <w:r>
        <w:rPr>
          <w:sz w:val="19"/>
        </w:rPr>
        <w:t>☐  Subgroup IIA</w:t>
      </w:r>
    </w:p>
    <w:p>
      <w:pPr>
        <w:spacing w:after="60"/>
      </w:pPr>
      <w:r>
        <w:rPr>
          <w:sz w:val="19"/>
        </w:rPr>
        <w:t>☐  Subgroup IIB</w:t>
      </w:r>
    </w:p>
    <w:p>
      <w:pPr>
        <w:spacing w:after="60"/>
      </w:pPr>
      <w:r>
        <w:rPr>
          <w:b/>
          <w:color w:val="1B335F"/>
          <w:sz w:val="19"/>
        </w:rPr>
        <w:t>☒  Subgroup IIC</w:t>
      </w:r>
      <w:r>
        <w:rPr>
          <w:i/>
          <w:color w:val="555B66"/>
          <w:sz w:val="17"/>
        </w:rPr>
        <w:t xml:space="preserve">  — rekomendasi tim (H₂ termasuk gas target) — BUKAN keputusan ExCB, lihat §2.5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Category 1 G/Ga (Zone 0)</w:t>
      </w:r>
    </w:p>
    <w:p>
      <w:pPr>
        <w:spacing w:after="60"/>
      </w:pPr>
      <w:r>
        <w:rPr>
          <w:b/>
          <w:color w:val="1B335F"/>
          <w:sz w:val="19"/>
        </w:rPr>
        <w:t>☒  Category 2 G/Gb (Zone 1)</w:t>
      </w:r>
      <w:r>
        <w:rPr>
          <w:i/>
          <w:color w:val="555B66"/>
          <w:sz w:val="17"/>
        </w:rPr>
        <w:t xml:space="preserve">  — rekomendasi tim — BUKAN keputusan ExCB, lihat §2.5</w:t>
      </w:r>
    </w:p>
    <w:p>
      <w:pPr>
        <w:spacing w:after="60"/>
      </w:pPr>
      <w:r>
        <w:rPr>
          <w:sz w:val="19"/>
        </w:rPr>
        <w:t>☐  Category 3 G/Gc (Zone 2)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IP Protection, Classification of Installation and Use, dan lainnya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048"/>
        <w:gridCol w:w="1152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04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15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IP Protection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IP66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Classification of installation and use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Stationary (dipasang tetap via bracket/U-bolt ke struktur pipa existing — bukan portable maupun hand-held)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Intended use limit for a certain kind of atmosphere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Flammable/toxic gas atmospheres di area proses kilang minyak &amp; gas; gas target sesuai model AI (Bagian 2.3.b) — draf, cek ulang cakupan resmi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Ambient pressure range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ada data pengujian — disarankan centang “No specified standard, lab to recommend” (无指定标准，由实验室推荐)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Sample Return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perlu keputusan admin/logistik (retur berbayar / diambil sendiri / dimusnahkan)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 w:before="0"/>
      </w:pPr>
      <w:r>
        <w:rPr>
          <w:b/>
          <w:i w:val="0"/>
          <w:color w:val="1B335F"/>
          <w:sz w:val="25"/>
        </w:rPr>
        <w:t>3. Documents Submitted — Status Kesiapan Berkas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Dicocokkan terhadap isi Dokumen Teknis Sertifikasi GLD IECEx/ATEX (Bagian 2.6) per 23 Sep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192"/>
        <w:gridCol w:w="1007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1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00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User Instructions (English)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Instruction_Manual_GLD.docx (Rev 0.8)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Wiring/Circuit diagram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diagram blok skematik 9 lembar penuh (§2.6.a)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CDF (critical component list)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BOM elektronik lengkap ada (EasyEDA/JLCPCB); komponen Ex-safety-relevant kini teridentifikasi by name (mesh stainless steel, gasket karet, DC fan, battery case) dari gambar exploded-view draf tim 24 Sep, tapi grade material/sertifikat Ex per komponen masih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Drawings (structure)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gambar CAD berdimensi casing v3 &amp; bracket ada, plus gambar common base (BP18-1Z) &amp; exploded-view assembly berlabel dari draf tim 24 Sep; gambar struktur resmi dari mitra casing (PT Galaksi) dengan parameter flame-path/section-view masih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Specification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Dokumen_Teknis_Sertifikasi_GLD_IECEx_ATEX itu sendiri berfungsi sbg spec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Rating Label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desain nameplate/marking belum dibuat (§2.6.h)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Declaration of Difference Between Models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relevan saat ini — hanya 1 model (GLD V2), tidak ada varian yang perlu dideklarasikan bedanya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555B66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Copy of Critical Component Certificate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belum ada komponen Ex-certified yang teridentifikasi dalam BOM (§2.6.i)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</w:tbl>
    <w:p>
      <w:pPr>
        <w:spacing w:after="80"/>
      </w:pPr>
    </w:p>
    <w:p>
      <w:pPr>
        <w:spacing w:after="160" w:before="200"/>
      </w:pPr>
      <w:r>
        <w:rPr>
          <w:b/>
          <w:i w:val="0"/>
          <w:color w:val="1B335F"/>
          <w:sz w:val="25"/>
        </w:rPr>
        <w:t>Pengesahan isian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Diisi oleh</w:t>
            </w:r>
          </w:p>
        </w:tc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Diperiksa oleh</w:t>
            </w:r>
          </w:p>
        </w:tc>
      </w:tr>
      <w:tr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</w:tr>
    </w:tbl>
    <w:p>
      <w:pPr>
        <w:spacing w:after="160"/>
      </w:pPr>
    </w:p>
    <w:p>
      <w:pPr>
        <w:spacing w:after="160" w:before="0"/>
        <w:jc w:val="center"/>
      </w:pPr>
      <w:r>
        <w:rPr>
          <w:b w:val="0"/>
          <w:i/>
          <w:color w:val="555B66"/>
          <w:sz w:val="17"/>
        </w:rPr>
        <w:t>Dokumen internal — draf isian, bukan berkas yang dikirim ke GTS. Field bertanda “Perlu keputusan” harus diselesaikan sebelum transkrip ke formulir resmi.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