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Calibri" w:cs="Calibri" w:eastAsia="Calibri" w:hAnsi="Calibri"/>
          <w:b/>
          <w:bCs/>
          <w:color w:val="1D3F8F"/>
          <w:sz w:val="17"/>
          <w:szCs w:val="17"/>
        </w:rPr>
        <w:t xml:space="preserve">NOTULENSI RAPAT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62321"/>
          <w:sz w:val="34"/>
          <w:szCs w:val="34"/>
        </w:rPr>
        <w:t xml:space="preserve">Pengembangan &amp; Persiapan Implementasi Sistem Gas Leak Detection (GLD)</w:t>
      </w:r>
    </w:p>
    <w:p>
      <w:pPr>
        <w:spacing w:after="220"/>
      </w:pPr>
      <w:r>
        <w:rPr>
          <w:rFonts w:ascii="Calibri" w:cs="Calibri" w:eastAsia="Calibri" w:hAnsi="Calibri"/>
          <w:color w:val="6B7480"/>
          <w:sz w:val="20"/>
          <w:szCs w:val="20"/>
        </w:rPr>
        <w:t xml:space="preserve">di Kilang Pertamina — Program GLD Tahap 2</w:t>
      </w:r>
    </w:p>
    <w:tbl>
      <w:tblPr>
        <w:tblW w:type="dxa" w:w="9700"/>
        <w:tblBorders>
          <w:top w:val="none" w:color="FFFFFF" w:sz="0"/>
          <w:left w:val="single" w:color="2B5FC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100"/>
        <w:gridCol w:w="1500"/>
        <w:gridCol w:w="3600"/>
      </w:tblGrid>
      <w:tr>
        <w:tc>
          <w:tcPr>
            <w:tcW w:type="dxa" w:w="15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D3F8F"/>
                <w:sz w:val="20"/>
                <w:szCs w:val="20"/>
              </w:rPr>
              <w:t xml:space="preserve">TANGGAL</w:t>
            </w:r>
          </w:p>
        </w:tc>
        <w:tc>
          <w:tcPr>
            <w:tcW w:type="dxa" w:w="31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6 Agustus 2026</w:t>
            </w:r>
          </w:p>
        </w:tc>
        <w:tc>
          <w:tcPr>
            <w:tcW w:type="dxa" w:w="15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D3F8F"/>
                <w:sz w:val="20"/>
                <w:szCs w:val="20"/>
              </w:rPr>
              <w:t xml:space="preserve">TEMPAT</w:t>
            </w:r>
          </w:p>
        </w:tc>
        <w:tc>
          <w:tcPr>
            <w:tcW w:type="dxa" w:w="36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Labtek XV, Institut Teknologi Bandung</w:t>
            </w:r>
          </w:p>
        </w:tc>
      </w:tr>
      <w:tr>
        <w:tc>
          <w:tcPr>
            <w:tcW w:type="dxa" w:w="15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D3F8F"/>
                <w:sz w:val="20"/>
                <w:szCs w:val="20"/>
              </w:rPr>
              <w:t xml:space="preserve">PESERTA</w:t>
            </w:r>
          </w:p>
        </w:tc>
        <w:tc>
          <w:tcPr>
            <w:tcW w:type="dxa" w:w="8200"/>
            <w:gridSpan w:val="3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454B57"/>
                <w:sz w:val="20"/>
                <w:szCs w:val="20"/>
              </w:rPr>
              <w:t xml:space="preserve">Tim ITB, PT Pertamina, dan PT LAPI Ganesha Utama.</w:t>
            </w:r>
          </w:p>
        </w:tc>
      </w:tr>
    </w:tbl>
    <w:p>
      <w:pPr>
        <w:spacing w:after="200"/>
      </w:pP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00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Agenda Rapat</w:t>
      </w:r>
    </w:p>
    <w:p>
      <w:pPr>
        <w:spacing w:after="1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Pembahasan kesiapan teknis, mekanik, jaringan komunikasi, serta strategi instalasi dan implementasi sistem Gas Leak Detection (GLD) pada lingkungan kilang Pertamina.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01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Desain Mekanik dan Instalasi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Sistem mounting perangkat GLD akan disesuaikan dengan standar mounting yang telah digunakan di kilang sehingga tidak memerlukan desain struktur baru.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Instalasi diupayakan memanfaatkan bracket tipe L maupun U-clamp yang dipasang pada struktur eksisting tanpa melakukan pengeboran maupun pengelasan.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Pemilihan bracket harus disesuaikan dengan kebutuhan pemasangan Gateway, Cluster Head (CH), maupun sensor GLD.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Vendor mekanik akan dilibatkan sejak awal untuk mempermudah proses desain dan instalasi.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Tim diminta menyusun skenario instalasi secara lengkap, termasuk dimensi pemasangan, kebutuhan bracket, baut, mur, dan komponen pendukung lainnya.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Material PVC dihindari untuk komponen instalasi karena dinilai kurang sesuai untuk lingkungan kilang.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02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Arsitektur Jaringan Komunikasi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Cluster Head (CH) memiliki dimensi lebih besar karena mendukung jangkauan LoRa yang lebih luas, kapasitas komunikasi yang lebih besar, serta mendukung pengembangan sistem di masa mendatang.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Sistem yang dikembangkan telah menggunakan arsitektur multi-channel, berbeda dengan implementasi sebelumnya di Kasim yang masih menggunakan single channel.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Jumlah Cluster Head diupayakan seminimal mungkin untuk mengurangi kompleksitas instalasi.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Pengalaman pengujian di ITB menunjukkan dua Cluster Head telah mampu mencakup area pengujian secara memadai.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Posisi tiga repeater yang telah terpasang di kilang dapat dijadikan referensi penempatan perangkat karena telah terbukti memberikan cakupan komunikasi yang baik.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Sistem GLD diharapkan dapat mengadopsi topologi tersebut sehingga Cluster Head juga dapat berfungsi sebagai repeater.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Tim diminta mengevaluasi kapasitas Gateway dan Cluster Head terhadap jumlah sensor yang dapat dilayani serta menyediakan indikator apabila diperlukan penambahan perangkat.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03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Aspek Keselamatan dan Sertifikasi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Instalasi perangkat harus memperhatikan aspek keselamatan baik secara teknis maupun visual sehingga tidak menimbulkan persepsi negatif bagi operator maupun personel di lapangan.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Mengingat lokasi implementasi berada di area kilang, perangkat harus memenuhi persyaratan sertifikasi yang berlaku.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Pada tahap uji coba, pemasangan perangkat dibatasi pada ketinggian setara tinggi manusia karena perangkat belum memperoleh sertifikasi untuk instalasi permanen di area tertentu.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04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Pengembangan Sistem GLD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Sistem dirancang juga agar mampu mendeteksi gas: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Benzene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Carbon Monoxide (CO)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Hydrogen Sulfide (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H</w:t>
      </w:r>
      <w:r>
        <w:rPr>
          <w:rFonts w:ascii="Calibri" w:cs="Calibri" w:eastAsia="Calibri" w:hAnsi="Calibri"/>
          <w:color w:val="454B57"/>
          <w:sz w:val="22"/>
          <w:szCs w:val="22"/>
          <w:vertAlign w:val="subscript"/>
        </w:rPr>
        <w:t xml:space="preserve">2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S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Sampel gas tidak diambil langsung di area kilang. Sampel akan disiapkan dan dibawa oleh tim Pertamina ke lokasi pengujian.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Sistem harus menampilkan nilai konsentrasi gas (ppm) secara real-time.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Alarm harus dapat dikonfigurasi berdasarkan nilai ambang (threshold):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Untuk gas mudah terbakar, alarm aktif setelah konsentrasi melampaui batas bahaya kebakaran.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Untuk gas beracun seperti CO dan 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H</w:t>
      </w:r>
      <w:r>
        <w:rPr>
          <w:rFonts w:ascii="Calibri" w:cs="Calibri" w:eastAsia="Calibri" w:hAnsi="Calibri"/>
          <w:color w:val="454B57"/>
          <w:sz w:val="22"/>
          <w:szCs w:val="22"/>
          <w:vertAlign w:val="subscript"/>
        </w:rPr>
        <w:t xml:space="preserve">2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S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, alarm harus aktif segera ketika konsentrasi melebihi ambang batas keselamatan.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Aplikasi perlu menampilkan informasi lokasi perangkat, termasuk kolom Area dan identitas peralatan agar setiap sensor dapat diidentifikasi dengan mudah.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Jalur pembuangan gas setelah proses pengambilan sampel perlu dievaluasi agar tidak menimbulkan paparan terhadap pengguna maupun lingkungan sekitar.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05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Evaluasi Teknologi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Menarik untuk membandingkan performa jaringan GLD dengan sistem corrosion monitoring komersial, misalnya Emerson, termasuk kemungkinan penggunaan konsep WirelessHART.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Pemilihan teknologi komunikasi selanjutnya perlu mempertimbangkan chipset yang digunakan sehingga implementasi tidak perlu dikembangkan sepenuhnya dari awal.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Perbedaan kebutuhan komunikasi antara sistem GLD dan corrosion monitoring perlu menjadi pertimbangan karena: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GLD berorientasi pada aspek safety dan memerlukan komunikasi lebih intensif.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Corrosion monitoring lebih menekankan keandalan alat dengan frekuensi pengiriman data yang relatif rendah (sekitar dua kali per hari).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06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Status Perangkat</w:t>
      </w:r>
    </w:p>
    <w:p>
      <w:pPr>
        <w:spacing w:after="1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Disampaikan perkembangan jumlah perangkat yang telah diproduksi:</w:t>
      </w:r>
    </w:p>
    <w:tbl>
      <w:tblPr>
        <w:tblW w:type="dxa" w:w="97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CE3EE" w:sz="4"/>
          <w:insideV w:val="none" w:color="FFFFFF" w:sz="0"/>
        </w:tblBorders>
      </w:tblPr>
      <w:tblGrid>
        <w:gridCol w:w="6700"/>
        <w:gridCol w:w="3000"/>
      </w:tblGrid>
      <w:tr>
        <w:tc>
          <w:tcPr>
            <w:tcW w:type="dxa" w:w="67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Cluster Head — Besar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9 unit</w:t>
            </w:r>
          </w:p>
        </w:tc>
      </w:tr>
      <w:tr>
        <w:tc>
          <w:tcPr>
            <w:tcW w:type="dxa" w:w="67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Cluster Head — Kecil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7 unit</w:t>
            </w:r>
          </w:p>
        </w:tc>
      </w:tr>
      <w:tr>
        <w:tc>
          <w:tcPr>
            <w:tcW w:type="dxa" w:w="67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GLD (sesuai permintaan saat ini)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4 unit</w:t>
            </w:r>
          </w:p>
        </w:tc>
      </w:tr>
    </w:tbl>
    <w:p>
      <w:pPr>
        <w:spacing w:after="200"/>
      </w:pP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07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Catu Daya (Solar Panel)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Pak Raihan (RU VII Kasim) menanyakan kebutuhan solar panel apabila GLD menggunakan kombinasi baterai dan solar panel.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Pertamina menyatakan ukuran fisik solar panel yang besar tidak menjadi masalah, dicontohkan setara panel lampu penerangan jalan umum (PJU) atau lebih besar.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Tim diminta menyusun cost-benefit analysis antara solar panel dan catu daya kabel, termasuk CAPEX kabel (biaya pengadaan dan instalasi kabel) sebagai pembanding.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Perhitungan kebutuhan daya (Wp) dan cost-benefit analysis akan disusun oleh Tim ITB Fisika.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→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Tindak Lanjut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600"/>
        <w:gridCol w:w="2700"/>
      </w:tblGrid>
      <w:tr>
        <w:trPr>
          <w:tblHeader/>
        </w:trPr>
        <w:tc>
          <w:tcPr>
            <w:tcW w:type="dxa" w:w="700"/>
            <w:shd w:fill="2B5FC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6600"/>
            <w:shd w:fill="2B5FC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Tindak Lanjut</w:t>
            </w:r>
          </w:p>
        </w:tc>
        <w:tc>
          <w:tcPr>
            <w:tcW w:type="dxa" w:w="2700"/>
            <w:shd w:fill="2B5FC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Penanggung Jawab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1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Menyusun desain mounting dan bracket sesuai standar kilang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Mekanik ITB</w:t>
            </w:r>
          </w:p>
        </w:tc>
      </w:tr>
      <w:tr>
        <w:tc>
          <w:tcPr>
            <w:tcW w:type="dxa" w:w="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2</w:t>
            </w:r>
          </w:p>
        </w:tc>
        <w:tc>
          <w:tcPr>
            <w:tcW w:type="dxa" w:w="66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Menyusun skenario instalasi lengkap beserta dimensi pemasangan</w:t>
            </w:r>
          </w:p>
        </w:tc>
        <w:tc>
          <w:tcPr>
            <w:tcW w:type="dxa" w:w="2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Mekanik dan Vendor Mekanik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3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Mengevaluasi kapasitas Gateway dan Cluster Head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Komunikasi ITB</w:t>
            </w:r>
          </w:p>
        </w:tc>
      </w:tr>
      <w:tr>
        <w:tc>
          <w:tcPr>
            <w:tcW w:type="dxa" w:w="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4</w:t>
            </w:r>
          </w:p>
        </w:tc>
        <w:tc>
          <w:tcPr>
            <w:tcW w:type="dxa" w:w="66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Mengembangkan fitur alarm berbasis threshold gas</w:t>
            </w:r>
          </w:p>
        </w:tc>
        <w:tc>
          <w:tcPr>
            <w:tcW w:type="dxa" w:w="2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AI ITB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5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Menambahkan informasi Area dan Equipment pada dashboard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UI ITB</w:t>
            </w:r>
          </w:p>
        </w:tc>
      </w:tr>
      <w:tr>
        <w:tc>
          <w:tcPr>
            <w:tcW w:type="dxa" w:w="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6</w:t>
            </w:r>
          </w:p>
        </w:tc>
        <w:tc>
          <w:tcPr>
            <w:tcW w:type="dxa" w:w="66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Mengkaji sistem pembuangan gas setelah proses sampling</w:t>
            </w:r>
          </w:p>
        </w:tc>
        <w:tc>
          <w:tcPr>
            <w:tcW w:type="dxa" w:w="2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Instrumentasi ITB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7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Melakukan studi perbandingan topologi jaringan dengan sistem Emerson/WirelessHART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Komunikasi ITB</w:t>
            </w:r>
          </w:p>
        </w:tc>
      </w:tr>
      <w:tr>
        <w:tc>
          <w:tcPr>
            <w:tcW w:type="dxa" w:w="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8</w:t>
            </w:r>
          </w:p>
        </w:tc>
        <w:tc>
          <w:tcPr>
            <w:tcW w:type="dxa" w:w="66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Menyusun rencana sertifikasi perangkat untuk implementasi di kilang</w:t>
            </w:r>
          </w:p>
        </w:tc>
        <w:tc>
          <w:tcPr>
            <w:tcW w:type="dxa" w:w="2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ITB bersama Pertamina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9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Menghitung kebutuhan solar panel (Wp) dan cost-benefit analysis vs catu daya kabel (termasuk CAPEX kabel)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Beny (ITB Fisika)</w:t>
            </w:r>
          </w:p>
        </w:tc>
      </w:tr>
    </w:tbl>
    <w:p>
      <w:pPr>
        <w:spacing w:before="240"/>
      </w:pPr>
    </w:p>
    <w:p>
      <w:r>
        <w:rPr>
          <w:rFonts w:ascii="Calibri" w:cs="Calibri" w:eastAsia="Calibri" w:hAnsi="Calibri"/>
          <w:i/>
          <w:iCs/>
          <w:color w:val="6B7480"/>
          <w:sz w:val="20"/>
          <w:szCs w:val="20"/>
        </w:rPr>
        <w:t xml:space="preserve">Notulensi ini telah disusun berdasarkan poin-poin pembahasan dalam dokumen rapat dengan penyusunan ulang agar lebih sistematis dan mudah ditindaklanjuti. Bagian 07 (Catu Daya/Solar Panel) ditambahkan berdasarkan konfirmasi tim bahwa topik tersebut turut dibahas dalam rapat.</w:t>
      </w:r>
    </w:p>
    <w:sectPr>
      <w:headerReference w:type="default" r:id="rId7"/>
      <w:footerReference w:type="default" r:id="rId8"/>
      <w:pgSz w:w="11906" w:h="16838" w:orient="portrait"/>
      <w:pgMar w:top="900" w:right="1134" w:bottom="900" w:left="1134" w:header="34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3EE" w:sz="6" w:space="4"/>
      </w:pBdr>
      <w:tabs>
        <w:tab w:val="right" w:pos="9026"/>
      </w:tabs>
      <w:spacing w:before="120"/>
    </w:pPr>
    <w:r>
      <w:rPr>
        <w:rFonts w:ascii="Calibri" w:cs="Calibri" w:eastAsia="Calibri" w:hAnsi="Calibri"/>
        <w:color w:val="6B7480"/>
        <w:sz w:val="16"/>
        <w:szCs w:val="16"/>
      </w:rPr>
      <w:t xml:space="preserve">Notulensi Rapat GLD — 6 Agustus 2026</w:t>
    </w:r>
    <w:r>
      <w:rPr>
        <w:rFonts w:ascii="Calibri" w:cs="Calibri" w:eastAsia="Calibri" w:hAnsi="Calibri"/>
        <w:color w:val="6B7480"/>
        <w:sz w:val="16"/>
        <w:szCs w:val="16"/>
      </w:rPr>
      <w:t xml:space="preserve">	Halaman </w:t>
    </w:r>
    <w:r>
      <w:rPr>
        <w:rFonts w:ascii="Calibri" w:cs="Calibri" w:eastAsia="Calibri" w:hAnsi="Calibri"/>
        <w:color w:val="6B74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000"/>
      <w:gridCol w:w="4700"/>
    </w:tblGrid>
    <w:tr>
      <w:tc>
        <w:tcPr>
          <w:tcW w:type="dxa" w:w="5000"/>
          <w:shd w:fill="2B5FCB" w:val="clear"/>
          <w:tcMar>
            <w:top w:type="dxa" w:w="140"/>
            <w:left w:type="dxa" w:w="0"/>
            <w:bottom w:type="dxa" w:w="140"/>
            <w:right w:type="dxa" w:w="100"/>
          </w:tcMar>
          <w:vAlign w:val="center"/>
        </w:tcPr>
        <w:p>
          <w:r>
            <w:rPr>
              <w:rFonts w:ascii="Calibri" w:cs="Calibri" w:eastAsia="Calibri" w:hAnsi="Calibri"/>
              <w:b/>
              <w:bCs/>
              <w:color w:val="FFFFFF"/>
              <w:sz w:val="17"/>
              <w:szCs w:val="17"/>
            </w:rPr>
            <w:t xml:space="preserve">GAS LEAK DETECTION  ·  PROGRAM TAHAP 2</w:t>
          </w:r>
        </w:p>
      </w:tc>
      <w:tc>
        <w:tcPr>
          <w:tcW w:type="dxa" w:w="4700"/>
          <w:shd w:fill="2B5FCB" w:val="clear"/>
          <w:tcMar>
            <w:top w:type="dxa" w:w="140"/>
            <w:left w:type="dxa" w:w="100"/>
            <w:bottom w:type="dxa" w:w="140"/>
            <w:right w:type="dxa" w:w="0"/>
          </w:tcMar>
          <w:vAlign w:val="center"/>
        </w:tcPr>
        <w:p>
          <w:pPr>
            <w:jc w:val="right"/>
          </w:pPr>
          <w:r>
            <w:rPr>
              <w:rFonts w:ascii="Calibri" w:cs="Calibri" w:eastAsia="Calibri" w:hAnsi="Calibri"/>
              <w:color w:val="FFFFFF"/>
              <w:sz w:val="17"/>
              <w:szCs w:val="17"/>
            </w:rPr>
            <w:t xml:space="preserve">LAPI Ganesha Utama · ITB · Pertamina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2026-08-09T13:28:21.044Z</dcterms:created>
  <dcterms:modified xsi:type="dcterms:W3CDTF">2026-08-09T13:28:21.058Z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