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Program Sertifikasi Hazardous Area (ATEX / IECEx) Gas Leak Detector — GLD Tahap 2</w:t>
      </w:r>
    </w:p>
    <w:p>
      <w:pPr>
        <w:spacing w:after="680"/>
        <w:jc w:val="center"/>
      </w:pPr>
      <w:r>
        <w:rPr>
          <w:rFonts w:ascii="Arial" w:hAnsi="Arial"/>
          <w:b/>
          <w:color w:val="1ABB9C"/>
          <w:sz w:val="23"/>
        </w:rPr>
        <w:t>MATERI EVALUASI TERMIN 1 SEBESAR 40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2"/>
        <w:gridCol w:w="4872"/>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LGU-GLD-T1-CERT-2026-001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0.2</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2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evaluasi PT Pertamina Patra Niaga</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CATATAN SIFAT DOKUMEN</w:t>
      </w:r>
    </w:p>
    <w:p>
      <w:pPr>
        <w:jc w:val="center"/>
      </w:pPr>
      <w:r>
        <w:rPr>
          <w:rFonts w:ascii="Arial" w:hAnsi="Arial"/>
          <w:color w:val="20262B"/>
          <w:sz w:val="20"/>
        </w:rPr>
        <w:t>Laporan ini menyajikan seluruh bukti pemenuhan dan pekerjaan lanjutan terhadap syarat Termin 1 sertifikasi apa adanya. Penilaian pemenuhan dan keputusan kesiapan pembayaran sepenuhnya merupakan evaluasi PT Pertamina Patra Niaga.</w:t>
      </w:r>
    </w:p>
    <w:p>
      <w:r>
        <w:br w:type="page"/>
      </w:r>
    </w:p>
    <w:p>
      <w:pPr>
        <w:pStyle w:val="Heading1"/>
        <w:keepNext/>
        <w:spacing w:before="240" w:after="100"/>
      </w:pPr>
      <w:r>
        <w:rPr>
          <w:rFonts w:ascii="Arial" w:hAnsi="Arial"/>
          <w:b/>
          <w:color w:val="000000"/>
          <w:sz w:val="30"/>
        </w:rPr>
        <w:t>1 Ringkasan</w:t>
      </w:r>
    </w:p>
    <w:p>
      <w:pPr>
        <w:spacing w:after="120" w:line="276" w:lineRule="auto"/>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pekerjaan lanjutan yang sedang disiapkan terhadap syarat kontraktual, tanpa menyimpulkan sendiri layak atau tidaknya pengajuan — keputusan tersebut diserahkan kepada evaluasi PT Pertamina Patra Niaga.</w:t>
      </w:r>
    </w:p>
    <w:p>
      <w:pPr>
        <w:spacing w:after="120" w:line="276" w:lineRule="auto"/>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6"/>
        <w:gridCol w:w="2436"/>
        <w:gridCol w:w="2436"/>
        <w:gridCol w:w="24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6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Syarat Termin 1</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18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Ringkasan bukti dan tindak lanjut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enclosure GLD tersedia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Unit fisik terakit dan terfoto; nomor seri sampel GLD2-0x1001 telah ditetapkan pada formulir aplikasi; lembar identifikasi sampel bertanda tangan sedang disiapkan.</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telah diuji (mekanik/termal/sealing/fault)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Uji termal internal 30 Sep 2026 telah dilaksanakan (8 titik thermocouple, 3 kondisi beban, 180 menit); uji mekanik, sealing/IP pra-uji, dan fault condition sedang disiapkan.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Ada iterasi perbaikan desain berbasis hasil uji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Iterasi desain tersedia: PCB MotherBoard GLD Ver2 (BOM 9 Sep, layout 11 Sep 2026) dan casing ATEX v2 ke v3 (8 Sep 2026). Log keterkaitan revisi dengan temuan uji sedang dirangkum.</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Disaksikan dan divalidasi Pertamina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sheet/berita acara khusus uji enclosure dijadwalkan bersama Pertamina; kunjungan yang ada bersifat pembahasan desain.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Urutan sebelum uji lab terakreditasi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dan dossier teknis telah diajukan ke GTS (agen sertifikasi) sekitar 29 Sep 2026; pengujian di laboratorium terakreditasi dilakukan sesudah tahap ini, sehingga urutan tahap terjaga.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Berita acara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rapat tersedia; berita acara validasi hasil uji disiapkan setelah sesi witness.</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7</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pekerjaan Termin 1</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ini adalah laporan pekerjaan yang dimaksud, disusun dari seluruh bukti pekerjaan per 2 Oktober 2026.</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pPr>
        <w:spacing w:after="120" w:line="276" w:lineRule="auto"/>
      </w:pPr>
      <w:r>
        <w:rPr>
          <w:rFonts w:ascii="Arial" w:hAnsi="Arial"/>
          <w:color w:val="20262B"/>
          <w:sz w:val="21"/>
        </w:rPr>
        <w:t>Termin ini berbeda dari Termin 1 pada SPK field testing (20 persen) yang dinilai pada laporan terpisah (`Laporan_Pemenuhan_Deliverable_Termin_1_FieldTesting_GLD_Rev02`). Keduanya berjalan pada dua SPK/jalur kerja yang berbeda — sertifikasi hazardous area versus pilot/field testing sistem — sehingga bukti pemenuhannya juga dievaluasi terpisah.</w:t>
      </w:r>
    </w:p>
    <w:p>
      <w:r>
        <w:br w:type="page"/>
      </w:r>
    </w:p>
    <w:p>
      <w:pPr>
        <w:pStyle w:val="Heading1"/>
        <w:keepNext/>
        <w:spacing w:before="240" w:after="100"/>
      </w:pPr>
      <w:r>
        <w:rPr>
          <w:rFonts w:ascii="Arial" w:hAnsi="Arial"/>
          <w:b/>
          <w:color w:val="000000"/>
          <w:sz w:val="30"/>
        </w:rPr>
        <w:t>3 Matriks Bukti Pemenuhan per Syarat</w:t>
      </w:r>
    </w:p>
    <w:p>
      <w:pPr>
        <w:spacing w:after="120" w:line="276" w:lineRule="auto"/>
      </w:pPr>
      <w:r>
        <w:rPr>
          <w:rFonts w:ascii="Arial" w:hAnsi="Arial"/>
          <w:color w:val="20262B"/>
          <w:sz w:val="21"/>
        </w:rPr>
        <w:t>Bagian ini merinci bukti yang ditemukan dan tindak lanjut untuk setiap syarat pada Bagian 2, berdasarkan status pekerjaan per 2 Oktober 2026.</w:t>
      </w:r>
    </w:p>
    <w:p>
      <w:pPr>
        <w:pStyle w:val="Heading2"/>
        <w:keepNext/>
        <w:spacing w:before="160" w:after="100"/>
      </w:pPr>
      <w:r>
        <w:rPr>
          <w:rFonts w:ascii="Arial" w:hAnsi="Arial"/>
          <w:b/>
          <w:color w:val="9A6500"/>
          <w:sz w:val="23"/>
        </w:rPr>
        <w:t>3.1 Prototipe enclosure GLD tersedia — SEBAGIAN</w:t>
      </w:r>
    </w:p>
    <w:p>
      <w:pPr>
        <w:spacing w:after="120" w:line="276" w:lineRule="auto"/>
      </w:pPr>
      <w:r>
        <w:rPr>
          <w:rFonts w:ascii="Arial" w:hAnsi="Arial"/>
          <w:b/>
          <w:color w:val="20262B"/>
          <w:sz w:val="21"/>
        </w:rPr>
        <w:t xml:space="preserve">Bukti yang ditemukan. </w:t>
      </w:r>
      <w:r>
        <w:rPr>
          <w:rFonts w:ascii="Arial" w:hAnsi="Arial"/>
          <w:color w:val="20262B"/>
          <w:sz w:val="21"/>
        </w:rPr>
        <w:t>Tujuh foto perakitan prototipe, tiga di antaranya menunjukkan urutan perakitan motherboard, pemasangan delapan sensor, hingga unit terakit lengkap (metadata foto utama tercatat 26 Agustus 2026). Desain mekanik pendukung tersedia pada gambar CAD ATEX Casing v2 (STEP/OBJ) dan desain bracket U-bolt.</w:t>
      </w:r>
    </w:p>
    <w:p>
      <w:pPr>
        <w:spacing w:after="120" w:line="276" w:lineRule="auto"/>
      </w:pPr>
      <w:r>
        <w:rPr>
          <w:rFonts w:ascii="Arial" w:hAnsi="Arial"/>
          <w:color w:val="20262B"/>
          <w:sz w:val="21"/>
        </w:rPr>
        <w:t>Identitas unit/nomor seri, revisi desain, konfigurasi hardware-firmware yang terkunci, kondisi siap-uji, dan lembar identifikasi sampel yang ditandatangani sedang disiapkan.</w:t>
      </w:r>
    </w:p>
    <w:p>
      <w:pPr>
        <w:pStyle w:val="Heading2"/>
        <w:keepNext/>
        <w:spacing w:before="160" w:after="100"/>
      </w:pPr>
      <w:r>
        <w:rPr>
          <w:rFonts w:ascii="Arial" w:hAnsi="Arial"/>
          <w:b/>
          <w:color w:val="9A6500"/>
          <w:sz w:val="23"/>
        </w:rPr>
        <w:t>3.2 Prototipe telah diuji — SEBAGIAN</w:t>
      </w:r>
    </w:p>
    <w:p>
      <w:pPr>
        <w:spacing w:after="120" w:line="276" w:lineRule="auto"/>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 Uji termal internal telah dilaksanakan pada 30 September 2026: 8 titik thermocouple pada kondisi normal, beban maksimum, dan kipas mati selama 180 menit. Ekstrapolasi ke suhu ambien +60 °C memberikan suhu titik terpanas ± 114 °C, di bawah batas efektif kelas suhu T4 (130 °C).</w:t>
      </w:r>
    </w:p>
    <w:p>
      <w:pPr>
        <w:spacing w:after="120" w:line="276" w:lineRule="auto"/>
      </w:pPr>
      <w:r>
        <w:rPr>
          <w:rFonts w:ascii="Arial" w:hAnsi="Arial"/>
          <w:color w:val="20262B"/>
          <w:sz w:val="21"/>
        </w:rPr>
        <w:t>Uji lanjutan khusus enclosure sedang disiapkan: inspeksi mekanik/dimensi, pelengkapan titik ukur termal, simulasi sealing atau IP pra-uji, maupun uji fault condition. Hasil uji termal internal akan dilengkapi dan disaksikan dalam sesi uji bersama Pertamina.</w:t>
      </w:r>
    </w:p>
    <w:p>
      <w:pPr>
        <w:pStyle w:val="Heading2"/>
        <w:keepNext/>
        <w:spacing w:before="160" w:after="100"/>
      </w:pPr>
      <w:r>
        <w:rPr>
          <w:rFonts w:ascii="Arial" w:hAnsi="Arial"/>
          <w:b/>
          <w:color w:val="9A6500"/>
          <w:sz w:val="23"/>
        </w:rPr>
        <w:t>3.3 Ada iterasi perbaikan desain berbasis hasil uji — SEBAGIAN</w:t>
      </w:r>
    </w:p>
    <w:p>
      <w:pPr>
        <w:spacing w:after="120" w:line="276" w:lineRule="auto"/>
      </w:pPr>
      <w:r>
        <w:rPr>
          <w:rFonts w:ascii="Arial" w:hAnsi="Arial"/>
          <w:b/>
          <w:color w:val="20262B"/>
          <w:sz w:val="21"/>
        </w:rPr>
        <w:t xml:space="preserve">Bukti yang ditemukan. </w:t>
      </w:r>
      <w:r>
        <w:rPr>
          <w:rFonts w:ascii="Arial" w:hAnsi="Arial"/>
          <w:color w:val="20262B"/>
          <w:sz w:val="21"/>
        </w:rPr>
        <w:t>Iterasi desain perangkat keras telah dilakukan pada dua komponen utama: (1) PCB motherboard direvisi menjadi MotherBoard GLD Ver2 (BOM 9 September 2026, layout PCB 11 September 2026) beserta sensor board MQ; (2) casing berkembang dari ATEX Casing v2 (desain mounting U-bolt) ke GLD ATEX Case v3 (8 September 2026) dengan mesh filter stainless steel, kipas DC, dan dimensi yang disesuaikan untuk kebutuhan sertifikasi Ex d.</w:t>
      </w:r>
    </w:p>
    <w:p>
      <w:pPr>
        <w:spacing w:after="120" w:line="276" w:lineRule="auto"/>
      </w:pPr>
      <w:r>
        <w:rPr>
          <w:rFonts w:ascii="Arial" w:hAnsi="Arial"/>
          <w:color w:val="20262B"/>
          <w:sz w:val="21"/>
        </w:rPr>
        <w:t>Change log formal yang menautkan setiap revisi dengan temuan uji, tindakan koreksi, bukti implementasi, dan hasil uji ulang (termasuk hasil uji termal 30 September 2026) sedang dirangkum.</w:t>
      </w:r>
    </w:p>
    <w:p>
      <w:pPr>
        <w:pStyle w:val="Heading2"/>
        <w:keepNext/>
        <w:spacing w:before="160" w:after="100"/>
      </w:pPr>
      <w:r>
        <w:rPr>
          <w:rFonts w:ascii="Arial" w:hAnsi="Arial"/>
          <w:b/>
          <w:color w:val="9A6500"/>
          <w:sz w:val="23"/>
        </w:rPr>
        <w:t>3.4 Disaksikan dan divalidasi Pertamina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pPr>
        <w:spacing w:after="120" w:line="276" w:lineRule="auto"/>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pPr>
        <w:pStyle w:val="Heading2"/>
        <w:keepNext/>
        <w:spacing w:before="160" w:after="100"/>
      </w:pPr>
      <w:r>
        <w:rPr>
          <w:rFonts w:ascii="Arial" w:hAnsi="Arial"/>
          <w:b/>
          <w:color w:val="187A63"/>
          <w:sz w:val="23"/>
        </w:rPr>
        <w:t>3.5 Selesai sebelum uji laboratorium terakreditasi — TERSEDIA</w:t>
      </w:r>
    </w:p>
    <w:p>
      <w:pPr>
        <w:spacing w:after="120" w:line="276" w:lineRule="auto"/>
      </w:pPr>
      <w:r>
        <w:rPr>
          <w:rFonts w:ascii="Arial" w:hAnsi="Arial"/>
          <w:b/>
          <w:color w:val="20262B"/>
          <w:sz w:val="21"/>
        </w:rPr>
        <w:t xml:space="preserve">Bukti yang ditemukan. </w:t>
      </w:r>
      <w:r>
        <w:rPr>
          <w:rFonts w:ascii="Arial" w:hAnsi="Arial"/>
          <w:color w:val="20262B"/>
          <w:sz w:val="21"/>
        </w:rPr>
        <w:t>Formulir aplikasi ATEX dan dossier teknis telah diajukan ke GTS (agen sertifikasi) sekitar 29 September 2026; pengiriman sampel ke laboratorium terakreditasi dilakukan setelah tahap ini.</w:t>
      </w:r>
    </w:p>
    <w:p>
      <w:pPr>
        <w:spacing w:after="120" w:line="276" w:lineRule="auto"/>
      </w:pPr>
      <w:r>
        <w:rPr>
          <w:rFonts w:ascii="Arial" w:hAnsi="Arial"/>
          <w:color w:val="20262B"/>
          <w:sz w:val="21"/>
        </w:rPr>
        <w:t>Sesi pre-compliance dan witness (Syarat 2–4) tetap perlu dijadwalkan dan ditutup sebelum sampel benar-benar dikirim, agar urutan tahap ini tidak terlanggar saat proses berlanjut.</w:t>
      </w:r>
    </w:p>
    <w:p>
      <w:pPr>
        <w:pStyle w:val="Heading2"/>
        <w:keepNext/>
        <w:spacing w:before="160" w:after="100"/>
      </w:pPr>
      <w:r>
        <w:rPr>
          <w:rFonts w:ascii="Arial" w:hAnsi="Arial"/>
          <w:b/>
          <w:color w:val="9A6500"/>
          <w:sz w:val="23"/>
        </w:rPr>
        <w:t>3.6 Berita acara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pPr>
        <w:spacing w:after="120" w:line="276" w:lineRule="auto"/>
      </w:pPr>
      <w:r>
        <w:rPr>
          <w:rFonts w:ascii="Arial" w:hAnsi="Arial"/>
          <w:color w:val="20262B"/>
          <w:sz w:val="21"/>
        </w:rPr>
        <w:t>Notulen pembahasan bukan berita acara validasi hasil uji. Diperlukan berita acara khusus dengan hasil keputusan eksplisit, lampiran bukti uji, dan tanda tangan para pihak. Template kerja tersedia di `Template_Berita_Acara_Validasi_Prototipe.md` dan diisi setelah data uji pendasarnya tersedia.</w:t>
      </w:r>
    </w:p>
    <w:p>
      <w:pPr>
        <w:pStyle w:val="Heading2"/>
        <w:keepNext/>
        <w:spacing w:before="160" w:after="100"/>
      </w:pPr>
      <w:r>
        <w:rPr>
          <w:rFonts w:ascii="Arial" w:hAnsi="Arial"/>
          <w:b/>
          <w:color w:val="187A63"/>
          <w:sz w:val="23"/>
        </w:rPr>
        <w:t>3.7 Laporan pekerjaan Termin 1 — TERSEDIA</w:t>
      </w:r>
    </w:p>
    <w:p>
      <w:pPr>
        <w:spacing w:after="120" w:line="276" w:lineRule="auto"/>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tindak lanjut di atas beserta register bukti pada Bagian 5.</w:t>
      </w:r>
    </w:p>
    <w:p>
      <w:pPr>
        <w:spacing w:after="120" w:line="276" w:lineRule="auto"/>
      </w:pPr>
      <w:r>
        <w:rPr>
          <w:rFonts w:ascii="Arial" w:hAnsi="Arial"/>
          <w:color w:val="20262B"/>
          <w:sz w:val="21"/>
        </w:rPr>
        <w:t>Laporan ini melaporkan status apa adanya; ia tidak dapat menggantikan bukti uji, witness, maupun berita acara yang secara kontraktual disyaratkan pada Syarat 2 sampai 4 dan 6.</w:t>
      </w:r>
    </w:p>
    <w:p>
      <w:pPr>
        <w:jc w:val="center"/>
      </w:pPr>
      <w:r>
        <w:drawing>
          <wp:inline xmlns:a="http://schemas.openxmlformats.org/drawingml/2006/main" xmlns:pic="http://schemas.openxmlformats.org/drawingml/2006/picture">
            <wp:extent cx="2651760" cy="4390320"/>
            <wp:docPr id="1" name="Picture 1"/>
            <wp:cNvGraphicFramePr>
              <a:graphicFrameLocks noChangeAspect="1"/>
            </wp:cNvGraphicFramePr>
            <a:graphic>
              <a:graphicData uri="http://schemas.openxmlformats.org/drawingml/2006/picture">
                <pic:pic>
                  <pic:nvPicPr>
                    <pic:cNvPr id="0" name="proto3.jpg"/>
                    <pic:cNvPicPr/>
                  </pic:nvPicPr>
                  <pic:blipFill>
                    <a:blip r:embed="rId11"/>
                    <a:stretch>
                      <a:fillRect/>
                    </a:stretch>
                  </pic:blipFill>
                  <pic:spPr>
                    <a:xfrm>
                      <a:off x="0" y="0"/>
                      <a:ext cx="2651760" cy="4390320"/>
                    </a:xfrm>
                    <a:prstGeom prst="rect"/>
                  </pic:spPr>
                </pic:pic>
              </a:graphicData>
            </a:graphic>
          </wp:inline>
        </w:drawing>
      </w:r>
    </w:p>
    <w:p>
      <w:pPr>
        <w:spacing w:after="160"/>
        <w:jc w:val="center"/>
      </w:pPr>
      <w:r>
        <w:rPr>
          <w:rFonts w:ascii="Arial" w:hAnsi="Arial"/>
          <w:i/>
          <w:color w:val="5B6670"/>
          <w:sz w:val="17"/>
        </w:rPr>
        <w:t>Gambar 1 Unit GLD terakit dengan enclosure, sensor cartridge, antena, dan modul alarm (dokumentasi 26 Agustus 2026)</w:t>
      </w:r>
    </w:p>
    <w:p>
      <w:r>
        <w:br w:type="page"/>
      </w:r>
    </w:p>
    <w:p>
      <w:pPr>
        <w:pStyle w:val="Heading1"/>
        <w:keepNext/>
        <w:spacing w:before="240" w:after="100"/>
      </w:pPr>
      <w:r>
        <w:rPr>
          <w:rFonts w:ascii="Arial" w:hAnsi="Arial"/>
          <w:b/>
          <w:color w:val="000000"/>
          <w:sz w:val="30"/>
        </w:rPr>
        <w:t>4 Progres Program Sertifikasi Secara Keseluruhan</w:t>
      </w:r>
    </w:p>
    <w:p>
      <w:pPr>
        <w:spacing w:after="120" w:line="276" w:lineRule="auto"/>
      </w:pPr>
      <w:r>
        <w:rPr>
          <w:rFonts w:ascii="Arial" w:hAnsi="Arial"/>
          <w:color w:val="20262B"/>
          <w:sz w:val="21"/>
        </w:rPr>
        <w:t>Sebagai konteks tambahan di luar syarat kontraktual Termin 1, tim pengembang memantau progres program sertifikasi dengan metrik berikut: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Metrik</w:t>
            </w:r>
          </w:p>
        </w:tc>
        <w:tc>
          <w:tcPr>
            <w:tcW w:type="dxa" w:w="21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Nilai</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Definisi dan batasan</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Kesiapan dokumen sertifikasi (21 butir checklist ExCB, berbobot)</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43% (per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Kelengkapan dokumentasi teknis; tidak termasuk pelaksanaan pengujian di laboratorium.</w:t>
            </w:r>
          </w:p>
        </w:tc>
      </w:tr>
      <w:tr>
        <w:tc>
          <w:tcPr>
            <w:tcW w:type="dxa" w:w="309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Pengajuan ke agen sertifikasi (GTS)</w:t>
            </w:r>
          </w:p>
        </w:tc>
        <w:tc>
          <w:tcPr>
            <w:tcW w:type="dxa" w:w="21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Diajukan ± 29 September 2026</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ATEX + dossier teknis; iterasi dokumen mengikuti tanggapan GTS.</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Uji termal internal</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Indikasi positif kelas suhu T4 (± 114 °C vs batas 130 °C).</w:t>
            </w:r>
          </w:p>
        </w:tc>
      </w:tr>
    </w:tbl>
    <w:p>
      <w:pPr>
        <w:spacing w:after="0"/>
      </w:pPr>
    </w:p>
    <w:p>
      <w:pPr>
        <w:spacing w:after="120" w:line="276" w:lineRule="auto"/>
      </w:pPr>
      <w:r>
        <w:rPr>
          <w:rFonts w:ascii="Arial" w:hAnsi="Arial"/>
          <w:color w:val="20262B"/>
          <w:sz w:val="21"/>
        </w:rPr>
        <w:t>Metrik ini adalah indikator kemajuan rekayasa dan administrasi internal, bukan pengganti penilaian pemenuhan syarat Termin 1 pada Bagian 2 dan 3. Skema klasifikasi area berbahaya yang ditargetkan proposal — Zona 1, Kategori 2G, Grup II, kelas suhu T4 (≤135°C) — sudah eksplisit; grup gas IIC dan metode proteksi Ex d (flameproof enclosure) telah ditetapkan, dengan penandaan yang diajukan II 2G Ex db IIC T4 Gb.</w:t>
      </w:r>
    </w:p>
    <w:p>
      <w:pPr>
        <w:jc w:val="center"/>
      </w:pPr>
      <w:r>
        <w:drawing>
          <wp:inline xmlns:a="http://schemas.openxmlformats.org/drawingml/2006/main" xmlns:pic="http://schemas.openxmlformats.org/drawingml/2006/picture">
            <wp:extent cx="5760720" cy="3909766"/>
            <wp:docPr id="2" name="Picture 2"/>
            <wp:cNvGraphicFramePr>
              <a:graphicFrameLocks noChangeAspect="1"/>
            </wp:cNvGraphicFramePr>
            <a:graphic>
              <a:graphicData uri="http://schemas.openxmlformats.org/drawingml/2006/picture">
                <pic:pic>
                  <pic:nvPicPr>
                    <pic:cNvPr id="0" name="GLD U-Bolt Bracket V2.png"/>
                    <pic:cNvPicPr/>
                  </pic:nvPicPr>
                  <pic:blipFill>
                    <a:blip r:embed="rId12"/>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"ATEX Casing v2" dan bracket L / U-bolt untuk mounting GLD</w:t>
      </w:r>
    </w:p>
    <w:p>
      <w:r>
        <w:br w:type="page"/>
      </w:r>
    </w:p>
    <w:p>
      <w:pPr>
        <w:pStyle w:val="Heading1"/>
        <w:keepNext/>
        <w:spacing w:before="240" w:after="100"/>
      </w:pPr>
      <w:r>
        <w:rPr>
          <w:rFonts w:ascii="Arial" w:hAnsi="Arial"/>
          <w:b/>
          <w:color w:val="000000"/>
          <w:sz w:val="30"/>
        </w:rPr>
        <w:t>5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7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7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Foto perakitan prototipe GLD (26 Agu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3 foto urutan perakitan + 4 foto komponen di `sertifikasi-atex-gld-v2-2026/GLD/`.</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"ATEX Casing v2" (STEP/OBJ) dan bracket L/U-bolt</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mekanik enclosure dan mounting.</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spesifikasi input dan parameter EMC</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`Dokumen_spesifikasi_input_2.docx`, `Parameter spesifikasi EMC_lengkap.docx`.</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fungsional dan teknis perangkat yang menjadi objek sertifikasi.</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Proposal Sertifikasi ATEX/IP/EMC/RF (21 Februari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Dasar lingkup, target klasifikasi Zona 1/2G/T4, dan rencana pre-compliance test.</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Kick-Off Meeting (12 Juni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Titik mulai proyek sertifikasi dan penyelarasan lingkup awal.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desain mekanik dan progres bersama Pertamina di Lab IoT ITB — bukan witness uji enclosure.</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kunjungan Pertamina RU IV Cilacap</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instalasi dan sertifikasi terkait lokasi, bukan witness uji enclosure.</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Dashboard Sertifikasi GLD ATEX/IECEx</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Kurva-S, gap analysis 4 track, dan rubrik interpretasi progres.</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dan analisis kesiapan sertifikasi</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sertifikasi, laporan analisis kesiapan, dan status per butir.</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Persiapan_Termin_1.md dan 3 template kerja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Matriks gap awal (10 September 2026) dan template log uji, berita acara, serta laporan pekerjaan.</w:t>
            </w:r>
          </w:p>
        </w:tc>
      </w:tr>
    </w:tbl>
    <w:p>
      <w:pPr>
        <w:spacing w:after="0"/>
      </w:pPr>
    </w:p>
    <w:p>
      <w:pPr>
        <w:pStyle w:val="Heading1"/>
        <w:keepNext/>
        <w:spacing w:before="240" w:after="100"/>
      </w:pPr>
      <w:r>
        <w:rPr>
          <w:rFonts w:ascii="Arial" w:hAnsi="Arial"/>
          <w:b/>
          <w:color w:val="000000"/>
          <w:sz w:val="30"/>
        </w:rPr>
        <w:t>6 Dokumen Tahap Lanjutan</w:t>
      </w:r>
    </w:p>
    <w:p>
      <w:pPr>
        <w:spacing w:after="120" w:line="276" w:lineRule="auto"/>
      </w:pPr>
      <w:r>
        <w:rPr>
          <w:rFonts w:ascii="Arial" w:hAnsi="Arial"/>
          <w:color w:val="20262B"/>
          <w:sz w:val="21"/>
        </w:rPr>
        <w:t>Daftar berikut adalah dokumen kontraktual Termin 1 yang templatenya sudah tersedia dan diisi setelah data pendasarnya (hasil uji enclosure dan witness) tersedia.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280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95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berkas</w:t>
            </w:r>
          </w:p>
        </w:tc>
        <w:tc>
          <w:tcPr>
            <w:tcW w:type="dxa" w:w="39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Menunggu</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Log Uji dan Iterasi Enclosure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`Template_Log_Uji_dan_Iterasi_Enclosure.md`</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pelaksanaan protokol uji enclosure (mekanik, termal/hotspot, sealing/IP pra-uji, fault condition).</w:t>
            </w:r>
          </w:p>
        </w:tc>
      </w:tr>
      <w:tr>
        <w:tc>
          <w:tcPr>
            <w:tcW w:type="dxa" w:w="280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Berita Acara Validasi Prototipe</w:t>
            </w:r>
          </w:p>
        </w:tc>
        <w:tc>
          <w:tcPr>
            <w:tcW w:type="dxa" w:w="295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`Template_Berita_Acara_Validasi_Prototipe.md`</w:t>
            </w:r>
          </w:p>
        </w:tc>
        <w:tc>
          <w:tcPr>
            <w:tcW w:type="dxa" w:w="39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sesi witness Pertamina atas hasil uji enclosure di atas.</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Identitas sampel dan design freeze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Dalam penyiapan</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ID sampel, revisi mekanik/PCB/firmware, tanggal rakit, PIC, dan foto enam sisi + internal.</w:t>
            </w:r>
          </w:p>
        </w:tc>
      </w:tr>
    </w:tbl>
    <w:p>
      <w:pPr>
        <w:spacing w:after="0"/>
      </w:pPr>
    </w:p>
    <w:p>
      <w:r>
        <w:br w:type="page"/>
      </w:r>
    </w:p>
    <w:p>
      <w:pPr>
        <w:pStyle w:val="Heading1"/>
        <w:keepNext/>
        <w:spacing w:before="240" w:after="100"/>
      </w:pPr>
      <w:r>
        <w:rPr>
          <w:rFonts w:ascii="Arial" w:hAnsi="Arial"/>
          <w:b/>
          <w:color w:val="000000"/>
          <w:sz w:val="30"/>
        </w:rPr>
        <w:t>7 Penutup</w:t>
      </w:r>
    </w:p>
    <w:p>
      <w:pPr>
        <w:spacing w:after="120" w:line="276" w:lineRule="auto"/>
      </w:pPr>
      <w:r>
        <w:rPr>
          <w:rFonts w:ascii="Arial" w:hAnsi="Arial"/>
          <w:color w:val="20262B"/>
          <w:sz w:val="21"/>
        </w:rPr>
        <w:t>Laporan ini menyajikan seluruh bukti yang tersedia di sisi tim pengembang serta pekerjaan lanjutan terhadap ketujuh syarat Termin 1 sertifikasi sebagaimana diuraikan pada Bagian 2 dan 3. Berdasarkan bukti tersebut, LGU mengajukan pembayaran Termin 1 sebesar 40 persen; penilaian pemenuhan syarat dan keputusan tersebut sepenuhnya berada pada evaluasi PT Pertamina Patra Niaga, dengan matriks Bagian 3 sebagai acuan tinjau per syarat.</w:t>
      </w:r>
    </w:p>
    <w:p>
      <w:pPr>
        <w:spacing w:after="120" w:line="276" w:lineRule="auto"/>
      </w:pPr>
      <w:r>
        <w:rPr>
          <w:rFonts w:ascii="Arial" w:hAnsi="Arial"/>
          <w:color w:val="20262B"/>
          <w:sz w:val="21"/>
        </w:rPr>
        <w:t>Apabila PT Pertamina Patra Niaga memerlukan sesi uji dan witness bersama untuk menutup Syarat 2 sampai 4 dan 6, tim pengembang siap menjadwalkan pelaksanaan mengikuti kerangka kerja pada kerangka kerja tim (identitas prototipe, protokol uji, log iterasi, witness, hingga dokumen serah terima).</w:t>
      </w:r>
    </w:p>
    <w:p>
      <w:pPr>
        <w:pStyle w:val="Heading1"/>
        <w:keepNext/>
        <w:spacing w:before="240" w:after="100"/>
      </w:pPr>
      <w:r>
        <w:rPr>
          <w:rFonts w:ascii="Arial" w:hAnsi="Arial"/>
          <w:b/>
          <w:color w:val="000000"/>
          <w:sz w:val="30"/>
        </w:rPr>
        <w:t>8 Lembar Evaluasi</w:t>
      </w:r>
    </w:p>
    <w:p>
      <w:pPr>
        <w:spacing w:after="120" w:line="276" w:lineRule="auto"/>
      </w:pPr>
      <w:r>
        <w:rPr>
          <w:rFonts w:ascii="Arial" w:hAnsi="Arial"/>
          <w:color w:val="20262B"/>
          <w:sz w:val="21"/>
        </w:rPr>
        <w:t>Lembar ini disediakan untuk mencatat hasil evaluasi PT Pertamina Patra Niaga atas laporan ini, tanpa mengandaikan hasil evaluasi tersebut.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Dievaluasi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Hasil evaluasi (diisi oleh PT Pertamina Patra Niaga)</w:t>
      </w:r>
    </w:p>
    <w:p>
      <w:pPr>
        <w:spacing w:after="120" w:line="276" w:lineRule="auto"/>
      </w:pPr>
      <w:r>
        <w:rPr>
          <w:rFonts w:ascii="Arial" w:hAnsi="Arial"/>
          <w:color w:val="20262B"/>
          <w:sz w:val="20"/>
        </w:rPr>
        <w:t>[  ] Syarat Termin 1 dinilai terpenuhi — diproses untuk pembayaran 40 persen</w:t>
      </w:r>
    </w:p>
    <w:p>
      <w:pPr>
        <w:spacing w:after="120" w:line="276" w:lineRule="auto"/>
      </w:pPr>
      <w:r>
        <w:rPr>
          <w:rFonts w:ascii="Arial" w:hAnsi="Arial"/>
          <w:color w:val="20262B"/>
          <w:sz w:val="20"/>
        </w:rPr>
        <w:t>[  ] Syarat Termin 1 dinilai terpenuhi sebagian — diproses dengan catatan/syarat tambahan</w:t>
      </w:r>
    </w:p>
    <w:p>
      <w:pPr>
        <w:spacing w:after="120" w:line="276" w:lineRule="auto"/>
      </w:pPr>
      <w:r>
        <w:rPr>
          <w:rFonts w:ascii="Arial" w:hAnsi="Arial"/>
          <w:color w:val="20262B"/>
          <w:sz w:val="20"/>
        </w:rPr>
        <w:t>[  ] Syarat Termin 1 dinilai belum terpenuhi — memerlukan uji dan witness lanjutan sebagaimana Bagian 6</w:t>
      </w:r>
    </w:p>
    <w:p>
      <w:r>
        <w:br w:type="page"/>
      </w:r>
    </w:p>
    <w:p>
      <w:pPr>
        <w:pStyle w:val="Heading1"/>
        <w:keepNext/>
        <w:spacing w:before="240" w:after="100"/>
      </w:pPr>
      <w:r>
        <w:rPr>
          <w:rFonts w:ascii="Arial" w:hAnsi="Arial"/>
          <w:b/>
          <w:color w:val="000000"/>
          <w:sz w:val="30"/>
        </w:rPr>
        <w:t>9 Referensi Dokumen</w:t>
      </w:r>
    </w:p>
    <w:p>
      <w:pPr>
        <w:spacing w:after="120" w:line="276" w:lineRule="auto"/>
      </w:pPr>
      <w:r>
        <w:rPr>
          <w:rFonts w:ascii="Arial" w:hAnsi="Arial"/>
          <w:color w:val="20262B"/>
          <w:sz w:val="18"/>
        </w:rPr>
        <w:t>1. Ketentuan Cara Pembayaran Termin 1 (40 persen) pada SPK proyek sertifikasi ATEX/IECEx GLD.</w:t>
      </w:r>
    </w:p>
    <w:p>
      <w:pPr>
        <w:spacing w:after="120" w:line="276" w:lineRule="auto"/>
      </w:pPr>
      <w:r>
        <w:rPr>
          <w:rFonts w:ascii="Arial" w:hAnsi="Arial"/>
          <w:color w:val="20262B"/>
          <w:sz w:val="18"/>
        </w:rPr>
        <w:t>2. PROPOSAL SERTIFIKASI GAS LEAK DETECTION SYSTEM (Hazardous Area Compliance — ATEX, IP, EMC, RF), 21 Februari 2026.</w:t>
      </w:r>
    </w:p>
    <w:p>
      <w:pPr>
        <w:spacing w:after="120" w:line="276" w:lineRule="auto"/>
      </w:pPr>
      <w:r>
        <w:rPr>
          <w:rFonts w:ascii="Arial" w:hAnsi="Arial"/>
          <w:color w:val="20262B"/>
          <w:sz w:val="18"/>
        </w:rPr>
        <w:t>3. Notulensi Kick Off Meeting Pertamina, 12 Juni 2026.</w:t>
      </w:r>
    </w:p>
    <w:p>
      <w:pPr>
        <w:spacing w:after="120" w:line="276" w:lineRule="auto"/>
      </w:pPr>
      <w:r>
        <w:rPr>
          <w:rFonts w:ascii="Arial" w:hAnsi="Arial"/>
          <w:color w:val="20262B"/>
          <w:sz w:val="18"/>
        </w:rPr>
        <w:t>4. Notulen Meeting GLD, 6 Agustus 2026, Lab IoT, Instrumentation and Computations, Gedung Laboratorium Fisika Terpadu, Institut Teknologi Bandung.</w:t>
      </w:r>
    </w:p>
    <w:p>
      <w:pPr>
        <w:spacing w:after="120" w:line="276" w:lineRule="auto"/>
      </w:pPr>
      <w:r>
        <w:rPr>
          <w:rFonts w:ascii="Arial" w:hAnsi="Arial"/>
          <w:color w:val="20262B"/>
          <w:sz w:val="18"/>
        </w:rPr>
        <w:t>5. Notulen kunjungan Pertamina RU IV Cilacap, 9-10 Agustus 2026.</w:t>
      </w:r>
    </w:p>
    <w:p>
      <w:pPr>
        <w:spacing w:after="120" w:line="276" w:lineRule="auto"/>
      </w:pPr>
      <w:r>
        <w:rPr>
          <w:rFonts w:ascii="Arial" w:hAnsi="Arial"/>
          <w:color w:val="20262B"/>
          <w:sz w:val="18"/>
        </w:rPr>
        <w:t>6. Foto perakitan prototipe GLD, 26 Agustus 2026, `sertifikasi-atex-gld-v2-2026/GLD/`.</w:t>
      </w:r>
    </w:p>
    <w:p>
      <w:pPr>
        <w:spacing w:after="120" w:line="276" w:lineRule="auto"/>
      </w:pPr>
      <w:r>
        <w:rPr>
          <w:rFonts w:ascii="Arial" w:hAnsi="Arial"/>
          <w:color w:val="20262B"/>
          <w:sz w:val="18"/>
        </w:rPr>
        <w:t>7. Desain "ATEX Casing v2" dan bracket L/U-bolt, `GLD U Bolt Bracket/`.</w:t>
      </w:r>
    </w:p>
    <w:p>
      <w:pPr>
        <w:spacing w:after="120" w:line="276" w:lineRule="auto"/>
      </w:pPr>
      <w:r>
        <w:rPr>
          <w:rFonts w:ascii="Arial" w:hAnsi="Arial"/>
          <w:color w:val="20262B"/>
          <w:sz w:val="18"/>
        </w:rPr>
        <w:t>8. Technical Datasheet GasleakDetector Revision 4.0, 4 September 2026.</w:t>
      </w:r>
    </w:p>
    <w:p>
      <w:pPr>
        <w:spacing w:after="120" w:line="276" w:lineRule="auto"/>
      </w:pPr>
      <w:r>
        <w:rPr>
          <w:rFonts w:ascii="Arial" w:hAnsi="Arial"/>
          <w:color w:val="20262B"/>
          <w:sz w:val="18"/>
        </w:rPr>
        <w:t>9. Dashboard Sertifikasi GLD ATEX/IECEx dan checklist/gap analysis pendukung.</w:t>
      </w:r>
    </w:p>
    <w:p>
      <w:pPr>
        <w:spacing w:after="120" w:line="276" w:lineRule="auto"/>
      </w:pPr>
      <w:r>
        <w:rPr>
          <w:rFonts w:ascii="Arial" w:hAnsi="Arial"/>
          <w:color w:val="20262B"/>
          <w:sz w:val="18"/>
        </w:rPr>
        <w:t>10. Persiapan_Termin_1.md dan template kerja pendukung, 10 September 2026.</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Sertifikasi GLD</dc:title>
  <dc:subject>Materi evaluasi Termin 1 sertifikasi sebesar 40 persen</dc:subject>
  <dc:creator>LAPI Ganesha Utama bersama Lab IoT/Instrumentation and Computation ITB</dc:creator>
  <cp:keywords>GLD, Termin 1, Sertifikasi, ATEX, IECEx, Pertamina</cp:keywords>
  <dc:description>generated by python-docx</dc:description>
  <cp:lastModifiedBy/>
  <cp:revision>1</cp:revision>
  <dcterms:created xsi:type="dcterms:W3CDTF">2013-12-23T23:15:00Z</dcterms:created>
  <dcterms:modified xsi:type="dcterms:W3CDTF">2013-12-23T23:15:00Z</dcterms:modified>
  <cp:category/>
</cp:coreProperties>
</file>