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drawing>
          <wp:inline xmlns:a="http://schemas.openxmlformats.org/drawingml/2006/main" xmlns:pic="http://schemas.openxmlformats.org/drawingml/2006/picture">
            <wp:extent cx="7524000" cy="10620000"/>
            <wp:docPr id="1" name="Picture 1"/>
            <wp:cNvGraphicFramePr>
              <a:graphicFrameLocks noChangeAspect="1"/>
            </wp:cNvGraphicFramePr>
            <a:graphic>
              <a:graphicData uri="http://schemas.openxmlformats.org/drawingml/2006/picture">
                <pic:pic>
                  <pic:nvPicPr>
                    <pic:cNvPr id="1" name="cover_01.png"/>
                    <pic:cNvPicPr/>
                  </pic:nvPicPr>
                  <pic:blipFill>
                    <a:blip r:embed="rId9"/>
                    <a:stretch>
                      <a:fillRect/>
                    </a:stretch>
                  </pic:blipFill>
                  <pic:spPr>
                    <a:xfrm>
                      <a:off x="0" y="0"/>
                      <a:ext cx="7524000" cy="10620000"/>
                    </a:xfrm>
                    <a:prstGeom prst="rect"/>
                  </pic:spPr>
                </pic:pic>
              </a:graphicData>
            </a:graphic>
          </wp:inline>
        </w:drawing>
      </w:r>
    </w:p>
    <w:p>
      <w:pPr>
        <w:sectPr>
          <w:pgSz w:w="11906" w:h="16838"/>
          <w:pgMar w:top="0" w:right="0" w:bottom="0" w:left="0" w:header="0" w:footer="0" w:gutter="0"/>
          <w:cols w:space="720"/>
          <w:docGrid w:linePitch="360"/>
        </w:sectPr>
      </w:pP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328"/>
        <w:gridCol w:w="2328"/>
        <w:gridCol w:w="2328"/>
        <w:gridCol w:w="2328"/>
      </w:tblGrid>
      <w:tr>
        <w:tc>
          <w:tcPr>
            <w:tcW w:type="dxa" w:w="2016"/>
          </w:tcPr>
          <w:p>
            <w:pPr>
              <w:jc w:val="center"/>
            </w:pPr>
            <w:r>
              <w:drawing>
                <wp:inline xmlns:a="http://schemas.openxmlformats.org/drawingml/2006/main" xmlns:pic="http://schemas.openxmlformats.org/drawingml/2006/picture">
                  <wp:extent cx="863083" cy="457200"/>
                  <wp:docPr id="2" name="Picture 2"/>
                  <wp:cNvGraphicFramePr>
                    <a:graphicFrameLocks noChangeAspect="1"/>
                  </wp:cNvGraphicFramePr>
                  <a:graphic>
                    <a:graphicData uri="http://schemas.openxmlformats.org/drawingml/2006/picture">
                      <pic:pic>
                        <pic:nvPicPr>
                          <pic:cNvPr id="2" name="logo_lgu.png"/>
                          <pic:cNvPicPr/>
                        </pic:nvPicPr>
                        <pic:blipFill>
                          <a:blip r:embed="rId10"/>
                          <a:stretch>
                            <a:fillRect/>
                          </a:stretch>
                        </pic:blipFill>
                        <pic:spPr>
                          <a:xfrm>
                            <a:off x="0" y="0"/>
                            <a:ext cx="863083" cy="457200"/>
                          </a:xfrm>
                          <a:prstGeom prst="rect"/>
                        </pic:spPr>
                      </pic:pic>
                    </a:graphicData>
                  </a:graphic>
                </wp:inline>
              </w:drawing>
            </w:r>
          </w:p>
        </w:tc>
        <w:tc>
          <w:tcPr>
            <w:tcW w:type="dxa" w:w="4752"/>
          </w:tcPr>
          <w:p>
            <w:pPr>
              <w:spacing w:after="0"/>
              <w:jc w:val="center"/>
            </w:pPr>
            <w:r>
              <w:rPr>
                <w:rFonts w:ascii="Arial" w:hAnsi="Arial" w:eastAsia="Arial"/>
                <w:b w:val="0"/>
                <w:i w:val="0"/>
                <w:sz w:val="17"/>
                <w:u w:val="none"/>
              </w:rPr>
              <w:t>Laporan Pemenuhan Deliverable Termin 1 — Field Testing</w:t>
            </w:r>
          </w:p>
        </w:tc>
        <w:tc>
          <w:tcPr>
            <w:tcW w:type="dxa" w:w="2664"/>
            <w:gridSpan w:val="2"/>
          </w:tcPr>
          <w:p>
            <w:pPr>
              <w:jc w:val="center"/>
            </w:pPr>
            <w:r>
              <w:drawing>
                <wp:inline xmlns:a="http://schemas.openxmlformats.org/drawingml/2006/main" xmlns:pic="http://schemas.openxmlformats.org/drawingml/2006/picture">
                  <wp:extent cx="1112414" cy="329184"/>
                  <wp:docPr id="3" name="Picture 3"/>
                  <wp:cNvGraphicFramePr>
                    <a:graphicFrameLocks noChangeAspect="1"/>
                  </wp:cNvGraphicFramePr>
                  <a:graphic>
                    <a:graphicData uri="http://schemas.openxmlformats.org/drawingml/2006/picture">
                      <pic:pic>
                        <pic:nvPicPr>
                          <pic:cNvPr id="3" name="logo_pertamina.png"/>
                          <pic:cNvPicPr/>
                        </pic:nvPicPr>
                        <pic:blipFill>
                          <a:blip r:embed="rId11"/>
                          <a:stretch>
                            <a:fillRect/>
                          </a:stretch>
                        </pic:blipFill>
                        <pic:spPr>
                          <a:xfrm>
                            <a:off x="0" y="0"/>
                            <a:ext cx="1112414" cy="329184"/>
                          </a:xfrm>
                          <a:prstGeom prst="rect"/>
                        </pic:spPr>
                      </pic:pic>
                    </a:graphicData>
                  </a:graphic>
                </wp:inline>
              </w:drawing>
            </w:r>
          </w:p>
        </w:tc>
      </w:tr>
      <w:tr>
        <w:tc>
          <w:tcPr>
            <w:tcW w:type="dxa" w:w="2016"/>
          </w:tcPr>
          <w:p>
            <w:pPr>
              <w:spacing w:after="0"/>
              <w:jc w:val="left"/>
            </w:pPr>
            <w:r>
              <w:rPr>
                <w:rFonts w:ascii="Arial" w:hAnsi="Arial" w:eastAsia="Arial"/>
                <w:b w:val="0"/>
                <w:i w:val="0"/>
                <w:sz w:val="17"/>
                <w:u w:val="none"/>
              </w:rPr>
              <w:t>No. Kontrak:</w:t>
            </w:r>
          </w:p>
        </w:tc>
        <w:tc>
          <w:tcPr>
            <w:tcW w:type="dxa" w:w="4752"/>
          </w:tcPr>
          <w:p>
            <w:pPr>
              <w:spacing w:after="0"/>
              <w:jc w:val="center"/>
            </w:pPr>
            <w:r>
              <w:rPr>
                <w:rFonts w:ascii="Arial" w:hAnsi="Arial" w:eastAsia="Arial"/>
                <w:b w:val="0"/>
                <w:i w:val="0"/>
                <w:sz w:val="17"/>
                <w:u w:val="none"/>
              </w:rPr>
              <w:t>Dokumen</w:t>
            </w:r>
          </w:p>
        </w:tc>
        <w:tc>
          <w:tcPr>
            <w:tcW w:type="dxa" w:w="1080"/>
          </w:tcPr>
          <w:p>
            <w:pPr>
              <w:spacing w:after="0"/>
              <w:jc w:val="center"/>
            </w:pPr>
            <w:r>
              <w:rPr>
                <w:rFonts w:ascii="Arial" w:hAnsi="Arial" w:eastAsia="Arial"/>
                <w:b w:val="0"/>
                <w:i w:val="0"/>
                <w:sz w:val="17"/>
                <w:u w:val="none"/>
              </w:rPr>
              <w:t>Rev</w:t>
            </w:r>
          </w:p>
        </w:tc>
        <w:tc>
          <w:tcPr>
            <w:tcW w:type="dxa" w:w="1584"/>
          </w:tcPr>
          <w:p>
            <w:pPr>
              <w:spacing w:after="0"/>
              <w:jc w:val="center"/>
            </w:pPr>
            <w:r>
              <w:rPr>
                <w:rFonts w:ascii="Arial" w:hAnsi="Arial" w:eastAsia="Arial"/>
                <w:b w:val="0"/>
                <w:i w:val="0"/>
                <w:sz w:val="17"/>
                <w:u w:val="none"/>
              </w:rPr>
              <w:t>Jml. Hal</w:t>
            </w:r>
          </w:p>
        </w:tc>
      </w:tr>
      <w:tr>
        <w:tc>
          <w:tcPr>
            <w:tcW w:type="dxa" w:w="2016"/>
          </w:tcPr>
          <w:p>
            <w:pPr>
              <w:spacing w:after="0"/>
              <w:jc w:val="center"/>
            </w:pPr>
            <w:r>
              <w:rPr>
                <w:rFonts w:ascii="Arial" w:hAnsi="Arial" w:eastAsia="Arial"/>
                <w:b w:val="0"/>
                <w:i w:val="0"/>
                <w:sz w:val="17"/>
                <w:u w:val="none"/>
              </w:rPr>
            </w:r>
          </w:p>
        </w:tc>
        <w:tc>
          <w:tcPr>
            <w:tcW w:type="dxa" w:w="4752"/>
          </w:tcPr>
          <w:p>
            <w:pPr>
              <w:spacing w:after="0"/>
              <w:jc w:val="center"/>
            </w:pPr>
            <w:r>
              <w:rPr>
                <w:rFonts w:ascii="Arial" w:hAnsi="Arial" w:eastAsia="Arial"/>
                <w:b w:val="0"/>
                <w:i w:val="0"/>
                <w:sz w:val="17"/>
                <w:u w:val="none"/>
              </w:rPr>
              <w:t>Laporan Pemenuhan Deliverable Termin 1</w:t>
            </w:r>
          </w:p>
        </w:tc>
        <w:tc>
          <w:tcPr>
            <w:tcW w:type="dxa" w:w="1080"/>
          </w:tcPr>
          <w:p>
            <w:pPr>
              <w:spacing w:after="0"/>
              <w:jc w:val="center"/>
            </w:pPr>
            <w:r>
              <w:rPr>
                <w:rFonts w:ascii="Arial" w:hAnsi="Arial" w:eastAsia="Arial"/>
                <w:b w:val="0"/>
                <w:i w:val="0"/>
                <w:sz w:val="17"/>
                <w:u w:val="none"/>
              </w:rPr>
              <w:t>0.3</w:t>
            </w:r>
          </w:p>
        </w:tc>
        <w:tc>
          <w:tcPr>
            <w:tcW w:type="dxa" w:w="1584"/>
          </w:tcPr>
          <w:p>
            <w:pPr>
              <w:spacing w:after="0"/>
              <w:jc w:val="center"/>
            </w:pPr>
            <w:r>
              <w:rPr>
                <w:rFonts w:ascii="Arial" w:hAnsi="Arial" w:eastAsia="Arial"/>
                <w:b w:val="0"/>
                <w:i w:val="0"/>
                <w:sz w:val="17"/>
                <w:u w:val="none"/>
              </w:rPr>
              <w:t>140</w:t>
            </w:r>
          </w:p>
        </w:tc>
      </w:tr>
      <w:tr>
        <w:trPr>
          <w:trHeight w:val="6624"/>
        </w:trPr>
        <w:tc>
          <w:tcPr>
            <w:tcW w:type="dxa" w:w="2016"/>
          </w:tcPr>
          <w:p/>
        </w:tc>
        <w:tc>
          <w:tcPr>
            <w:tcW w:type="dxa" w:w="4752"/>
          </w:tcPr>
          <w:p>
            <w:pPr>
              <w:spacing w:before="2400"/>
              <w:jc w:val="center"/>
            </w:pPr>
            <w:r>
              <w:rPr>
                <w:rFonts w:ascii="Arial" w:hAnsi="Arial" w:eastAsia="Arial"/>
                <w:b/>
                <w:i w:val="0"/>
                <w:sz w:val="28"/>
                <w:u w:val="none"/>
              </w:rPr>
              <w:t>Laporan Pemenuhan Deliverable Termin 1 — Field Testing</w:t>
            </w:r>
          </w:p>
          <w:p>
            <w:pPr>
              <w:spacing w:after="1800" w:before="200"/>
              <w:jc w:val="center"/>
            </w:pPr>
            <w:r>
              <w:rPr>
                <w:rFonts w:ascii="Arial" w:hAnsi="Arial" w:eastAsia="Arial"/>
                <w:b w:val="0"/>
                <w:i w:val="0"/>
                <w:sz w:val="20"/>
                <w:u w:val="none"/>
              </w:rPr>
              <w:t>Pengembangan dan Field Testing Sistem Gas Leak Detection (GLD) Tahap 2</w:t>
            </w:r>
          </w:p>
          <w:p>
            <w:pPr>
              <w:spacing w:after="80" w:before="0"/>
              <w:jc w:val="center"/>
            </w:pPr>
            <w:r>
              <w:rPr>
                <w:rFonts w:ascii="Arial" w:hAnsi="Arial" w:eastAsia="Arial"/>
                <w:b/>
                <w:i w:val="0"/>
                <w:sz w:val="20"/>
                <w:u w:val="none"/>
              </w:rPr>
              <w:t>2026</w:t>
            </w:r>
          </w:p>
        </w:tc>
        <w:tc>
          <w:tcPr>
            <w:tcW w:type="dxa" w:w="1080"/>
          </w:tcPr>
          <w:p/>
        </w:tc>
        <w:tc>
          <w:tcPr>
            <w:tcW w:type="dxa" w:w="1584"/>
          </w:tcPr>
          <w:p/>
        </w:tc>
      </w:tr>
      <w:tr>
        <w:tc>
          <w:tcPr>
            <w:tcW w:type="dxa" w:w="2016"/>
          </w:tcPr>
          <w:p>
            <w:pPr>
              <w:spacing w:after="0"/>
              <w:jc w:val="left"/>
            </w:pPr>
            <w:r>
              <w:rPr>
                <w:rFonts w:ascii="Arial" w:hAnsi="Arial" w:eastAsia="Arial"/>
                <w:b w:val="0"/>
                <w:i w:val="0"/>
                <w:sz w:val="17"/>
                <w:u w:val="none"/>
              </w:rPr>
              <w:t>Date</w:t>
            </w:r>
          </w:p>
        </w:tc>
        <w:tc>
          <w:tcPr>
            <w:tcW w:type="dxa" w:w="4752"/>
          </w:tcPr>
          <w:p>
            <w:pPr>
              <w:spacing w:after="0"/>
              <w:jc w:val="center"/>
            </w:pPr>
            <w:r>
              <w:rPr>
                <w:rFonts w:ascii="Arial" w:hAnsi="Arial" w:eastAsia="Arial"/>
                <w:b w:val="0"/>
                <w:i w:val="0"/>
                <w:sz w:val="17"/>
                <w:u w:val="none"/>
              </w:rPr>
              <w:t>Revision</w:t>
            </w:r>
          </w:p>
        </w:tc>
        <w:tc>
          <w:tcPr>
            <w:tcW w:type="dxa" w:w="1080"/>
          </w:tcPr>
          <w:p>
            <w:pPr>
              <w:spacing w:after="0"/>
              <w:jc w:val="center"/>
            </w:pPr>
            <w:r>
              <w:rPr>
                <w:rFonts w:ascii="Arial" w:hAnsi="Arial" w:eastAsia="Arial"/>
                <w:b w:val="0"/>
                <w:i w:val="0"/>
                <w:sz w:val="17"/>
                <w:u w:val="none"/>
              </w:rPr>
              <w:t>Prepared by</w:t>
            </w:r>
          </w:p>
        </w:tc>
        <w:tc>
          <w:tcPr>
            <w:tcW w:type="dxa" w:w="1584"/>
          </w:tcPr>
          <w:p>
            <w:pPr>
              <w:spacing w:after="0"/>
              <w:jc w:val="center"/>
            </w:pPr>
            <w:r>
              <w:rPr>
                <w:rFonts w:ascii="Arial" w:hAnsi="Arial" w:eastAsia="Arial"/>
                <w:b w:val="0"/>
                <w:i w:val="0"/>
                <w:sz w:val="17"/>
                <w:u w:val="none"/>
              </w:rPr>
              <w:t>Approved by</w:t>
            </w:r>
          </w:p>
        </w:tc>
      </w:tr>
      <w:tr>
        <w:tc>
          <w:tcPr>
            <w:tcW w:type="dxa" w:w="2016"/>
          </w:tcPr>
          <w:p>
            <w:pPr>
              <w:spacing w:after="0"/>
              <w:jc w:val="left"/>
            </w:pPr>
            <w:r>
              <w:rPr>
                <w:rFonts w:ascii="Arial" w:hAnsi="Arial" w:eastAsia="Arial"/>
                <w:b w:val="0"/>
                <w:i w:val="0"/>
                <w:sz w:val="17"/>
                <w:u w:val="none"/>
              </w:rPr>
              <w:t>5 Oktober 2026</w:t>
            </w:r>
          </w:p>
        </w:tc>
        <w:tc>
          <w:tcPr>
            <w:tcW w:type="dxa" w:w="4752"/>
          </w:tcPr>
          <w:p>
            <w:pPr>
              <w:spacing w:after="0"/>
              <w:jc w:val="center"/>
            </w:pPr>
            <w:r>
              <w:rPr>
                <w:rFonts w:ascii="Arial" w:hAnsi="Arial" w:eastAsia="Arial"/>
                <w:b w:val="0"/>
                <w:i w:val="0"/>
                <w:sz w:val="17"/>
                <w:u w:val="none"/>
              </w:rPr>
              <w:t>Rev 0.3</w:t>
            </w:r>
          </w:p>
        </w:tc>
        <w:tc>
          <w:tcPr>
            <w:tcW w:type="dxa" w:w="1080"/>
          </w:tcPr>
          <w:p>
            <w:pPr>
              <w:spacing w:after="0"/>
              <w:jc w:val="center"/>
            </w:pPr>
            <w:r>
              <w:rPr>
                <w:rFonts w:ascii="Arial" w:hAnsi="Arial" w:eastAsia="Arial"/>
                <w:b w:val="0"/>
                <w:i w:val="0"/>
                <w:sz w:val="17"/>
                <w:u w:val="none"/>
              </w:rPr>
              <w:t>LGU</w:t>
            </w:r>
          </w:p>
        </w:tc>
        <w:tc>
          <w:tcPr>
            <w:tcW w:type="dxa" w:w="1584"/>
          </w:tcPr>
          <w:p>
            <w:pPr>
              <w:spacing w:after="0"/>
              <w:jc w:val="center"/>
            </w:pPr>
            <w:r>
              <w:rPr>
                <w:rFonts w:ascii="Arial" w:hAnsi="Arial" w:eastAsia="Arial"/>
                <w:b w:val="0"/>
                <w:i w:val="0"/>
                <w:sz w:val="17"/>
                <w:u w:val="none"/>
              </w:rPr>
            </w:r>
          </w:p>
        </w:tc>
      </w:tr>
    </w:tbl>
    <w:p>
      <w:r>
        <w:br w:type="page"/>
      </w:r>
    </w:p>
    <w:p>
      <w:pPr>
        <w:spacing w:after="480" w:before="0"/>
        <w:jc w:val="center"/>
      </w:pPr>
      <w:r>
        <w:rPr>
          <w:rFonts w:ascii="Arial" w:hAnsi="Arial" w:eastAsia="Arial"/>
          <w:b/>
          <w:i w:val="0"/>
          <w:sz w:val="32"/>
          <w:u w:val="none"/>
        </w:rPr>
        <w:t>LEMBAR PENGESAHAN</w:t>
      </w:r>
    </w:p>
    <w:p>
      <w:pPr>
        <w:spacing w:after="480" w:before="0"/>
        <w:jc w:val="center"/>
      </w:pPr>
      <w:r>
        <w:rPr>
          <w:rFonts w:ascii="Arial" w:hAnsi="Arial" w:eastAsia="Arial"/>
          <w:b/>
          <w:i w:val="0"/>
          <w:sz w:val="24"/>
          <w:u w:val="none"/>
        </w:rPr>
        <w:t>Laporan Pemenuhan Deliverable Termin 1 — Field Testing</w:t>
      </w:r>
      <w:r>
        <w:br/>
      </w:r>
      <w:r>
        <w:rPr>
          <w:rFonts w:ascii="Arial" w:hAnsi="Arial" w:eastAsia="Arial"/>
          <w:b/>
          <w:i w:val="0"/>
          <w:sz w:val="24"/>
          <w:u w:val="none"/>
        </w:rPr>
        <w:t>Pengembangan dan Field Testing Sistem Gas Leak Detection (GLD) Tahap 2</w:t>
      </w:r>
    </w:p>
    <w:p>
      <w:pPr>
        <w:spacing w:after="320" w:before="0"/>
        <w:jc w:val="center"/>
      </w:pPr>
      <w:r>
        <w:rPr>
          <w:rFonts w:ascii="Arial" w:hAnsi="Arial" w:eastAsia="Arial"/>
          <w:b w:val="0"/>
          <w:i w:val="0"/>
          <w:sz w:val="21"/>
          <w:u w:val="none"/>
        </w:rPr>
        <w:t>Dikerjakan oleh,</w:t>
      </w:r>
      <w:r>
        <w:br/>
      </w:r>
      <w:r>
        <w:rPr>
          <w:rFonts w:ascii="Arial" w:hAnsi="Arial" w:eastAsia="Arial"/>
          <w:b w:val="0"/>
          <w:i w:val="0"/>
          <w:sz w:val="21"/>
          <w:u w:val="none"/>
        </w:rPr>
        <w:t>PT LAPI Ganesha Utama</w:t>
      </w:r>
    </w:p>
    <w:p>
      <w:pPr>
        <w:spacing w:after="320" w:before="0"/>
        <w:jc w:val="center"/>
      </w:pPr>
      <w:r>
        <w:rPr>
          <w:rFonts w:ascii="Arial" w:hAnsi="Arial" w:eastAsia="Arial"/>
          <w:b w:val="0"/>
          <w:i w:val="0"/>
          <w:sz w:val="21"/>
          <w:u w:val="none"/>
        </w:rPr>
        <w:t>Untuk</w:t>
      </w:r>
      <w:r>
        <w:br/>
      </w:r>
      <w:r>
        <w:rPr>
          <w:rFonts w:ascii="Arial" w:hAnsi="Arial" w:eastAsia="Arial"/>
          <w:b w:val="0"/>
          <w:i w:val="0"/>
          <w:sz w:val="21"/>
          <w:u w:val="none"/>
        </w:rPr>
        <w:t>PT Pertamina Patra Niaga</w:t>
      </w:r>
    </w:p>
    <w:p>
      <w:pPr>
        <w:spacing w:after="200" w:before="0"/>
        <w:jc w:val="center"/>
      </w:pPr>
      <w:r>
        <w:rPr>
          <w:rFonts w:ascii="Arial" w:hAnsi="Arial" w:eastAsia="Arial"/>
          <w:b w:val="0"/>
          <w:i w:val="0"/>
          <w:sz w:val="21"/>
          <w:u w:val="none"/>
        </w:rPr>
        <w:t>Bandung, 5 Oktober 2026</w:t>
      </w:r>
    </w:p>
    <w:tbl>
      <w:tblPr>
        <w:tblW w:type="auto" w:w="0"/>
        <w:jc w:val="center"/>
        <w:tblLook w:firstColumn="1" w:firstRow="1" w:lastColumn="0" w:lastRow="0" w:noHBand="0" w:noVBand="1" w:val="04A0"/>
      </w:tblPr>
      <w:tblGrid>
        <w:gridCol w:w="4657"/>
        <w:gridCol w:w="4657"/>
      </w:tblGrid>
      <w:tr>
        <w:tc>
          <w:tcPr>
            <w:tcW w:type="dxa" w:w="4657"/>
          </w:tcPr>
          <w:p>
            <w:pPr>
              <w:spacing w:after="0"/>
              <w:jc w:val="center"/>
            </w:pPr>
            <w:r>
              <w:rPr>
                <w:rFonts w:ascii="Arial" w:hAnsi="Arial" w:eastAsia="Arial"/>
                <w:b w:val="0"/>
                <w:i w:val="0"/>
                <w:sz w:val="21"/>
                <w:u w:val="none"/>
              </w:rPr>
              <w:t>Team Leader,</w:t>
            </w:r>
          </w:p>
        </w:tc>
        <w:tc>
          <w:tcPr>
            <w:tcW w:type="dxa" w:w="4657"/>
          </w:tcPr>
          <w:p>
            <w:pPr>
              <w:spacing w:after="0"/>
              <w:jc w:val="center"/>
            </w:pPr>
            <w:r>
              <w:rPr>
                <w:rFonts w:ascii="Arial" w:hAnsi="Arial" w:eastAsia="Arial"/>
                <w:b w:val="0"/>
                <w:i w:val="0"/>
                <w:sz w:val="21"/>
                <w:u w:val="none"/>
              </w:rPr>
              <w:t>Direktur Utama,</w:t>
            </w:r>
          </w:p>
        </w:tc>
      </w:tr>
      <w:tr>
        <w:trPr>
          <w:trHeight w:val="1296"/>
        </w:trPr>
        <w:tc>
          <w:tcPr>
            <w:tcW w:type="dxa" w:w="4657"/>
          </w:tcPr>
          <w:p/>
        </w:tc>
        <w:tc>
          <w:tcPr>
            <w:tcW w:type="dxa" w:w="4657"/>
          </w:tcPr>
          <w:p/>
        </w:tc>
      </w:tr>
      <w:tr>
        <w:tc>
          <w:tcPr>
            <w:tcW w:type="dxa" w:w="4657"/>
          </w:tcPr>
          <w:p>
            <w:pPr>
              <w:jc w:val="center"/>
            </w:pPr>
            <w:r>
              <w:rPr>
                <w:rFonts w:ascii="Arial" w:hAnsi="Arial" w:eastAsia="Arial"/>
                <w:b/>
                <w:i w:val="0"/>
                <w:sz w:val="21"/>
                <w:u w:val="single"/>
              </w:rPr>
              <w:t>Dr. Maman Budiman</w:t>
            </w:r>
          </w:p>
        </w:tc>
        <w:tc>
          <w:tcPr>
            <w:tcW w:type="dxa" w:w="4657"/>
          </w:tcPr>
          <w:p>
            <w:pPr>
              <w:jc w:val="center"/>
            </w:pPr>
            <w:r>
              <w:rPr>
                <w:rFonts w:ascii="Arial" w:hAnsi="Arial" w:eastAsia="Arial"/>
                <w:b/>
                <w:i w:val="0"/>
                <w:sz w:val="21"/>
                <w:u w:val="single"/>
              </w:rPr>
              <w:t>Ir. Harry Fardiman</w:t>
            </w:r>
          </w:p>
        </w:tc>
      </w:tr>
    </w:tbl>
    <w:p>
      <w:pPr>
        <w:spacing w:after="1400" w:before="720"/>
        <w:jc w:val="center"/>
      </w:pPr>
      <w:r>
        <w:rPr>
          <w:rFonts w:ascii="Arial" w:hAnsi="Arial" w:eastAsia="Arial"/>
          <w:b/>
          <w:i w:val="0"/>
          <w:sz w:val="21"/>
          <w:u w:val="none"/>
        </w:rPr>
        <w:t>Manager Domestic Product Content &amp; Digitalization</w:t>
      </w:r>
      <w:r>
        <w:br/>
      </w:r>
      <w:r>
        <w:rPr>
          <w:rFonts w:ascii="Arial" w:hAnsi="Arial" w:eastAsia="Arial"/>
          <w:b/>
          <w:i w:val="0"/>
          <w:sz w:val="21"/>
          <w:u w:val="none"/>
        </w:rPr>
        <w:t>PT Pertamina Patra Niaga</w:t>
      </w:r>
    </w:p>
    <w:p>
      <w:pPr>
        <w:spacing w:after="120" w:before="0"/>
        <w:jc w:val="center"/>
      </w:pPr>
      <w:r>
        <w:rPr>
          <w:rFonts w:ascii="Arial" w:hAnsi="Arial" w:eastAsia="Arial"/>
          <w:b/>
          <w:i w:val="0"/>
          <w:sz w:val="21"/>
          <w:u w:val="single"/>
        </w:rPr>
        <w:t>Agustinus Pindoan Panjaitan</w:t>
      </w:r>
    </w:p>
    <w:p>
      <w:r>
        <w:br w:type="page"/>
      </w:r>
    </w:p>
    <w:p>
      <w:pPr>
        <w:spacing w:after="400" w:before="0"/>
        <w:jc w:val="center"/>
      </w:pPr>
      <w:r>
        <w:rPr>
          <w:rFonts w:ascii="Arial" w:hAnsi="Arial" w:eastAsia="Arial"/>
          <w:b/>
          <w:i w:val="0"/>
          <w:sz w:val="32"/>
          <w:u w:val="none"/>
        </w:rPr>
        <w:t>KATA PENGANTAR</w:t>
      </w:r>
    </w:p>
    <w:p>
      <w:pPr>
        <w:spacing w:after="200" w:before="0" w:line="336" w:lineRule="auto"/>
        <w:jc w:val="both"/>
      </w:pPr>
      <w:r>
        <w:rPr>
          <w:rFonts w:ascii="Arial" w:hAnsi="Arial" w:eastAsia="Arial"/>
          <w:b w:val="0"/>
          <w:i w:val="0"/>
          <w:sz w:val="21"/>
          <w:u w:val="none"/>
        </w:rPr>
        <w:t>Puji syukur kami panjatkan ke hadirat Tuhan Yang Maha Esa atas rahmat dan karunia-Nya sehingga Laporan Pemenuhan Deliverable Termin 1 pekerjaan Pengembangan dan Field Testing Sistem Gas Leak Detection (GLD) Tahap 2 ini dapat disusun dengan baik.</w:t>
      </w:r>
    </w:p>
    <w:p>
      <w:pPr>
        <w:spacing w:after="200" w:before="0" w:line="336" w:lineRule="auto"/>
        <w:jc w:val="both"/>
      </w:pPr>
      <w:r>
        <w:rPr>
          <w:rFonts w:ascii="Arial" w:hAnsi="Arial" w:eastAsia="Arial"/>
          <w:b w:val="0"/>
          <w:i w:val="0"/>
          <w:sz w:val="21"/>
          <w:u w:val="none"/>
        </w:rPr>
        <w:t>Laporan ini disusun sebagai dokumen pendukung pengajuan Termin 1 sebesar 20 persen. Laporan memuat pemenuhan setiap ketentuan pembayaran Termin 1, mencakup detail engineering dan desain, kesiapan komponen, konfigurasi firmware, hasil Factory Integration Test (FIT), dokumentasi instalasi dan as-built tahap laboratorium, serta register bukti pendukung. Laporan Factory Acceptance Test (FAT) beserta tiga Laporan Uji Laboratorium dan bukti pendukungnya disertakan sebagai Lampiran A. Lembar Pengesahan di halaman depan mengesahkan dokumen laporan ini; penerimaan deliverable Termin 1 dinyatakan pada Bagian 11, dan penerimaan hasil uji FAT pada Lembar Pengesahan Uji di Lampiran A. Penilaian pemenuhan dan keputusan pembayaran sepenuhnya merupakan kewenangan PT Pertamina Patra Niaga.</w:t>
      </w:r>
    </w:p>
    <w:p>
      <w:pPr>
        <w:spacing w:after="200" w:before="0" w:line="336" w:lineRule="auto"/>
        <w:jc w:val="both"/>
      </w:pPr>
      <w:r>
        <w:rPr>
          <w:rFonts w:ascii="Arial" w:hAnsi="Arial" w:eastAsia="Arial"/>
          <w:b w:val="0"/>
          <w:i w:val="0"/>
          <w:sz w:val="21"/>
          <w:u w:val="none"/>
        </w:rPr>
        <w:t>Kami mengucapkan terima kasih kepada PT Pertamina Patra Niaga serta seluruh pihak yang telah berkontribusi dalam pelaksanaan pekerjaan ini, termasuk Lab IoT/Instrumentation and Computation Institut Teknologi Bandung. Kami terbuka terhadap saran dan masukan untuk penyempurnaan pekerjaan pada tahap berikutnya.</w:t>
      </w:r>
    </w:p>
    <w:p>
      <w:pPr>
        <w:spacing w:after="1200" w:before="360"/>
        <w:jc w:val="right"/>
      </w:pPr>
      <w:r>
        <w:rPr>
          <w:rFonts w:ascii="Arial" w:hAnsi="Arial" w:eastAsia="Arial"/>
          <w:b w:val="0"/>
          <w:i w:val="0"/>
          <w:sz w:val="21"/>
          <w:u w:val="none"/>
        </w:rPr>
        <w:t>Bandung, 5 Oktober 2026</w:t>
      </w:r>
      <w:r>
        <w:br/>
      </w:r>
      <w:r>
        <w:rPr>
          <w:rFonts w:ascii="Arial" w:hAnsi="Arial" w:eastAsia="Arial"/>
          <w:b w:val="0"/>
          <w:i w:val="0"/>
          <w:sz w:val="21"/>
          <w:u w:val="none"/>
        </w:rPr>
        <w:t>PT LAPI Ganesha Utama</w:t>
      </w:r>
    </w:p>
    <w:p>
      <w:pPr>
        <w:spacing w:after="120" w:before="0"/>
        <w:jc w:val="right"/>
      </w:pPr>
      <w:r>
        <w:rPr>
          <w:rFonts w:ascii="Arial" w:hAnsi="Arial" w:eastAsia="Arial"/>
          <w:b w:val="0"/>
          <w:i w:val="0"/>
          <w:sz w:val="21"/>
          <w:u w:val="none"/>
        </w:rPr>
        <w:t>Dr. Maman Budiman</w:t>
      </w:r>
      <w:r>
        <w:br/>
      </w:r>
      <w:r>
        <w:rPr>
          <w:rFonts w:ascii="Arial" w:hAnsi="Arial" w:eastAsia="Arial"/>
          <w:b w:val="0"/>
          <w:i w:val="0"/>
          <w:sz w:val="21"/>
          <w:u w:val="none"/>
        </w:rPr>
        <w:t>Team Leader</w:t>
      </w:r>
    </w:p>
    <w:p>
      <w:r>
        <w:br w:type="page"/>
      </w:r>
    </w:p>
    <w:p>
      <w:pPr>
        <w:spacing w:after="400" w:before="0"/>
        <w:jc w:val="center"/>
      </w:pPr>
      <w:r>
        <w:rPr>
          <w:rFonts w:ascii="Arial" w:hAnsi="Arial" w:eastAsia="Arial"/>
          <w:b/>
          <w:i w:val="0"/>
          <w:sz w:val="32"/>
          <w:u w:val="none"/>
        </w:rPr>
        <w:t>DAFTAR ISI</w:t>
      </w:r>
    </w:p>
    <w:p>
      <w:pPr>
        <w:tabs>
          <w:tab w:pos="9288" w:val="right" w:leader="dot"/>
        </w:tabs>
        <w:spacing w:after="120"/>
        <w:ind w:left="0"/>
      </w:pPr>
      <w:r>
        <w:rPr>
          <w:rFonts w:ascii="Arial" w:hAnsi="Arial" w:eastAsia="Arial"/>
          <w:b/>
          <w:i w:val="0"/>
          <w:sz w:val="21"/>
          <w:u w:val="none"/>
        </w:rPr>
        <w:t>1 Ringkasan Eksekutif</w:t>
      </w:r>
      <w:r>
        <w:rPr>
          <w:rFonts w:ascii="Arial" w:hAnsi="Arial" w:eastAsia="Arial"/>
          <w:b w:val="0"/>
          <w:i w:val="0"/>
          <w:sz w:val="20"/>
          <w:u w:val="none"/>
        </w:rPr>
        <w:tab/>
        <w:t>7</w:t>
      </w:r>
    </w:p>
    <w:p>
      <w:pPr>
        <w:tabs>
          <w:tab w:pos="9288" w:val="right" w:leader="dot"/>
        </w:tabs>
        <w:spacing w:after="120"/>
        <w:ind w:left="0"/>
      </w:pPr>
      <w:r>
        <w:rPr>
          <w:rFonts w:ascii="Arial" w:hAnsi="Arial" w:eastAsia="Arial"/>
          <w:b/>
          <w:i w:val="0"/>
          <w:sz w:val="21"/>
          <w:u w:val="none"/>
        </w:rPr>
        <w:t>2 Dasar Kontraktual</w:t>
      </w:r>
      <w:r>
        <w:rPr>
          <w:rFonts w:ascii="Arial" w:hAnsi="Arial" w:eastAsia="Arial"/>
          <w:b w:val="0"/>
          <w:i w:val="0"/>
          <w:sz w:val="20"/>
          <w:u w:val="none"/>
        </w:rPr>
        <w:tab/>
        <w:t>8</w:t>
      </w:r>
    </w:p>
    <w:p>
      <w:pPr>
        <w:tabs>
          <w:tab w:pos="9288" w:val="right" w:leader="dot"/>
        </w:tabs>
        <w:spacing w:after="120"/>
        <w:ind w:left="0"/>
      </w:pPr>
      <w:r>
        <w:rPr>
          <w:rFonts w:ascii="Arial" w:hAnsi="Arial" w:eastAsia="Arial"/>
          <w:b/>
          <w:i w:val="0"/>
          <w:sz w:val="21"/>
          <w:u w:val="none"/>
        </w:rPr>
        <w:t>3 Detail Engineering dan Desain</w:t>
      </w:r>
      <w:r>
        <w:rPr>
          <w:rFonts w:ascii="Arial" w:hAnsi="Arial" w:eastAsia="Arial"/>
          <w:b w:val="0"/>
          <w:i w:val="0"/>
          <w:sz w:val="20"/>
          <w:u w:val="none"/>
        </w:rPr>
        <w:tab/>
        <w:t>9</w:t>
      </w:r>
    </w:p>
    <w:p>
      <w:pPr>
        <w:tabs>
          <w:tab w:pos="9288" w:val="right" w:leader="dot"/>
        </w:tabs>
        <w:spacing w:after="120"/>
        <w:ind w:left="0"/>
      </w:pPr>
      <w:r>
        <w:rPr>
          <w:rFonts w:ascii="Arial" w:hAnsi="Arial" w:eastAsia="Arial"/>
          <w:b/>
          <w:i w:val="0"/>
          <w:sz w:val="21"/>
          <w:u w:val="none"/>
        </w:rPr>
        <w:t>4 Kesiapan Komponen dan Perangkat</w:t>
      </w:r>
      <w:r>
        <w:rPr>
          <w:rFonts w:ascii="Arial" w:hAnsi="Arial" w:eastAsia="Arial"/>
          <w:b w:val="0"/>
          <w:i w:val="0"/>
          <w:sz w:val="20"/>
          <w:u w:val="none"/>
        </w:rPr>
        <w:tab/>
        <w:t>10</w:t>
      </w:r>
    </w:p>
    <w:p>
      <w:pPr>
        <w:tabs>
          <w:tab w:pos="9288" w:val="right" w:leader="dot"/>
        </w:tabs>
        <w:spacing w:after="120"/>
        <w:ind w:left="0"/>
      </w:pPr>
      <w:r>
        <w:rPr>
          <w:rFonts w:ascii="Arial" w:hAnsi="Arial" w:eastAsia="Arial"/>
          <w:b/>
          <w:i w:val="0"/>
          <w:sz w:val="21"/>
          <w:u w:val="none"/>
        </w:rPr>
        <w:t>5 Konfigurasi Firmware</w:t>
      </w:r>
      <w:r>
        <w:rPr>
          <w:rFonts w:ascii="Arial" w:hAnsi="Arial" w:eastAsia="Arial"/>
          <w:b w:val="0"/>
          <w:i w:val="0"/>
          <w:sz w:val="20"/>
          <w:u w:val="none"/>
        </w:rPr>
        <w:tab/>
        <w:t>11</w:t>
      </w:r>
    </w:p>
    <w:p>
      <w:pPr>
        <w:tabs>
          <w:tab w:pos="9288" w:val="right" w:leader="dot"/>
        </w:tabs>
        <w:spacing w:after="120"/>
        <w:ind w:left="0"/>
      </w:pPr>
      <w:r>
        <w:rPr>
          <w:rFonts w:ascii="Arial" w:hAnsi="Arial" w:eastAsia="Arial"/>
          <w:b/>
          <w:i w:val="0"/>
          <w:sz w:val="21"/>
          <w:u w:val="none"/>
        </w:rPr>
        <w:t>6 Pelaksanaan Factory Integration Test</w:t>
      </w:r>
      <w:r>
        <w:rPr>
          <w:rFonts w:ascii="Arial" w:hAnsi="Arial" w:eastAsia="Arial"/>
          <w:b w:val="0"/>
          <w:i w:val="0"/>
          <w:sz w:val="20"/>
          <w:u w:val="none"/>
        </w:rPr>
        <w:tab/>
        <w:t>11</w:t>
      </w:r>
    </w:p>
    <w:p>
      <w:pPr>
        <w:tabs>
          <w:tab w:pos="9288" w:val="right" w:leader="dot"/>
        </w:tabs>
        <w:spacing w:after="120"/>
        <w:ind w:left="0"/>
      </w:pPr>
      <w:r>
        <w:rPr>
          <w:rFonts w:ascii="Arial" w:hAnsi="Arial" w:eastAsia="Arial"/>
          <w:b/>
          <w:i w:val="0"/>
          <w:sz w:val="21"/>
          <w:u w:val="none"/>
        </w:rPr>
        <w:t>7 Dokumen Instalasi dan As Built</w:t>
      </w:r>
      <w:r>
        <w:rPr>
          <w:rFonts w:ascii="Arial" w:hAnsi="Arial" w:eastAsia="Arial"/>
          <w:b w:val="0"/>
          <w:i w:val="0"/>
          <w:sz w:val="20"/>
          <w:u w:val="none"/>
        </w:rPr>
        <w:tab/>
        <w:t>13</w:t>
      </w:r>
    </w:p>
    <w:p>
      <w:pPr>
        <w:tabs>
          <w:tab w:pos="9288" w:val="right" w:leader="dot"/>
        </w:tabs>
        <w:spacing w:after="120"/>
        <w:ind w:left="0"/>
      </w:pPr>
      <w:r>
        <w:rPr>
          <w:rFonts w:ascii="Arial" w:hAnsi="Arial" w:eastAsia="Arial"/>
          <w:b/>
          <w:i w:val="0"/>
          <w:sz w:val="21"/>
          <w:u w:val="none"/>
        </w:rPr>
        <w:t>8 Register Bukti</w:t>
      </w:r>
      <w:r>
        <w:rPr>
          <w:rFonts w:ascii="Arial" w:hAnsi="Arial" w:eastAsia="Arial"/>
          <w:b w:val="0"/>
          <w:i w:val="0"/>
          <w:sz w:val="20"/>
          <w:u w:val="none"/>
        </w:rPr>
        <w:tab/>
        <w:t>13</w:t>
      </w:r>
    </w:p>
    <w:p>
      <w:pPr>
        <w:tabs>
          <w:tab w:pos="9288" w:val="right" w:leader="dot"/>
        </w:tabs>
        <w:spacing w:after="120"/>
        <w:ind w:left="0"/>
      </w:pPr>
      <w:r>
        <w:rPr>
          <w:rFonts w:ascii="Arial" w:hAnsi="Arial" w:eastAsia="Arial"/>
          <w:b/>
          <w:i w:val="0"/>
          <w:sz w:val="21"/>
          <w:u w:val="none"/>
        </w:rPr>
        <w:t>9 Outstanding dan Tahap Berikutnya</w:t>
      </w:r>
      <w:r>
        <w:rPr>
          <w:rFonts w:ascii="Arial" w:hAnsi="Arial" w:eastAsia="Arial"/>
          <w:b w:val="0"/>
          <w:i w:val="0"/>
          <w:sz w:val="20"/>
          <w:u w:val="none"/>
        </w:rPr>
        <w:tab/>
        <w:t>14</w:t>
      </w:r>
    </w:p>
    <w:p>
      <w:pPr>
        <w:tabs>
          <w:tab w:pos="9288" w:val="right" w:leader="dot"/>
        </w:tabs>
        <w:spacing w:after="120"/>
        <w:ind w:left="0"/>
      </w:pPr>
      <w:r>
        <w:rPr>
          <w:rFonts w:ascii="Arial" w:hAnsi="Arial" w:eastAsia="Arial"/>
          <w:b/>
          <w:i w:val="0"/>
          <w:sz w:val="21"/>
          <w:u w:val="none"/>
        </w:rPr>
        <w:t>10 Kesimpulan dan Rekomendasi Penerimaan</w:t>
      </w:r>
      <w:r>
        <w:rPr>
          <w:rFonts w:ascii="Arial" w:hAnsi="Arial" w:eastAsia="Arial"/>
          <w:b w:val="0"/>
          <w:i w:val="0"/>
          <w:sz w:val="20"/>
          <w:u w:val="none"/>
        </w:rPr>
        <w:tab/>
        <w:t>15</w:t>
      </w:r>
    </w:p>
    <w:p>
      <w:pPr>
        <w:tabs>
          <w:tab w:pos="9288" w:val="right" w:leader="dot"/>
        </w:tabs>
        <w:spacing w:after="120"/>
        <w:ind w:left="0"/>
      </w:pPr>
      <w:r>
        <w:rPr>
          <w:rFonts w:ascii="Arial" w:hAnsi="Arial" w:eastAsia="Arial"/>
          <w:b/>
          <w:i w:val="0"/>
          <w:sz w:val="21"/>
          <w:u w:val="none"/>
        </w:rPr>
        <w:t>11 Lembar Pengesahan</w:t>
      </w:r>
      <w:r>
        <w:rPr>
          <w:rFonts w:ascii="Arial" w:hAnsi="Arial" w:eastAsia="Arial"/>
          <w:b w:val="0"/>
          <w:i w:val="0"/>
          <w:sz w:val="20"/>
          <w:u w:val="none"/>
        </w:rPr>
        <w:tab/>
        <w:t>15</w:t>
      </w:r>
    </w:p>
    <w:p>
      <w:pPr>
        <w:tabs>
          <w:tab w:pos="9288" w:val="right" w:leader="dot"/>
        </w:tabs>
        <w:spacing w:after="120"/>
        <w:ind w:left="0"/>
      </w:pPr>
      <w:r>
        <w:rPr>
          <w:rFonts w:ascii="Arial" w:hAnsi="Arial" w:eastAsia="Arial"/>
          <w:b/>
          <w:i w:val="0"/>
          <w:sz w:val="21"/>
          <w:u w:val="none"/>
        </w:rPr>
        <w:t>Lampiran A - Laporan Factory Acceptance Test (FAT)</w:t>
      </w:r>
      <w:r>
        <w:rPr>
          <w:rFonts w:ascii="Arial" w:hAnsi="Arial" w:eastAsia="Arial"/>
          <w:b w:val="0"/>
          <w:i w:val="0"/>
          <w:sz w:val="20"/>
          <w:u w:val="none"/>
        </w:rPr>
        <w:tab/>
        <w:t>16</w:t>
      </w:r>
    </w:p>
    <w:p>
      <w:pPr>
        <w:tabs>
          <w:tab w:pos="9288" w:val="right" w:leader="dot"/>
        </w:tabs>
        <w:spacing w:after="60"/>
        <w:ind w:left="432"/>
      </w:pPr>
      <w:r>
        <w:rPr>
          <w:rFonts w:ascii="Arial" w:hAnsi="Arial" w:eastAsia="Arial"/>
          <w:b w:val="0"/>
          <w:i w:val="0"/>
          <w:sz w:val="20"/>
          <w:u w:val="none"/>
        </w:rPr>
        <w:t>Isi Laporan FAT (FAT-01 s.d. FAT-07)</w:t>
      </w:r>
      <w:r>
        <w:rPr>
          <w:rFonts w:ascii="Arial" w:hAnsi="Arial" w:eastAsia="Arial"/>
          <w:b w:val="0"/>
          <w:i w:val="0"/>
          <w:sz w:val="20"/>
          <w:u w:val="none"/>
        </w:rPr>
        <w:tab/>
        <w:t>17</w:t>
      </w:r>
    </w:p>
    <w:p>
      <w:pPr>
        <w:tabs>
          <w:tab w:pos="9288" w:val="right" w:leader="dot"/>
        </w:tabs>
        <w:spacing w:after="60"/>
        <w:ind w:left="432"/>
      </w:pPr>
      <w:r>
        <w:rPr>
          <w:rFonts w:ascii="Arial" w:hAnsi="Arial" w:eastAsia="Arial"/>
          <w:b w:val="0"/>
          <w:i w:val="0"/>
          <w:sz w:val="20"/>
          <w:u w:val="none"/>
        </w:rPr>
        <w:t>Lampiran FAT FAT 1 - Notulen Rapat 6 Agustus 2026 (Witness PT Pertamina Patra Niaga)</w:t>
      </w:r>
      <w:r>
        <w:rPr>
          <w:rFonts w:ascii="Arial" w:hAnsi="Arial" w:eastAsia="Arial"/>
          <w:b w:val="0"/>
          <w:i w:val="0"/>
          <w:sz w:val="20"/>
          <w:u w:val="none"/>
        </w:rPr>
        <w:tab/>
        <w:t>22</w:t>
      </w:r>
    </w:p>
    <w:p>
      <w:pPr>
        <w:tabs>
          <w:tab w:pos="9288" w:val="right" w:leader="dot"/>
        </w:tabs>
        <w:spacing w:after="60"/>
        <w:ind w:left="432"/>
      </w:pPr>
      <w:r>
        <w:rPr>
          <w:rFonts w:ascii="Arial" w:hAnsi="Arial" w:eastAsia="Arial"/>
          <w:b w:val="0"/>
          <w:i w:val="0"/>
          <w:sz w:val="20"/>
          <w:u w:val="none"/>
        </w:rPr>
        <w:t>Lampiran FAT FAT 2 - Hasil Uji Model AI CNN Dual-Branch</w:t>
      </w:r>
      <w:r>
        <w:rPr>
          <w:rFonts w:ascii="Arial" w:hAnsi="Arial" w:eastAsia="Arial"/>
          <w:b w:val="0"/>
          <w:i w:val="0"/>
          <w:sz w:val="20"/>
          <w:u w:val="none"/>
        </w:rPr>
        <w:tab/>
        <w:t>26</w:t>
      </w:r>
    </w:p>
    <w:p>
      <w:pPr>
        <w:tabs>
          <w:tab w:pos="9288" w:val="right" w:leader="dot"/>
        </w:tabs>
        <w:spacing w:after="60"/>
        <w:ind w:left="432"/>
      </w:pPr>
      <w:r>
        <w:rPr>
          <w:rFonts w:ascii="Arial" w:hAnsi="Arial" w:eastAsia="Arial"/>
          <w:b w:val="0"/>
          <w:i w:val="0"/>
          <w:sz w:val="20"/>
          <w:u w:val="none"/>
        </w:rPr>
        <w:t>Lampiran FAT FAT 3 - Data Uji Sinyal LoRa</w:t>
      </w:r>
      <w:r>
        <w:rPr>
          <w:rFonts w:ascii="Arial" w:hAnsi="Arial" w:eastAsia="Arial"/>
          <w:b w:val="0"/>
          <w:i w:val="0"/>
          <w:sz w:val="20"/>
          <w:u w:val="none"/>
        </w:rPr>
        <w:tab/>
        <w:t>41</w:t>
      </w:r>
    </w:p>
    <w:p>
      <w:pPr>
        <w:tabs>
          <w:tab w:pos="9288" w:val="right" w:leader="dot"/>
        </w:tabs>
        <w:spacing w:after="60"/>
        <w:ind w:left="432"/>
      </w:pPr>
      <w:r>
        <w:rPr>
          <w:rFonts w:ascii="Arial" w:hAnsi="Arial" w:eastAsia="Arial"/>
          <w:b w:val="0"/>
          <w:i w:val="0"/>
          <w:sz w:val="20"/>
          <w:u w:val="none"/>
        </w:rPr>
        <w:t>Lampiran FAT FAT 4 - Kutipan Catatan Uji CH, Failover, LoRa, Mesh, dan Downlink</w:t>
      </w:r>
      <w:r>
        <w:rPr>
          <w:rFonts w:ascii="Arial" w:hAnsi="Arial" w:eastAsia="Arial"/>
          <w:b w:val="0"/>
          <w:i w:val="0"/>
          <w:sz w:val="20"/>
          <w:u w:val="none"/>
        </w:rPr>
        <w:tab/>
        <w:t>46</w:t>
      </w:r>
    </w:p>
    <w:p>
      <w:pPr>
        <w:tabs>
          <w:tab w:pos="9288" w:val="right" w:leader="dot"/>
        </w:tabs>
        <w:spacing w:after="60"/>
        <w:ind w:left="432"/>
      </w:pPr>
      <w:r>
        <w:rPr>
          <w:rFonts w:ascii="Arial" w:hAnsi="Arial" w:eastAsia="Arial"/>
          <w:b w:val="0"/>
          <w:i w:val="0"/>
          <w:sz w:val="20"/>
          <w:u w:val="none"/>
        </w:rPr>
        <w:t>Lampiran FAT FAT 5 - Technical Datasheet Rev 4.0 Lab IoT ITB</w:t>
      </w:r>
      <w:r>
        <w:rPr>
          <w:rFonts w:ascii="Arial" w:hAnsi="Arial" w:eastAsia="Arial"/>
          <w:b w:val="0"/>
          <w:i w:val="0"/>
          <w:sz w:val="20"/>
          <w:u w:val="none"/>
        </w:rPr>
        <w:tab/>
        <w:t>77</w:t>
      </w:r>
    </w:p>
    <w:p>
      <w:pPr>
        <w:tabs>
          <w:tab w:pos="9288" w:val="right" w:leader="dot"/>
        </w:tabs>
        <w:spacing w:after="60"/>
        <w:ind w:left="432"/>
      </w:pPr>
      <w:r>
        <w:rPr>
          <w:rFonts w:ascii="Arial" w:hAnsi="Arial" w:eastAsia="Arial"/>
          <w:b w:val="0"/>
          <w:i w:val="0"/>
          <w:sz w:val="20"/>
          <w:u w:val="none"/>
        </w:rPr>
        <w:t>Lampiran FAT FAT 6 - Foto Unit GLD Terakit</w:t>
      </w:r>
      <w:r>
        <w:rPr>
          <w:rFonts w:ascii="Arial" w:hAnsi="Arial" w:eastAsia="Arial"/>
          <w:b w:val="0"/>
          <w:i w:val="0"/>
          <w:sz w:val="20"/>
          <w:u w:val="none"/>
        </w:rPr>
        <w:tab/>
        <w:t>122</w:t>
      </w:r>
    </w:p>
    <w:p>
      <w:pPr>
        <w:tabs>
          <w:tab w:pos="9288" w:val="right" w:leader="dot"/>
        </w:tabs>
        <w:spacing w:after="60"/>
        <w:ind w:left="432"/>
      </w:pPr>
      <w:r>
        <w:rPr>
          <w:rFonts w:ascii="Arial" w:hAnsi="Arial" w:eastAsia="Arial"/>
          <w:b w:val="0"/>
          <w:i w:val="0"/>
          <w:sz w:val="20"/>
          <w:u w:val="none"/>
        </w:rPr>
        <w:t>Lampiran FAT FAT 7 - Laporan Uji Laboratorium 01: Model AI</w:t>
      </w:r>
      <w:r>
        <w:rPr>
          <w:rFonts w:ascii="Arial" w:hAnsi="Arial" w:eastAsia="Arial"/>
          <w:b w:val="0"/>
          <w:i w:val="0"/>
          <w:sz w:val="20"/>
          <w:u w:val="none"/>
        </w:rPr>
        <w:tab/>
        <w:t>124</w:t>
      </w:r>
    </w:p>
    <w:p>
      <w:pPr>
        <w:tabs>
          <w:tab w:pos="9288" w:val="right" w:leader="dot"/>
        </w:tabs>
        <w:spacing w:after="60"/>
        <w:ind w:left="432"/>
      </w:pPr>
      <w:r>
        <w:rPr>
          <w:rFonts w:ascii="Arial" w:hAnsi="Arial" w:eastAsia="Arial"/>
          <w:b w:val="0"/>
          <w:i w:val="0"/>
          <w:sz w:val="20"/>
          <w:u w:val="none"/>
        </w:rPr>
        <w:t>Lampiran FAT FAT 8 - Laporan Uji Laboratorium 02: Komunikasi LoRa</w:t>
      </w:r>
      <w:r>
        <w:rPr>
          <w:rFonts w:ascii="Arial" w:hAnsi="Arial" w:eastAsia="Arial"/>
          <w:b w:val="0"/>
          <w:i w:val="0"/>
          <w:sz w:val="20"/>
          <w:u w:val="none"/>
        </w:rPr>
        <w:tab/>
        <w:t>130</w:t>
      </w:r>
    </w:p>
    <w:p>
      <w:pPr>
        <w:tabs>
          <w:tab w:pos="9288" w:val="right" w:leader="dot"/>
        </w:tabs>
        <w:spacing w:after="60"/>
        <w:ind w:left="432"/>
      </w:pPr>
      <w:r>
        <w:rPr>
          <w:rFonts w:ascii="Arial" w:hAnsi="Arial" w:eastAsia="Arial"/>
          <w:b w:val="0"/>
          <w:i w:val="0"/>
          <w:sz w:val="20"/>
          <w:u w:val="none"/>
        </w:rPr>
        <w:t>Lampiran FAT FAT 9 - Laporan Uji Laboratorium 03: Mesh, Failover, Downlink &amp; Integrasi</w:t>
      </w:r>
      <w:r>
        <w:rPr>
          <w:rFonts w:ascii="Arial" w:hAnsi="Arial" w:eastAsia="Arial"/>
          <w:b w:val="0"/>
          <w:i w:val="0"/>
          <w:sz w:val="20"/>
          <w:u w:val="none"/>
        </w:rPr>
        <w:tab/>
        <w:t>135</w:t>
      </w:r>
    </w:p>
    <w:p>
      <w:pPr>
        <w:spacing w:after="120" w:before="240"/>
        <w:jc w:val="left"/>
      </w:pPr>
      <w:r>
        <w:rPr>
          <w:rFonts w:ascii="Arial" w:hAnsi="Arial" w:eastAsia="Arial"/>
          <w:b w:val="0"/>
          <w:i w:val="0"/>
          <w:sz w:val="17"/>
          <w:u w:val="none"/>
        </w:rPr>
        <w:t>Nomor halaman mengacu pada berkas PDF resmi laporan ini.</w:t>
      </w:r>
    </w:p>
    <w:p>
      <w:r>
        <w:br w:type="page"/>
      </w:r>
    </w:p>
    <w:p>
      <w:pPr>
        <w:spacing w:before="1600" w:after="240"/>
        <w:jc w:val="center"/>
      </w:pPr>
      <w:r>
        <w:rPr>
          <w:rFonts w:ascii="Arial" w:hAnsi="Arial"/>
          <w:b/>
          <w:color w:val="000000"/>
          <w:sz w:val="48"/>
        </w:rPr>
        <w:t>LAPORAN PEMENUHAN DELIVERABLE TERMIN 1</w:t>
      </w:r>
    </w:p>
    <w:p>
      <w:pPr>
        <w:spacing w:after="440"/>
        <w:jc w:val="center"/>
      </w:pPr>
      <w:r>
        <w:rPr>
          <w:rFonts w:ascii="Arial" w:hAnsi="Arial"/>
          <w:b w:val="0"/>
          <w:color w:val="2F4050"/>
          <w:sz w:val="30"/>
        </w:rPr>
        <w:t>Pengembangan dan Field Testing Sistem Gas Leak Detection Tahap 2</w:t>
      </w:r>
    </w:p>
    <w:p>
      <w:pPr>
        <w:spacing w:after="680"/>
        <w:jc w:val="center"/>
      </w:pPr>
      <w:r>
        <w:rPr>
          <w:rFonts w:ascii="Arial" w:hAnsi="Arial"/>
          <w:b/>
          <w:color w:val="1ABB9C"/>
          <w:sz w:val="23"/>
        </w:rPr>
        <w:t>PENGAJUAN PEMBAYARAN TERMIN 1 SEBESAR 20 PERSEN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2376"/>
        <w:gridCol w:w="6983"/>
      </w:tblGrid>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Nomor dokumen</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LGU-GLD-T1-FIT-2026-001</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Revisi</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0.3</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Tanggal</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5 Oktober 2026</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Status</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Untuk review dan pengesahan Termin 1</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Disiapkan oleh</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 bersama Lab IoT/Instrumentation and Computation ITB</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Ditujukan kepada</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r>
    </w:tbl>
    <w:p>
      <w:pPr>
        <w:spacing w:before="680"/>
        <w:jc w:val="center"/>
      </w:pPr>
      <w:r>
        <w:rPr>
          <w:rFonts w:ascii="Arial" w:hAnsi="Arial"/>
          <w:b/>
          <w:color w:val="5B6670"/>
          <w:sz w:val="19"/>
        </w:rPr>
        <w:t>RUANG LINGKUP PENGAJUAN</w:t>
      </w:r>
    </w:p>
    <w:p>
      <w:pPr>
        <w:jc w:val="center"/>
      </w:pPr>
      <w:r>
        <w:rPr>
          <w:rFonts w:ascii="Arial" w:hAnsi="Arial"/>
          <w:color w:val="20262B"/>
          <w:sz w:val="21"/>
        </w:rPr>
        <w:t>Detail engineering dan desain, kesiapan komponen, konfigurasi firmware, factory integration test, serta dokumentasi instalasi dan as-built tahap pabrik/laboratorium</w:t>
      </w:r>
    </w:p>
    <w:p>
      <w:r>
        <w:br w:type="page"/>
      </w:r>
    </w:p>
    <w:p>
      <w:pPr>
        <w:pStyle w:val="Heading1"/>
        <w:keepNext/>
        <w:spacing w:before="240" w:after="100"/>
      </w:pPr>
      <w:r>
        <w:rPr>
          <w:rFonts w:ascii="Arial" w:hAnsi="Arial"/>
          <w:b/>
          <w:color w:val="000000"/>
          <w:sz w:val="30"/>
        </w:rPr>
        <w:t>1 Ringkasan Eksekutif</w:t>
      </w:r>
    </w:p>
    <w:p>
      <w:pPr>
        <w:spacing w:after="120" w:line="276" w:lineRule="auto"/>
      </w:pPr>
      <w:r>
        <w:rPr>
          <w:rFonts w:ascii="Arial" w:hAnsi="Arial"/>
          <w:b/>
          <w:color w:val="20262B"/>
          <w:sz w:val="21"/>
        </w:rPr>
        <w:t xml:space="preserve">Kesimpulan. </w:t>
      </w:r>
      <w:r>
        <w:rPr>
          <w:rFonts w:ascii="Arial" w:hAnsi="Arial"/>
          <w:color w:val="20262B"/>
          <w:sz w:val="21"/>
        </w:rPr>
        <w:t>Berdasarkan bukti teknis dan dokumentasi yang tersedia sampai 5 Oktober 2026, pekerjaan Termin 1 telah mencapai penyelesaian substansial pada tahap rekayasa dan integrasi laboratorium. Paket ini layak diajukan kepada PT Pertamina Patra Niaga untuk evaluasi, penerimaan, dan pembayaran Termin 1 sebesar 20 persen.</w:t>
      </w:r>
    </w:p>
    <w:p>
      <w:pPr>
        <w:spacing w:after="120" w:line="276" w:lineRule="auto"/>
      </w:pPr>
      <w:r>
        <w:rPr>
          <w:rFonts w:ascii="Arial" w:hAnsi="Arial"/>
          <w:color w:val="20262B"/>
          <w:sz w:val="21"/>
        </w:rPr>
        <w:t>Pemenuhan tersebut ditopang oleh dokumen detail engineering dan arsitektur, kesiapan perangkat, konfigurasi firmware, pengujian end-to-end GLD-Cluster Head-Gateway-Server, pengujian mesh dan alarm push, serta peninjauan perkembangan sistem oleh PT Pertamina Patra Niaga di Lab IoT, Instrumentation and Computations, Gedung Laboratorium Fisika Terpadu, Institut Teknologi Bandung, sebelum kunjungan RU IV Cilacap. Berdasarkan konfirmasi PIC proyek pada 11 September 2026, kunjungan Pertamina tersebut merupakan witness terhadap perkembangan dan integrasi sistem untuk tahap FAT/FIT. Hasil uji tersebut dilaporkan lengkap dalam Laporan Factory Acceptance Test (FAT) nomor LGU/GLD/FAT/2026-001 Rev 1.4 (Lampiran A), beserta tiga Laporan Uji Laboratorium dan bukti pendukungnya.</w:t>
      </w:r>
    </w:p>
    <w:p>
      <w:pPr>
        <w:spacing w:after="120" w:line="276" w:lineRule="auto"/>
      </w:pPr>
      <w:r>
        <w:rPr>
          <w:rFonts w:ascii="Arial" w:hAnsi="Arial"/>
          <w:b/>
          <w:color w:val="20262B"/>
          <w:sz w:val="21"/>
        </w:rPr>
        <w:t xml:space="preserve">Batas tahap. </w:t>
      </w:r>
      <w:r>
        <w:rPr>
          <w:rFonts w:ascii="Arial" w:hAnsi="Arial"/>
          <w:color w:val="20262B"/>
          <w:sz w:val="21"/>
        </w:rPr>
        <w:t>Pengajuan ini tidak menyatakan bahwa instalasi, commissioning, site acceptance test, atau sertifikasi hazardous area telah selesai. Status RU IV Cilacap masih survey lokasi. Kegiatan lapangan tersebut merupakan tahapan sesudah factory integration dan akan dibuktikan pada termin berikutnya.</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503"/>
        <w:gridCol w:w="2376"/>
        <w:gridCol w:w="1944"/>
        <w:gridCol w:w="4536"/>
      </w:tblGrid>
      <w:tr>
        <w:trPr>
          <w:tblHeader w:val="true"/>
        </w:trPr>
        <w:tc>
          <w:tcPr>
            <w:tcW w:type="dxa" w:w="50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No</w:t>
            </w:r>
          </w:p>
        </w:tc>
        <w:tc>
          <w:tcPr>
            <w:tcW w:type="dxa" w:w="237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Deliverable</w:t>
            </w:r>
          </w:p>
        </w:tc>
        <w:tc>
          <w:tcPr>
            <w:tcW w:type="dxa" w:w="194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w:t>
            </w:r>
          </w:p>
        </w:tc>
        <w:tc>
          <w:tcPr>
            <w:tcW w:type="dxa" w:w="453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Dasar penilaian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1</w:t>
            </w:r>
          </w:p>
        </w:tc>
        <w:tc>
          <w:tcPr>
            <w:tcW w:type="dxa" w:w="237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Detail engineering dan desain</w:t>
            </w:r>
          </w:p>
        </w:tc>
        <w:tc>
          <w:tcPr>
            <w:tcW w:type="dxa" w:w="194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MEMENUHI</w:t>
            </w:r>
          </w:p>
        </w:tc>
        <w:tc>
          <w:tcPr>
            <w:tcW w:type="dxa" w:w="453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Arsitektur, datasheet sistem, TDS R4, desain mounting, serta dokumen HSE dan instalasi tersedia.</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2</w:t>
            </w:r>
          </w:p>
        </w:tc>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Persiapan komponen</w:t>
            </w:r>
          </w:p>
        </w:tc>
        <w:tc>
          <w:tcPr>
            <w:tcW w:type="dxa" w:w="1944"/>
            <w:shd w:fill="F3F3F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MEMENUHI</w:t>
            </w:r>
          </w:p>
        </w:tc>
        <w:tc>
          <w:tcPr>
            <w:tcW w:type="dxa" w:w="453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Empat unit GLD dan enam belas unit Cluster Head telah dilaporkan tersedia untuk pengembangan dan integrasi.</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3</w:t>
            </w:r>
          </w:p>
        </w:tc>
        <w:tc>
          <w:tcPr>
            <w:tcW w:type="dxa" w:w="237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Konfigurasi firmware</w:t>
            </w:r>
          </w:p>
        </w:tc>
        <w:tc>
          <w:tcPr>
            <w:tcW w:type="dxa" w:w="194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MEMENUHI</w:t>
            </w:r>
          </w:p>
        </w:tc>
        <w:tc>
          <w:tcPr>
            <w:tcW w:type="dxa" w:w="453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Akuisisi delapan sensor, inferensi lokal, komunikasi LoRa STAR/MESH, alarm, downlink, dan integrasi gateway-server terdokumentasi.</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4</w:t>
            </w:r>
          </w:p>
        </w:tc>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Factory integration test</w:t>
            </w:r>
          </w:p>
        </w:tc>
        <w:tc>
          <w:tcPr>
            <w:tcW w:type="dxa" w:w="1944"/>
            <w:shd w:fill="F3F3F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MEMENUHI DENGAN PENGESAHAN</w:t>
            </w:r>
          </w:p>
        </w:tc>
        <w:tc>
          <w:tcPr>
            <w:tcW w:type="dxa" w:w="453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Tujuh item uji FAT-01 s.d. FAT-07 lulus pada pengujian laboratorium, dilaporkan dalam Laporan FAT (Lampiran A); PT Pertamina Patra Niaga meninjau sistem di Lab IoT/Instrumentation and Computation ITB sebelum kunjungan Cilacap. Tanda tangan pengesahan disediakan pada Laporan FAT dan laporan ini.</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5</w:t>
            </w:r>
          </w:p>
        </w:tc>
        <w:tc>
          <w:tcPr>
            <w:tcW w:type="dxa" w:w="237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 instalasi dan as-built</w:t>
            </w:r>
          </w:p>
        </w:tc>
        <w:tc>
          <w:tcPr>
            <w:tcW w:type="dxa" w:w="194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MEMENUHI SESUAI TAHAP</w:t>
            </w:r>
          </w:p>
        </w:tc>
        <w:tc>
          <w:tcPr>
            <w:tcW w:type="dxa" w:w="453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 instalasi dan konfigurasi as-built prototipe/laboratorium tersedia. As-built site final diterbitkan setelah instalasi lapangan.</w:t>
            </w:r>
          </w:p>
        </w:tc>
      </w:tr>
    </w:tbl>
    <w:p>
      <w:pPr>
        <w:spacing w:after="0"/>
      </w:pPr>
    </w:p>
    <w:p>
      <w:r>
        <w:br w:type="page"/>
      </w:r>
    </w:p>
    <w:p>
      <w:pPr>
        <w:pStyle w:val="Heading1"/>
        <w:keepNext/>
        <w:spacing w:before="240" w:after="100"/>
      </w:pPr>
      <w:r>
        <w:rPr>
          <w:rFonts w:ascii="Arial" w:hAnsi="Arial"/>
          <w:b/>
          <w:color w:val="000000"/>
          <w:sz w:val="30"/>
        </w:rPr>
        <w:t>2 Dasar Kontraktual</w:t>
      </w:r>
    </w:p>
    <w:p>
      <w:pPr>
        <w:spacing w:after="120" w:line="276" w:lineRule="auto"/>
      </w:pPr>
      <w:r>
        <w:rPr>
          <w:rFonts w:ascii="Arial" w:hAnsi="Arial"/>
          <w:color w:val="20262B"/>
          <w:sz w:val="21"/>
        </w:rPr>
        <w:t>Termin 1 pada ketentuan pembayaran pekerjaan field testing bernilai 20 persen dari harga SPK. Milestone ini didasarkan pada pelaksanaan detail engineering, persiapan komponen, konfigurasi firmware, dan factory integration test, yang dibuktikan melalui dokumen detail engineering dan desain, dokumen instalasi dan as-built, serta laporan factory acceptance test.</w:t>
      </w:r>
    </w:p>
    <w:p>
      <w:pPr>
        <w:spacing w:after="120" w:line="276" w:lineRule="auto"/>
      </w:pPr>
      <w:r>
        <w:rPr>
          <w:rFonts w:ascii="Arial" w:hAnsi="Arial"/>
          <w:b/>
          <w:color w:val="20262B"/>
          <w:sz w:val="21"/>
        </w:rPr>
        <w:t xml:space="preserve">Interpretasi tahap. </w:t>
      </w:r>
      <w:r>
        <w:rPr>
          <w:rFonts w:ascii="Arial" w:hAnsi="Arial"/>
          <w:color w:val="20262B"/>
          <w:sz w:val="21"/>
        </w:rPr>
        <w:t>Struktur termin menempatkan field testing kelompok Unit Kilang pada Termin 2 dan Termin 3. Karena itu, as-built pada Termin 1 diperlakukan sebagai baseline konfigurasi perangkat dan integrasi yang telah diuji di pabrik/laboratorium. As-built lokasi dipenuhi setelah instalasi aktual dan tidak diklaim sebagai bagian yang sudah selesai dalam laporan ini.</w:t>
      </w:r>
    </w:p>
    <w:p>
      <w:r>
        <w:br w:type="page"/>
      </w:r>
    </w:p>
    <w:p>
      <w:pPr>
        <w:pStyle w:val="Heading1"/>
        <w:keepNext/>
        <w:spacing w:before="240" w:after="100"/>
      </w:pPr>
      <w:r>
        <w:rPr>
          <w:rFonts w:ascii="Arial" w:hAnsi="Arial"/>
          <w:b/>
          <w:color w:val="000000"/>
          <w:sz w:val="30"/>
        </w:rPr>
        <w:t>3 Detail Engineering dan Desain</w:t>
      </w:r>
    </w:p>
    <w:p>
      <w:pPr>
        <w:spacing w:after="120" w:line="276" w:lineRule="auto"/>
      </w:pPr>
      <w:r>
        <w:rPr>
          <w:rFonts w:ascii="Arial" w:hAnsi="Arial"/>
          <w:color w:val="20262B"/>
          <w:sz w:val="21"/>
        </w:rPr>
        <w:t>Paket engineering telah berkembang dari konsep sistem menjadi konfigurasi teknis yang dapat diuji. Dokumentasi mencakup aliran data end-to-end, fungsi tiap perangkat, protokol radio, keamanan payload, mode operasi, antarmuka server, kebutuhan daya, dan konsep pemasangan.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864"/>
        <w:gridCol w:w="2088"/>
        <w:gridCol w:w="3096"/>
        <w:gridCol w:w="3671"/>
      </w:tblGrid>
      <w:tr>
        <w:trPr>
          <w:tblHeader w:val="true"/>
        </w:trPr>
        <w:tc>
          <w:tcPr>
            <w:tcW w:type="dxa" w:w="86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ID</w:t>
            </w:r>
          </w:p>
        </w:tc>
        <w:tc>
          <w:tcPr>
            <w:tcW w:type="dxa" w:w="2088"/>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Cakupan</w:t>
            </w:r>
          </w:p>
        </w:tc>
        <w:tc>
          <w:tcPr>
            <w:tcW w:type="dxa" w:w="309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Dokumen</w:t>
            </w:r>
          </w:p>
        </w:tc>
        <w:tc>
          <w:tcPr>
            <w:tcW w:type="dxa" w:w="367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Isi yang dibuktikan</w:t>
            </w:r>
          </w:p>
        </w:tc>
      </w:tr>
      <w:tr>
        <w:tc>
          <w:tcPr>
            <w:tcW w:type="dxa" w:w="86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DE-01</w:t>
            </w:r>
          </w:p>
        </w:tc>
        <w:tc>
          <w:tcPr>
            <w:tcW w:type="dxa" w:w="2088"/>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Arsitektur sistem end-to-end</w:t>
            </w:r>
          </w:p>
        </w:tc>
        <w:tc>
          <w:tcPr>
            <w:tcW w:type="dxa" w:w="309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Datasheet Sistem GLD Arsitektur Server dan Jaringan</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GLD ke CH melalui STAR, antar-CH melalui MESH, GW ke broker dan server.</w:t>
            </w:r>
          </w:p>
        </w:tc>
      </w:tr>
      <w:tr>
        <w:tc>
          <w:tcPr>
            <w:tcW w:type="dxa" w:w="86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DE-02</w:t>
            </w:r>
          </w:p>
        </w:tc>
        <w:tc>
          <w:tcPr>
            <w:tcW w:type="dxa" w:w="2088"/>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Spesifikasi Gas Leak Detector</w:t>
            </w:r>
          </w:p>
        </w:tc>
        <w:tc>
          <w:tcPr>
            <w:tcW w:type="dxa" w:w="309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Technical Datasheet GasleakDetector Revision 4.0</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Akuisisi 8 sensor MQ, ADS1256, ESP32-S3, LoRa, mode alarm dan downlink.</w:t>
            </w:r>
          </w:p>
        </w:tc>
      </w:tr>
      <w:tr>
        <w:tc>
          <w:tcPr>
            <w:tcW w:type="dxa" w:w="86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DE-03</w:t>
            </w:r>
          </w:p>
        </w:tc>
        <w:tc>
          <w:tcPr>
            <w:tcW w:type="dxa" w:w="2088"/>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Spesifikasi CH, Gateway, Server</w:t>
            </w:r>
          </w:p>
        </w:tc>
        <w:tc>
          <w:tcPr>
            <w:tcW w:type="dxa" w:w="309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Paket Technical Datasheet Revision 4.0</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Kontrak komunikasi, cache, queue, parent selection, broker, dan pemrosesan server.</w:t>
            </w:r>
          </w:p>
        </w:tc>
      </w:tr>
      <w:tr>
        <w:tc>
          <w:tcPr>
            <w:tcW w:type="dxa" w:w="86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DE-04</w:t>
            </w:r>
          </w:p>
        </w:tc>
        <w:tc>
          <w:tcPr>
            <w:tcW w:type="dxa" w:w="2088"/>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Desain mekanik pemasangan</w:t>
            </w:r>
          </w:p>
        </w:tc>
        <w:tc>
          <w:tcPr>
            <w:tcW w:type="dxa" w:w="309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Desain pelat mounting U-bolt GLD dan Spesifikasi Material Instalasi RU IV Cilacap Rev 1.5</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Pelat mounting U-bolt pada tiang besi galvanis 2 inci baru yang ditanam dan dicor; spesifikasi tiang, kabel 24 VDC, dan jaringan lokal.</w:t>
            </w:r>
          </w:p>
        </w:tc>
      </w:tr>
      <w:tr>
        <w:tc>
          <w:tcPr>
            <w:tcW w:type="dxa" w:w="86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DE-05</w:t>
            </w:r>
          </w:p>
        </w:tc>
        <w:tc>
          <w:tcPr>
            <w:tcW w:type="dxa" w:w="2088"/>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 instalasi dan HSE</w:t>
            </w:r>
          </w:p>
        </w:tc>
        <w:tc>
          <w:tcPr>
            <w:tcW w:type="dxa" w:w="309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JSA HSE RU IV dan Checklist Kesiapan Instalasi</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Prasyarat HSE, pembagian tanggung jawab, mobilisasi, commissioning, dan acceptance test.</w:t>
            </w:r>
          </w:p>
        </w:tc>
      </w:tr>
    </w:tbl>
    <w:p>
      <w:pPr>
        <w:spacing w:after="0"/>
      </w:pPr>
    </w:p>
    <w:p>
      <w:pPr>
        <w:jc w:val="center"/>
      </w:pPr>
      <w:r>
        <w:drawing>
          <wp:inline xmlns:a="http://schemas.openxmlformats.org/drawingml/2006/main" xmlns:pic="http://schemas.openxmlformats.org/drawingml/2006/picture">
            <wp:extent cx="5760720" cy="3909766"/>
            <wp:docPr id="4" name="Picture 1"/>
            <wp:cNvGraphicFramePr>
              <a:graphicFrameLocks noChangeAspect="1"/>
            </wp:cNvGraphicFramePr>
            <a:graphic>
              <a:graphicData uri="http://schemas.openxmlformats.org/drawingml/2006/picture">
                <pic:pic>
                  <pic:nvPicPr>
                    <pic:cNvPr id="4" name="GLD U-Bolt Bracket V2.png"/>
                    <pic:cNvPicPr/>
                  </pic:nvPicPr>
                  <pic:blipFill>
                    <a:blip r:embed="rId12"/>
                    <a:stretch>
                      <a:fillRect/>
                    </a:stretch>
                  </pic:blipFill>
                  <pic:spPr>
                    <a:xfrm>
                      <a:off x="0" y="0"/>
                      <a:ext cx="5760720" cy="3909766"/>
                    </a:xfrm>
                    <a:prstGeom prst="rect"/>
                  </pic:spPr>
                </pic:pic>
              </a:graphicData>
            </a:graphic>
          </wp:inline>
        </w:drawing>
      </w:r>
    </w:p>
    <w:p>
      <w:pPr>
        <w:spacing w:after="160"/>
        <w:jc w:val="center"/>
      </w:pPr>
      <w:r>
        <w:rPr>
          <w:rFonts w:ascii="Arial" w:hAnsi="Arial"/>
          <w:i/>
          <w:color w:val="5B6670"/>
          <w:sz w:val="17"/>
        </w:rPr>
        <w:t>Gambar 2 Basis desain pelat mounting U-bolt untuk pemasangan GLD</w:t>
      </w:r>
    </w:p>
    <w:p>
      <w:r>
        <w:br w:type="page"/>
      </w:r>
    </w:p>
    <w:p>
      <w:pPr>
        <w:pStyle w:val="Heading1"/>
        <w:keepNext/>
        <w:spacing w:before="240" w:after="100"/>
      </w:pPr>
      <w:r>
        <w:rPr>
          <w:rFonts w:ascii="Arial" w:hAnsi="Arial"/>
          <w:b/>
          <w:color w:val="000000"/>
          <w:sz w:val="30"/>
        </w:rPr>
        <w:t>4 Kesiapan Komponen dan Perangkat</w:t>
      </w:r>
    </w:p>
    <w:p>
      <w:pPr>
        <w:spacing w:after="120" w:line="276" w:lineRule="auto"/>
      </w:pPr>
      <w:r>
        <w:rPr>
          <w:rFonts w:ascii="Arial" w:hAnsi="Arial"/>
          <w:color w:val="20262B"/>
          <w:sz w:val="21"/>
        </w:rPr>
        <w:t>Notulen rapat 6 Agustus 2026 mencatat kesiapan 4 unit GLD, 9 Cluster Head besar, dan 7 Cluster Head kecil. Jumlah tersebut menunjukkan bahwa perangkat inti untuk pengujian integrasi telah tersedia. Untuk pengiriman lapangan, identitas nomor seri dan daftar packing per lokasi akan ditetapkan pada tahap mobilisasi.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2448"/>
        <w:gridCol w:w="1944"/>
        <w:gridCol w:w="5400"/>
      </w:tblGrid>
      <w:tr>
        <w:trPr>
          <w:tblHeader w:val="true"/>
        </w:trPr>
        <w:tc>
          <w:tcPr>
            <w:tcW w:type="dxa" w:w="2448"/>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Komponen</w:t>
            </w:r>
          </w:p>
        </w:tc>
        <w:tc>
          <w:tcPr>
            <w:tcW w:type="dxa" w:w="194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 kuantitas</w:t>
            </w:r>
          </w:p>
        </w:tc>
        <w:tc>
          <w:tcPr>
            <w:tcW w:type="dxa" w:w="540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Keterangan</w:t>
            </w:r>
          </w:p>
        </w:tc>
      </w:tr>
      <w:tr>
        <w:tc>
          <w:tcPr>
            <w:tcW w:type="dxa" w:w="2448"/>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GLD</w:t>
            </w:r>
          </w:p>
        </w:tc>
        <w:tc>
          <w:tcPr>
            <w:tcW w:type="dxa" w:w="194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4 unit</w:t>
            </w:r>
          </w:p>
        </w:tc>
        <w:tc>
          <w:tcPr>
            <w:tcW w:type="dxa" w:w="540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Tersedia untuk integrasi dan kebutuhan pilot saat ini</w:t>
            </w:r>
          </w:p>
        </w:tc>
      </w:tr>
      <w:tr>
        <w:tc>
          <w:tcPr>
            <w:tcW w:type="dxa" w:w="2448"/>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Cluster Head besar</w:t>
            </w:r>
          </w:p>
        </w:tc>
        <w:tc>
          <w:tcPr>
            <w:tcW w:type="dxa" w:w="19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9 unit</w:t>
            </w:r>
          </w:p>
        </w:tc>
        <w:tc>
          <w:tcPr>
            <w:tcW w:type="dxa" w:w="540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Tersedia untuk pengujian jaringan dan cakupan</w:t>
            </w:r>
          </w:p>
        </w:tc>
      </w:tr>
      <w:tr>
        <w:tc>
          <w:tcPr>
            <w:tcW w:type="dxa" w:w="2448"/>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Cluster Head kecil</w:t>
            </w:r>
          </w:p>
        </w:tc>
        <w:tc>
          <w:tcPr>
            <w:tcW w:type="dxa" w:w="194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7 unit</w:t>
            </w:r>
          </w:p>
        </w:tc>
        <w:tc>
          <w:tcPr>
            <w:tcW w:type="dxa" w:w="540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Tersedia untuk konfigurasi jaringan</w:t>
            </w:r>
          </w:p>
        </w:tc>
      </w:tr>
      <w:tr>
        <w:tc>
          <w:tcPr>
            <w:tcW w:type="dxa" w:w="2448"/>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Gateway dan server</w:t>
            </w:r>
          </w:p>
        </w:tc>
        <w:tc>
          <w:tcPr>
            <w:tcW w:type="dxa" w:w="19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Konfigurasi lab</w:t>
            </w:r>
          </w:p>
        </w:tc>
        <w:tc>
          <w:tcPr>
            <w:tcW w:type="dxa" w:w="540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Rantai komunikasi end-to-end telah diuji di lingkungan lab</w:t>
            </w:r>
          </w:p>
        </w:tc>
      </w:tr>
      <w:tr>
        <w:tc>
          <w:tcPr>
            <w:tcW w:type="dxa" w:w="2448"/>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Gas test chamber</w:t>
            </w:r>
          </w:p>
        </w:tc>
        <w:tc>
          <w:tcPr>
            <w:tcW w:type="dxa" w:w="194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Selesai</w:t>
            </w:r>
          </w:p>
        </w:tc>
        <w:tc>
          <w:tcPr>
            <w:tcW w:type="dxa" w:w="540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Mendukung pengumpulan data dan pengujian sensor di lingkungan terkendali</w:t>
            </w:r>
          </w:p>
        </w:tc>
      </w:tr>
    </w:tbl>
    <w:p>
      <w:pPr>
        <w:spacing w:after="0"/>
      </w:pPr>
    </w:p>
    <w:p>
      <w:pPr>
        <w:jc w:val="center"/>
      </w:pPr>
      <w:r>
        <w:drawing>
          <wp:inline xmlns:a="http://schemas.openxmlformats.org/drawingml/2006/main" xmlns:pic="http://schemas.openxmlformats.org/drawingml/2006/picture">
            <wp:extent cx="2514600" cy="4163235"/>
            <wp:docPr id="5" name="Picture 2"/>
            <wp:cNvGraphicFramePr>
              <a:graphicFrameLocks noChangeAspect="1"/>
            </wp:cNvGraphicFramePr>
            <a:graphic>
              <a:graphicData uri="http://schemas.openxmlformats.org/drawingml/2006/picture">
                <pic:pic>
                  <pic:nvPicPr>
                    <pic:cNvPr id="5" name="prototype_gld.jpg"/>
                    <pic:cNvPicPr/>
                  </pic:nvPicPr>
                  <pic:blipFill>
                    <a:blip r:embed="rId13"/>
                    <a:stretch>
                      <a:fillRect/>
                    </a:stretch>
                  </pic:blipFill>
                  <pic:spPr>
                    <a:xfrm>
                      <a:off x="0" y="0"/>
                      <a:ext cx="2514600" cy="4163235"/>
                    </a:xfrm>
                    <a:prstGeom prst="rect"/>
                  </pic:spPr>
                </pic:pic>
              </a:graphicData>
            </a:graphic>
          </wp:inline>
        </w:drawing>
      </w:r>
    </w:p>
    <w:p>
      <w:pPr>
        <w:spacing w:after="160"/>
        <w:jc w:val="center"/>
      </w:pPr>
      <w:r>
        <w:rPr>
          <w:rFonts w:ascii="Arial" w:hAnsi="Arial"/>
          <w:i/>
          <w:color w:val="5B6670"/>
          <w:sz w:val="17"/>
        </w:rPr>
        <w:t>Gambar 3 Unit GLD terakit dengan enclosure, sensor cartridge, antena, dan modul alarm</w:t>
      </w:r>
    </w:p>
    <w:p>
      <w:r>
        <w:br w:type="page"/>
      </w:r>
    </w:p>
    <w:p>
      <w:pPr>
        <w:pStyle w:val="Heading1"/>
        <w:keepNext/>
        <w:spacing w:before="240" w:after="100"/>
      </w:pPr>
      <w:r>
        <w:rPr>
          <w:rFonts w:ascii="Arial" w:hAnsi="Arial"/>
          <w:b/>
          <w:color w:val="000000"/>
          <w:sz w:val="30"/>
        </w:rPr>
        <w:t>5 Konfigurasi Firmware</w:t>
      </w:r>
    </w:p>
    <w:p>
      <w:pPr>
        <w:spacing w:after="120" w:line="276" w:lineRule="auto"/>
      </w:pPr>
      <w:r>
        <w:rPr>
          <w:rFonts w:ascii="Arial" w:hAnsi="Arial"/>
          <w:color w:val="20262B"/>
          <w:sz w:val="21"/>
        </w:rPr>
        <w:t>Firmware telah dikonfigurasi untuk menjalankan fungsi utama pada rantai sensor hingga server. Konfigurasi yang telah dibuktikan di lingkungan laboratorium dirangkum sebagai berikut.</w:t>
      </w:r>
    </w:p>
    <w:p>
      <w:pPr>
        <w:pStyle w:val="ListBullet"/>
        <w:spacing w:after="60" w:line="264" w:lineRule="auto"/>
      </w:pPr>
      <w:r>
        <w:rPr>
          <w:rFonts w:ascii="Arial" w:hAnsi="Arial"/>
          <w:color w:val="20262B"/>
          <w:sz w:val="20"/>
        </w:rPr>
        <w:t>Akuisisi delapan kanal sensor gas melalui ADC dan pemrosesan pada ESP32-S3.</w:t>
      </w:r>
    </w:p>
    <w:p>
      <w:pPr>
        <w:pStyle w:val="ListBullet"/>
        <w:spacing w:after="60" w:line="264" w:lineRule="auto"/>
      </w:pPr>
      <w:r>
        <w:rPr>
          <w:rFonts w:ascii="Arial" w:hAnsi="Arial"/>
          <w:color w:val="20262B"/>
          <w:sz w:val="20"/>
        </w:rPr>
        <w:t>Inferensi AI dilakukan secara lokal pada perangkat GLD.</w:t>
      </w:r>
    </w:p>
    <w:p>
      <w:pPr>
        <w:pStyle w:val="ListBullet"/>
        <w:spacing w:after="60" w:line="264" w:lineRule="auto"/>
      </w:pPr>
      <w:r>
        <w:rPr>
          <w:rFonts w:ascii="Arial" w:hAnsi="Arial"/>
          <w:color w:val="20262B"/>
          <w:sz w:val="20"/>
        </w:rPr>
        <w:t>Komunikasi GLD ke serving Cluster Head menggunakan pola STAR dan komunikasi antar-Cluster Head menggunakan MESH.</w:t>
      </w:r>
    </w:p>
    <w:p>
      <w:pPr>
        <w:pStyle w:val="ListBullet"/>
        <w:spacing w:after="60" w:line="264" w:lineRule="auto"/>
      </w:pPr>
      <w:r>
        <w:rPr>
          <w:rFonts w:ascii="Arial" w:hAnsi="Arial"/>
          <w:color w:val="20262B"/>
          <w:sz w:val="20"/>
        </w:rPr>
        <w:t>Payload lapangan dilindungi AES-128-GCM; sesi Gateway ke broker dan Server ke broker menggunakan TLS terpisah.</w:t>
      </w:r>
    </w:p>
    <w:p>
      <w:pPr>
        <w:pStyle w:val="ListBullet"/>
        <w:spacing w:after="60" w:line="264" w:lineRule="auto"/>
      </w:pPr>
      <w:r>
        <w:rPr>
          <w:rFonts w:ascii="Arial" w:hAnsi="Arial"/>
          <w:color w:val="20262B"/>
          <w:sz w:val="20"/>
        </w:rPr>
        <w:t>Telemetri normal disimpan di cache Cluster Head dan diambil melalui mekanisme pull; alarm dan clear dikirim secara push.</w:t>
      </w:r>
    </w:p>
    <w:p>
      <w:pPr>
        <w:pStyle w:val="ListBullet"/>
        <w:spacing w:after="60" w:line="264" w:lineRule="auto"/>
      </w:pPr>
      <w:r>
        <w:rPr>
          <w:rFonts w:ascii="Arial" w:hAnsi="Arial"/>
          <w:color w:val="20262B"/>
          <w:sz w:val="20"/>
        </w:rPr>
        <w:t>Downlink dan receive window endpoint telah didefinisikan dalam Technical Datasheet Revision 4.0.</w:t>
      </w:r>
    </w:p>
    <w:p>
      <w:pPr>
        <w:spacing w:after="120" w:line="276" w:lineRule="auto"/>
      </w:pPr>
      <w:r>
        <w:rPr>
          <w:rFonts w:ascii="Arial" w:hAnsi="Arial"/>
          <w:b/>
          <w:color w:val="20262B"/>
          <w:sz w:val="21"/>
        </w:rPr>
        <w:t xml:space="preserve">Konfigurasi model AI. </w:t>
      </w:r>
      <w:r>
        <w:rPr>
          <w:rFonts w:ascii="Arial" w:hAnsi="Arial"/>
          <w:color w:val="20262B"/>
          <w:sz w:val="21"/>
        </w:rPr>
        <w:t>Keluaran model di perangkat mengikuti Technical Datasheet Revision 4.0 (4 September 2026): label Clean Air, LPG, dan H2 beserta nilai confidence. Validasi model pada dataset pengembangan dan uji real-time di perangkat dirinci pada FAT-02 dalam Laporan FAT (Lampiran A).</w:t>
      </w:r>
    </w:p>
    <w:p>
      <w:pPr>
        <w:pStyle w:val="Heading1"/>
        <w:keepNext/>
        <w:spacing w:before="240" w:after="100"/>
      </w:pPr>
      <w:r>
        <w:rPr>
          <w:rFonts w:ascii="Arial" w:hAnsi="Arial"/>
          <w:b/>
          <w:color w:val="000000"/>
          <w:sz w:val="30"/>
        </w:rPr>
        <w:t>6 Pelaksanaan Factory Integration Test</w:t>
      </w:r>
    </w:p>
    <w:p>
      <w:pPr>
        <w:spacing w:after="120" w:line="276" w:lineRule="auto"/>
      </w:pPr>
      <w:r>
        <w:rPr>
          <w:rFonts w:ascii="Arial" w:hAnsi="Arial"/>
          <w:color w:val="20262B"/>
          <w:sz w:val="21"/>
        </w:rPr>
        <w:t>Factory Integration Test dilaksanakan sebagai rangkaian pengujian di lingkungan ITB sebelum kunjungan lapangan RU IV Cilacap. Pada 6 Agustus 2026, perwakilan PT Pertamina Patra Niaga hadir di Lab IoT, Instrumentation and Computations, Gedung Laboratorium Fisika Terpadu, Institut Teknologi Bandung, bersama LAPI Ganesha Utama dan Lab IoT/Instrumentation and Computation untuk meninjau perkembangan perangkat, desain mekanik, jaringan komunikasi, strategi instalasi, serta kesiapan implementasi. Pengujian lanjutan pada rentang 6 sampai 8 Agustus membuktikan alarm push melalui konfigurasi mesh kampus.</w:t>
      </w:r>
    </w:p>
    <w:p>
      <w:pPr>
        <w:spacing w:after="120" w:line="276" w:lineRule="auto"/>
      </w:pPr>
      <w:r>
        <w:rPr>
          <w:rFonts w:ascii="Arial" w:hAnsi="Arial"/>
          <w:b/>
          <w:color w:val="20262B"/>
          <w:sz w:val="21"/>
        </w:rPr>
        <w:t xml:space="preserve">Kehadiran dan witness. </w:t>
      </w:r>
      <w:r>
        <w:rPr>
          <w:rFonts w:ascii="Arial" w:hAnsi="Arial"/>
          <w:color w:val="20262B"/>
          <w:sz w:val="21"/>
        </w:rPr>
        <w:t>Pihak yang terlibat adalah LAPI Ganesha Utama, Lab IoT/Instrumentation and Computation ITB, dan PT Pertamina Patra Niaga. Konfirmasi PIC proyek pada 11 September 2026 menegaskan bahwa kunjungan tersebut merupakan witness perkembangan dan integrasi sistem sebelum visit Cilacap. Lembar pengesahan pada bagian akhir laporan disediakan untuk mengubah bukti witness tersebut menjadi acceptance formal Termin 1.</w:t>
      </w:r>
    </w:p>
    <w:p>
      <w:pPr>
        <w:spacing w:after="120" w:line="276" w:lineRule="auto"/>
      </w:pPr>
      <w:r>
        <w:rPr>
          <w:rFonts w:ascii="Arial" w:hAnsi="Arial"/>
          <w:b/>
          <w:color w:val="20262B"/>
          <w:sz w:val="21"/>
        </w:rPr>
        <w:t xml:space="preserve">Laporan FAT. </w:t>
      </w:r>
      <w:r>
        <w:rPr>
          <w:rFonts w:ascii="Arial" w:hAnsi="Arial"/>
          <w:color w:val="20262B"/>
          <w:sz w:val="21"/>
        </w:rPr>
        <w:t>Rincian setiap item uji (tujuan, prosedur, kriteria lulus, hasil, dan bukti), lembar pengesahan uji, serta lampiran bukti tercantum dalam Laporan Factory Acceptance Test (FAT) nomor LGU/GLD/FAT/2026-001 Rev 1.4 (Lampiran A). Tabel berikut merangkum hasilnya.</w:t>
      </w:r>
    </w:p>
    <w:p>
      <w:r>
        <w:br w:type="page"/>
      </w:r>
    </w:p>
    <w:p>
      <w:pPr>
        <w:spacing w:after="40" w:line="80" w:lineRule="exact"/>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936"/>
        <w:gridCol w:w="2520"/>
        <w:gridCol w:w="1512"/>
        <w:gridCol w:w="4824"/>
      </w:tblGrid>
      <w:tr>
        <w:trPr>
          <w:tblHeader w:val="true"/>
        </w:trPr>
        <w:tc>
          <w:tcPr>
            <w:tcW w:type="dxa" w:w="93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Test ID</w:t>
            </w:r>
          </w:p>
        </w:tc>
        <w:tc>
          <w:tcPr>
            <w:tcW w:type="dxa" w:w="252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Item uji</w:t>
            </w:r>
          </w:p>
        </w:tc>
        <w:tc>
          <w:tcPr>
            <w:tcW w:type="dxa" w:w="151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w:t>
            </w:r>
          </w:p>
        </w:tc>
        <w:tc>
          <w:tcPr>
            <w:tcW w:type="dxa" w:w="482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Hasil utama</w:t>
            </w:r>
          </w:p>
        </w:tc>
      </w:tr>
      <w:tr>
        <w:tc>
          <w:tcPr>
            <w:tcW w:type="dxa" w:w="93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FAT-01</w:t>
            </w:r>
          </w:p>
        </w:tc>
        <w:tc>
          <w:tcPr>
            <w:tcW w:type="dxa" w:w="252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Akuisisi 8 sensor gas dan perekaman data</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LULUS (LAB)</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8 dari 8 kanal terbaca valid; dataset pengembangan 1.870 pembacaan unik.</w:t>
            </w:r>
          </w:p>
        </w:tc>
      </w:tr>
      <w:tr>
        <w:tc>
          <w:tcPr>
            <w:tcW w:type="dxa" w:w="93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FAT-02</w:t>
            </w:r>
          </w:p>
        </w:tc>
        <w:tc>
          <w:tcPr>
            <w:tcW w:type="dxa" w:w="252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Klasifikasi gas oleh AI di dalam perangkat</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LULUS (LAB)</w:t>
            </w:r>
          </w:p>
        </w:tc>
        <w:tc>
          <w:tcPr>
            <w:tcW w:type="dxa" w:w="482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AI berjalan di ESP32-S3 tanpa server; uji real-time 97,65% (H2 dan udara bersih); validasi model 99,73%, INT8 99,20%.</w:t>
            </w:r>
          </w:p>
        </w:tc>
      </w:tr>
      <w:tr>
        <w:tc>
          <w:tcPr>
            <w:tcW w:type="dxa" w:w="93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FAT-03</w:t>
            </w:r>
          </w:p>
        </w:tc>
        <w:tc>
          <w:tcPr>
            <w:tcW w:type="dxa" w:w="252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Komunikasi radio LoRa GLD ke CH</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LULUS (LAB)</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PDR 100% pada 177 m dan 243 m jalur pandang bebas; batas jangkauan per hop teridentifikasi.</w:t>
            </w:r>
          </w:p>
        </w:tc>
      </w:tr>
      <w:tr>
        <w:tc>
          <w:tcPr>
            <w:tcW w:type="dxa" w:w="93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FAT-04</w:t>
            </w:r>
          </w:p>
        </w:tc>
        <w:tc>
          <w:tcPr>
            <w:tcW w:type="dxa" w:w="252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Mesh multi-hop dan failover CH</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LULUS (LAB)</w:t>
            </w:r>
          </w:p>
        </w:tc>
        <w:tc>
          <w:tcPr>
            <w:tcW w:type="dxa" w:w="482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Mesh 8 CH, 3 lapis; failover tanpa kehilangan data; downlink ke GLD berhasil.</w:t>
            </w:r>
          </w:p>
        </w:tc>
      </w:tr>
      <w:tr>
        <w:tc>
          <w:tcPr>
            <w:tcW w:type="dxa" w:w="93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FAT-05</w:t>
            </w:r>
          </w:p>
        </w:tc>
        <w:tc>
          <w:tcPr>
            <w:tcW w:type="dxa" w:w="252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Integrasi end-to-end GLD-CH-Gateway-Server</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LULUS (LAB)</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Data mengalir end-to-end tanpa intervensi manual (16 Juli 2026).</w:t>
            </w:r>
          </w:p>
        </w:tc>
      </w:tr>
      <w:tr>
        <w:tc>
          <w:tcPr>
            <w:tcW w:type="dxa" w:w="93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FAT-06</w:t>
            </w:r>
          </w:p>
        </w:tc>
        <w:tc>
          <w:tcPr>
            <w:tcW w:type="dxa" w:w="252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Alarm otomatis (push alarm)</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LULUS (LAB)</w:t>
            </w:r>
          </w:p>
        </w:tc>
        <w:tc>
          <w:tcPr>
            <w:tcW w:type="dxa" w:w="482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GLD disemprot LPG; status server berubah menjadi alarm otomatis tanpa permintaan data (6-8 Agustus 2026).</w:t>
            </w:r>
          </w:p>
        </w:tc>
      </w:tr>
      <w:tr>
        <w:tc>
          <w:tcPr>
            <w:tcW w:type="dxa" w:w="93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FAT-07</w:t>
            </w:r>
          </w:p>
        </w:tc>
        <w:tc>
          <w:tcPr>
            <w:tcW w:type="dxa" w:w="252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Monitoring data dan alarm di dashboard</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LULUS (LAB)</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Data dan status alarm tiap node tampil di dashboard laboratorium.</w:t>
            </w:r>
          </w:p>
        </w:tc>
      </w:tr>
    </w:tbl>
    <w:p>
      <w:pPr>
        <w:spacing w:after="0"/>
      </w:pPr>
    </w:p>
    <w:p>
      <w:pPr>
        <w:spacing w:after="120" w:line="276" w:lineRule="auto"/>
      </w:pPr>
      <w:r>
        <w:rPr>
          <w:rFonts w:ascii="Arial" w:hAnsi="Arial"/>
          <w:b/>
          <w:color w:val="20262B"/>
          <w:sz w:val="21"/>
        </w:rPr>
        <w:t xml:space="preserve">Hasil FAT. </w:t>
      </w:r>
      <w:r>
        <w:rPr>
          <w:rFonts w:ascii="Arial" w:hAnsi="Arial"/>
          <w:color w:val="20262B"/>
          <w:sz w:val="21"/>
        </w:rPr>
        <w:t>Fungsi inti yang diperlukan untuk melanjutkan ke persiapan lapangan telah ditunjukkan pada lingkungan laboratorium. Tidak ditemukan kegagalan integrasi yang menghentikan persiapan pilot. Pengukuran waktu respons alarm terhadap KPI proposal (30 detik), commissioning, dan Site Acceptance Test dilaksanakan di lokasi setelah instalasi; penambahan kelas gas dan kepatuhan area berbahaya ditangani pada tahap berikutnya.</w:t>
      </w:r>
    </w:p>
    <w:p>
      <w:r>
        <w:br w:type="page"/>
      </w:r>
    </w:p>
    <w:p>
      <w:pPr>
        <w:pStyle w:val="Heading1"/>
        <w:keepNext/>
        <w:spacing w:before="240" w:after="100"/>
      </w:pPr>
      <w:r>
        <w:rPr>
          <w:rFonts w:ascii="Arial" w:hAnsi="Arial"/>
          <w:b/>
          <w:color w:val="000000"/>
          <w:sz w:val="30"/>
        </w:rPr>
        <w:t>7 Dokumen Instalasi dan As Built</w:t>
      </w:r>
    </w:p>
    <w:p>
      <w:pPr>
        <w:spacing w:after="120" w:line="276" w:lineRule="auto"/>
      </w:pPr>
      <w:r>
        <w:rPr>
          <w:rFonts w:ascii="Arial" w:hAnsi="Arial"/>
          <w:color w:val="20262B"/>
          <w:sz w:val="21"/>
        </w:rPr>
        <w:t>Dokumen instalasi yang tersedia telah mencakup konsep mounting, kebutuhan daya 24 VDC, arsitektur jaringan, kebutuhan server, pembagian tanggung jawab, draft JSA/HSE, dan checklist pra-instalasi. Konfigurasi yang diuji di laboratorium menjadi baseline as-built factory untuk Termin 1.</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2376"/>
        <w:gridCol w:w="2088"/>
        <w:gridCol w:w="5256"/>
      </w:tblGrid>
      <w:tr>
        <w:trPr>
          <w:tblHeader w:val="true"/>
        </w:trPr>
        <w:tc>
          <w:tcPr>
            <w:tcW w:type="dxa" w:w="237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Dokumen</w:t>
            </w:r>
          </w:p>
        </w:tc>
        <w:tc>
          <w:tcPr>
            <w:tcW w:type="dxa" w:w="2088"/>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w:t>
            </w:r>
          </w:p>
        </w:tc>
        <w:tc>
          <w:tcPr>
            <w:tcW w:type="dxa" w:w="525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Batas dan isi</w:t>
            </w:r>
          </w:p>
        </w:tc>
      </w:tr>
      <w:tr>
        <w:tc>
          <w:tcPr>
            <w:tcW w:type="dxa" w:w="2376"/>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As-built perangkat</w:t>
            </w:r>
          </w:p>
        </w:tc>
        <w:tc>
          <w:tcPr>
            <w:tcW w:type="dxa" w:w="2088"/>
            <w:vAlign w:val="center"/>
            <w:tcMar>
              <w:top w:w="90" w:type="dxa"/>
              <w:start w:w="110" w:type="dxa"/>
              <w:bottom w:w="90" w:type="dxa"/>
              <w:end w:w="110" w:type="dxa"/>
            </w:tcMar>
          </w:tcPr>
          <w:p>
            <w:pPr>
              <w:spacing w:after="0" w:before="0" w:line="252" w:lineRule="auto"/>
              <w:jc w:val="center"/>
            </w:pPr>
            <w:r>
              <w:rPr>
                <w:rFonts w:ascii="Arial" w:hAnsi="Arial"/>
                <w:b/>
                <w:color w:val="9A6500"/>
                <w:sz w:val="18"/>
              </w:rPr>
              <w:t>Tersedia sesuai tahap</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Foto unit terakit, spesifikasi hardware, TDS, konfigurasi firmware, dan arsitektur integrasi lab.</w:t>
            </w:r>
          </w:p>
        </w:tc>
      </w:tr>
      <w:tr>
        <w:tc>
          <w:tcPr>
            <w:tcW w:type="dxa" w:w="237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Desain pemasangan</w:t>
            </w:r>
          </w:p>
        </w:tc>
        <w:tc>
          <w:tcPr>
            <w:tcW w:type="dxa" w:w="2088"/>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8"/>
              </w:rPr>
              <w:t>Tersedia</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Pelat mounting U-bolt pada tiang galvanis 2 inci baru (ditanam dan dicor), sesuai Spesifikasi Material Instalasi RU IV Cilacap Rev 1.5.</w:t>
            </w:r>
          </w:p>
        </w:tc>
      </w:tr>
      <w:tr>
        <w:tc>
          <w:tcPr>
            <w:tcW w:type="dxa" w:w="2376"/>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Metode dan HSE</w:t>
            </w:r>
          </w:p>
        </w:tc>
        <w:tc>
          <w:tcPr>
            <w:tcW w:type="dxa" w:w="2088"/>
            <w:vAlign w:val="center"/>
            <w:tcMar>
              <w:top w:w="90" w:type="dxa"/>
              <w:start w:w="110" w:type="dxa"/>
              <w:bottom w:w="90" w:type="dxa"/>
              <w:end w:w="110" w:type="dxa"/>
            </w:tcMar>
          </w:tcPr>
          <w:p>
            <w:pPr>
              <w:spacing w:after="0" w:before="0" w:line="252" w:lineRule="auto"/>
              <w:jc w:val="center"/>
            </w:pPr>
            <w:r>
              <w:rPr>
                <w:rFonts w:ascii="Arial" w:hAnsi="Arial"/>
                <w:b/>
                <w:color w:val="9A6500"/>
                <w:sz w:val="18"/>
              </w:rPr>
              <w:t>Tersedia sebagai draft</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JSA/HSE dan checklist pra-instalasi; pengesahan spesifik lokasi dilakukan sebelum pekerjaan fisik.</w:t>
            </w:r>
          </w:p>
        </w:tc>
      </w:tr>
      <w:tr>
        <w:tc>
          <w:tcPr>
            <w:tcW w:type="dxa" w:w="237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As-built lokasi RU IV</w:t>
            </w:r>
          </w:p>
        </w:tc>
        <w:tc>
          <w:tcPr>
            <w:tcW w:type="dxa" w:w="2088"/>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8"/>
              </w:rPr>
              <w:t>Tahap berikutnya</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Diterbitkan setelah instalasi, pengukuran aktual, commissioning, dan SAT. Tidak diklaim selesai pada Termin 1.</w:t>
            </w:r>
          </w:p>
        </w:tc>
      </w:tr>
    </w:tbl>
    <w:p>
      <w:pPr>
        <w:spacing w:after="0"/>
      </w:pPr>
    </w:p>
    <w:p>
      <w:pPr>
        <w:pStyle w:val="Heading1"/>
        <w:keepNext/>
        <w:spacing w:before="240" w:after="100"/>
      </w:pPr>
      <w:r>
        <w:rPr>
          <w:rFonts w:ascii="Arial" w:hAnsi="Arial"/>
          <w:b/>
          <w:color w:val="000000"/>
          <w:sz w:val="30"/>
        </w:rPr>
        <w:t>8 Register Bukti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792"/>
        <w:gridCol w:w="3671"/>
        <w:gridCol w:w="5256"/>
      </w:tblGrid>
      <w:tr>
        <w:trPr>
          <w:tblHeader w:val="true"/>
        </w:trPr>
        <w:tc>
          <w:tcPr>
            <w:tcW w:type="dxa" w:w="79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ID</w:t>
            </w:r>
          </w:p>
        </w:tc>
        <w:tc>
          <w:tcPr>
            <w:tcW w:type="dxa" w:w="367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Bukti</w:t>
            </w:r>
          </w:p>
        </w:tc>
        <w:tc>
          <w:tcPr>
            <w:tcW w:type="dxa" w:w="525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Relevansi</w:t>
            </w:r>
          </w:p>
        </w:tc>
      </w:tr>
      <w:tr>
        <w:tc>
          <w:tcPr>
            <w:tcW w:type="dxa" w:w="792"/>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E-01</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Notulensi Kick Off Meeting 12 Juni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Scope, desain end-to-end, casing, mode operasi, tanggung jawab, dan target implementasi.</w:t>
            </w:r>
          </w:p>
        </w:tc>
      </w:tr>
      <w:tr>
        <w:tc>
          <w:tcPr>
            <w:tcW w:type="dxa" w:w="792"/>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E-02</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Meeting GLD 6 Agustus 2026</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Witness PT Pertamina Patra Niaga di Lab IoT/Instrumentation and Computation ITB, desain mekanik, arsitektur jaringan, status perangkat, dan tindak lanjut.</w:t>
            </w:r>
          </w:p>
        </w:tc>
      </w:tr>
      <w:tr>
        <w:tc>
          <w:tcPr>
            <w:tcW w:type="dxa" w:w="792"/>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E-03</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Technical Datasheet Revision 4.0</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Kontrak teknis GLD, CH, Gateway, Server, radio, keamanan, cache, alarm, dan downlink.</w:t>
            </w:r>
          </w:p>
        </w:tc>
      </w:tr>
      <w:tr>
        <w:tc>
          <w:tcPr>
            <w:tcW w:type="dxa" w:w="792"/>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E-04</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Datasheet Sistem GLD Arsitektur Server dan Jaringan</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 detail engineering konsolidasi untuk perangkat, jaringan, server, daya, dan instalasi.</w:t>
            </w:r>
          </w:p>
        </w:tc>
      </w:tr>
      <w:tr>
        <w:tc>
          <w:tcPr>
            <w:tcW w:type="dxa" w:w="792"/>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E-05</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Progres By Date GLD</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Kronologi pengujian, penyelesaian integrasi, dan perkembangan perangkat.</w:t>
            </w:r>
          </w:p>
        </w:tc>
      </w:tr>
      <w:tr>
        <w:tc>
          <w:tcPr>
            <w:tcW w:type="dxa" w:w="792"/>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E-06</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Lembar kerja uji sinyal LoRa</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RSSI, SNR, dan PDR per titik uji di kampus ITB.</w:t>
            </w:r>
          </w:p>
        </w:tc>
      </w:tr>
      <w:tr>
        <w:tc>
          <w:tcPr>
            <w:tcW w:type="dxa" w:w="792"/>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E-07</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Dataset sensor gas</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Data akuisisi delapan kanal untuk LPG, CO2, udara bersih, dan sesi baseline.</w:t>
            </w:r>
          </w:p>
        </w:tc>
      </w:tr>
      <w:tr>
        <w:tc>
          <w:tcPr>
            <w:tcW w:type="dxa" w:w="792"/>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E-08</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Desain pelat mounting U-bolt GLD dan Spesifikasi Material Instalasi RU IV Cilacap Rev 1.5</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Basis desain instalasi mekanik, tiang baru, kabel 24 VDC, dan jaringan lokal.</w:t>
            </w:r>
          </w:p>
        </w:tc>
      </w:tr>
      <w:tr>
        <w:tc>
          <w:tcPr>
            <w:tcW w:type="dxa" w:w="792"/>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E-09</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JSA HSE dan Checklist Kesiapan Instalasi RU IV</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Prasyarat HSE, mobilisasi, commissioning, dan acceptance test.</w:t>
            </w:r>
          </w:p>
        </w:tc>
      </w:tr>
      <w:tr>
        <w:tc>
          <w:tcPr>
            <w:tcW w:type="dxa" w:w="792"/>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E-10</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Konfirmasi PIC proyek 11 September 2026</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PT Pertamina Patra Niaga telah hadir di Lab IoT/Instrumentation and Computation ITB untuk menyaksikan perkembangan/integrasi sebelum visit Cilacap.</w:t>
            </w:r>
          </w:p>
        </w:tc>
      </w:tr>
      <w:tr>
        <w:tc>
          <w:tcPr>
            <w:tcW w:type="dxa" w:w="792"/>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E-11</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Factory Acceptance Test LGU/GLD/FAT/2026-001 Rev 1.4 (Lampiran A)</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Hasil FAT-01 s.d. FAT-07, lembar pengesahan uji, dan lampiran bukti 1-9.</w:t>
            </w:r>
          </w:p>
        </w:tc>
      </w:tr>
      <w:tr>
        <w:tc>
          <w:tcPr>
            <w:tcW w:type="dxa" w:w="792"/>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E-12</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Uji Laboratorium 01, 02, dan 03 (dalam Lampiran A)</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Model AI, komunikasi LoRa, serta mesh, failover, downlink, dan integrasi.</w:t>
            </w:r>
          </w:p>
        </w:tc>
      </w:tr>
    </w:tbl>
    <w:p>
      <w:pPr>
        <w:spacing w:after="0"/>
      </w:pPr>
    </w:p>
    <w:p>
      <w:pPr>
        <w:pStyle w:val="Heading1"/>
        <w:keepNext/>
        <w:spacing w:before="240" w:after="100"/>
      </w:pPr>
      <w:r>
        <w:rPr>
          <w:rFonts w:ascii="Arial" w:hAnsi="Arial"/>
          <w:b/>
          <w:color w:val="000000"/>
          <w:sz w:val="30"/>
        </w:rPr>
        <w:t>9 Outstanding dan Tahap Berikutnya</w:t>
      </w:r>
    </w:p>
    <w:p>
      <w:pPr>
        <w:spacing w:after="120" w:line="276" w:lineRule="auto"/>
      </w:pPr>
      <w:r>
        <w:rPr>
          <w:rFonts w:ascii="Arial" w:hAnsi="Arial"/>
          <w:color w:val="20262B"/>
          <w:sz w:val="21"/>
        </w:rPr>
        <w:t>Outstanding berikut tidak mengubah kesimpulan substantial completion Termin 1, tetapi wajib ditindaklanjuti pada tahapan lapangan dan sertifikasi.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503"/>
        <w:gridCol w:w="3096"/>
        <w:gridCol w:w="1944"/>
        <w:gridCol w:w="4176"/>
      </w:tblGrid>
      <w:tr>
        <w:trPr>
          <w:tblHeader w:val="true"/>
        </w:trPr>
        <w:tc>
          <w:tcPr>
            <w:tcW w:type="dxa" w:w="50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No</w:t>
            </w:r>
          </w:p>
        </w:tc>
        <w:tc>
          <w:tcPr>
            <w:tcW w:type="dxa" w:w="309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Outstanding</w:t>
            </w:r>
          </w:p>
        </w:tc>
        <w:tc>
          <w:tcPr>
            <w:tcW w:type="dxa" w:w="194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Tahap</w:t>
            </w:r>
          </w:p>
        </w:tc>
        <w:tc>
          <w:tcPr>
            <w:tcW w:type="dxa" w:w="417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Tindakan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1</w:t>
            </w:r>
          </w:p>
        </w:tc>
        <w:tc>
          <w:tcPr>
            <w:tcW w:type="dxa" w:w="309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Tanda tangan witness dan acceptance FAT</w:t>
            </w:r>
          </w:p>
        </w:tc>
        <w:tc>
          <w:tcPr>
            <w:tcW w:type="dxa" w:w="19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Administrasi Termin 1</w:t>
            </w:r>
          </w:p>
        </w:tc>
        <w:tc>
          <w:tcPr>
            <w:tcW w:type="dxa" w:w="417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Tutup melalui lembar pengesahan uji pada Laporan FAT (Lampiran A), lembar pengesahan laporan ini, dan BAST.</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2</w:t>
            </w:r>
          </w:p>
        </w:tc>
        <w:tc>
          <w:tcPr>
            <w:tcW w:type="dxa" w:w="309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Nomor seri dan packing list per RU</w:t>
            </w:r>
          </w:p>
        </w:tc>
        <w:tc>
          <w:tcPr>
            <w:tcW w:type="dxa" w:w="19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Mobilisasi</w:t>
            </w:r>
          </w:p>
        </w:tc>
        <w:tc>
          <w:tcPr>
            <w:tcW w:type="dxa" w:w="417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Tetapkan sebelum pengiriman perangkat.</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3</w:t>
            </w:r>
          </w:p>
        </w:tc>
        <w:tc>
          <w:tcPr>
            <w:tcW w:type="dxa" w:w="309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Instalasi, commissioning, dan SAT RU IV</w:t>
            </w:r>
          </w:p>
        </w:tc>
        <w:tc>
          <w:tcPr>
            <w:tcW w:type="dxa" w:w="19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Termin lapangan</w:t>
            </w:r>
          </w:p>
        </w:tc>
        <w:tc>
          <w:tcPr>
            <w:tcW w:type="dxa" w:w="417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Dilaksanakan setelah izin dan kesiapan lokasi; termasuk pengukuran waktu respons alarm.</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4</w:t>
            </w:r>
          </w:p>
        </w:tc>
        <w:tc>
          <w:tcPr>
            <w:tcW w:type="dxa" w:w="309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As-built site final</w:t>
            </w:r>
          </w:p>
        </w:tc>
        <w:tc>
          <w:tcPr>
            <w:tcW w:type="dxa" w:w="19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Pasca-instalasi</w:t>
            </w:r>
          </w:p>
        </w:tc>
        <w:tc>
          <w:tcPr>
            <w:tcW w:type="dxa" w:w="417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Susun berdasarkan ukuran, jalur, dan konfigurasi aktual.</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5</w:t>
            </w:r>
          </w:p>
        </w:tc>
        <w:tc>
          <w:tcPr>
            <w:tcW w:type="dxa" w:w="309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H2S, Benzena, dan kelas gas tambahan</w:t>
            </w:r>
          </w:p>
        </w:tc>
        <w:tc>
          <w:tcPr>
            <w:tcW w:type="dxa" w:w="19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Pengembangan AI</w:t>
            </w:r>
          </w:p>
        </w:tc>
        <w:tc>
          <w:tcPr>
            <w:tcW w:type="dxa" w:w="417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Menunggu ketersediaan sampel dan validasi model.</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6</w:t>
            </w:r>
          </w:p>
        </w:tc>
        <w:tc>
          <w:tcPr>
            <w:tcW w:type="dxa" w:w="309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Sertifikasi hazardous area</w:t>
            </w:r>
          </w:p>
        </w:tc>
        <w:tc>
          <w:tcPr>
            <w:tcW w:type="dxa" w:w="19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Jalur sertifikasi</w:t>
            </w:r>
          </w:p>
        </w:tc>
        <w:tc>
          <w:tcPr>
            <w:tcW w:type="dxa" w:w="417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Masih persiapan dokumen; tidak menjadi klaim laporan Termin 1 field testing.</w:t>
            </w:r>
          </w:p>
        </w:tc>
      </w:tr>
    </w:tbl>
    <w:p>
      <w:pPr>
        <w:spacing w:after="0"/>
      </w:pPr>
    </w:p>
    <w:p>
      <w:r>
        <w:br w:type="page"/>
      </w:r>
    </w:p>
    <w:p>
      <w:pPr>
        <w:pStyle w:val="Heading1"/>
        <w:keepNext/>
        <w:spacing w:before="240" w:after="100"/>
      </w:pPr>
      <w:r>
        <w:rPr>
          <w:rFonts w:ascii="Arial" w:hAnsi="Arial"/>
          <w:b/>
          <w:color w:val="000000"/>
          <w:sz w:val="30"/>
        </w:rPr>
        <w:t>10 Kesimpulan dan Rekomendasi Penerimaan</w:t>
      </w:r>
    </w:p>
    <w:p>
      <w:pPr>
        <w:spacing w:after="120" w:line="276" w:lineRule="auto"/>
      </w:pPr>
      <w:r>
        <w:rPr>
          <w:rFonts w:ascii="Arial" w:hAnsi="Arial"/>
          <w:color w:val="20262B"/>
          <w:sz w:val="21"/>
        </w:rPr>
        <w:t>Pekerjaan detail engineering, persiapan komponen, konfigurasi firmware, dan factory integration test telah dilaksanakan secara substansial. Sistem inti telah diuji end-to-end di lingkungan laboratorium, dan PT Pertamina Patra Niaga telah melakukan peninjauan langsung di Lab IoT, Instrumentation and Computations, Gedung Laboratorium Fisika Terpadu, Institut Teknologi Bandung, sebelum kunjungan RU IV Cilacap. Dokumen instalasi serta baseline as-built prototipe/laboratorium juga telah tersedia.</w:t>
      </w:r>
    </w:p>
    <w:p>
      <w:pPr>
        <w:spacing w:after="120" w:line="276" w:lineRule="auto"/>
      </w:pPr>
      <w:r>
        <w:rPr>
          <w:rFonts w:ascii="Arial" w:hAnsi="Arial"/>
          <w:b/>
          <w:color w:val="20262B"/>
          <w:sz w:val="21"/>
        </w:rPr>
        <w:t xml:space="preserve">Rekomendasi. </w:t>
      </w:r>
      <w:r>
        <w:rPr>
          <w:rFonts w:ascii="Arial" w:hAnsi="Arial"/>
          <w:color w:val="20262B"/>
          <w:sz w:val="21"/>
        </w:rPr>
        <w:t>Deliverable Termin 1 direkomendasikan untuk diterima dan diproses sebagai dasar pembayaran 20 persen dari harga SPK. Penandatanganan lembar pengesahan dan BAST akan menjadi penutupan administratif atas pekerjaan yang telah dilaksanakan. Instalasi, site acceptance test, as-built lapangan, serta sertifikasi tetap dilaporkan pada tahap berikutnya.</w:t>
      </w:r>
    </w:p>
    <w:p>
      <w:pPr>
        <w:pStyle w:val="Heading1"/>
        <w:keepNext/>
        <w:spacing w:before="240" w:after="100"/>
      </w:pPr>
      <w:r>
        <w:rPr>
          <w:rFonts w:ascii="Arial" w:hAnsi="Arial"/>
          <w:b/>
          <w:color w:val="000000"/>
          <w:sz w:val="30"/>
        </w:rPr>
        <w:t>11 Lembar Pengesahan</w:t>
      </w:r>
    </w:p>
    <w:p>
      <w:pPr>
        <w:spacing w:after="120" w:line="276" w:lineRule="auto"/>
      </w:pPr>
      <w:r>
        <w:rPr>
          <w:rFonts w:ascii="Arial" w:hAnsi="Arial"/>
          <w:color w:val="20262B"/>
          <w:sz w:val="21"/>
        </w:rPr>
        <w:t>Dengan menandatangani lembar ini, para pihak menyatakan bahwa laporan telah diperiksa dan bahwa deliverable Termin 1 dapat diterima sebagai dasar proses pembayaran sesuai ketentuan SPK, dengan tindak lanjut yang tercantum pada Bagian 9.</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1800"/>
        <w:gridCol w:w="3240"/>
        <w:gridCol w:w="4680"/>
      </w:tblGrid>
      <w:tr>
        <w:trPr>
          <w:tblHeader w:val="true"/>
        </w:trPr>
        <w:tc>
          <w:tcPr>
            <w:tcW w:type="dxa" w:w="180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Peran</w:t>
            </w:r>
          </w:p>
        </w:tc>
        <w:tc>
          <w:tcPr>
            <w:tcW w:type="dxa" w:w="324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Pihak</w:t>
            </w:r>
          </w:p>
        </w:tc>
        <w:tc>
          <w:tcPr>
            <w:tcW w:type="dxa" w:w="468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Pengesahan</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Disiapkan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Diverifikasi oleh</w:t>
            </w:r>
          </w:p>
        </w:tc>
        <w:tc>
          <w:tcPr>
            <w:tcW w:type="dxa" w:w="324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Lab IoT/Instrumentation and Computation ITB</w:t>
            </w:r>
          </w:p>
        </w:tc>
        <w:tc>
          <w:tcPr>
            <w:tcW w:type="dxa" w:w="468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Diterima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bl>
    <w:p>
      <w:pPr>
        <w:spacing w:after="0"/>
      </w:pPr>
    </w:p>
    <w:p>
      <w:pPr>
        <w:spacing w:before="360" w:after="80"/>
      </w:pPr>
      <w:r>
        <w:rPr>
          <w:rFonts w:ascii="Arial" w:hAnsi="Arial"/>
          <w:b/>
          <w:color w:val="20262B"/>
          <w:sz w:val="21"/>
        </w:rPr>
        <w:t>Keputusan penerimaan</w:t>
      </w:r>
    </w:p>
    <w:p>
      <w:pPr>
        <w:spacing w:after="120" w:line="276" w:lineRule="auto"/>
      </w:pPr>
      <w:r>
        <w:rPr>
          <w:rFonts w:ascii="Arial" w:hAnsi="Arial"/>
          <w:color w:val="20262B"/>
          <w:sz w:val="20"/>
        </w:rPr>
        <w:t>[  ] Diterima untuk proses pembayaran Termin 1 sebesar 20 persen</w:t>
      </w:r>
    </w:p>
    <w:p>
      <w:pPr>
        <w:spacing w:after="120" w:line="276" w:lineRule="auto"/>
      </w:pPr>
      <w:r>
        <w:rPr>
          <w:rFonts w:ascii="Arial" w:hAnsi="Arial"/>
          <w:color w:val="20262B"/>
          <w:sz w:val="20"/>
        </w:rPr>
        <w:t>[  ] Diterima dengan catatan sebagaimana Bagian 9</w:t>
      </w:r>
    </w:p>
    <w:p>
      <w:pPr>
        <w:spacing w:after="120" w:line="276" w:lineRule="auto"/>
      </w:pPr>
      <w:r>
        <w:rPr>
          <w:rFonts w:ascii="Arial" w:hAnsi="Arial"/>
          <w:color w:val="20262B"/>
          <w:sz w:val="20"/>
        </w:rPr>
        <w:t>[  ] Memerlukan perbaikan sebelum diproses</w:t>
      </w:r>
    </w:p>
    <w:p>
      <w:pPr>
        <w:spacing w:after="0"/>
        <w:jc w:val="center"/>
      </w:pPr>
      <w:r>
        <w:drawing>
          <wp:inline xmlns:a="http://schemas.openxmlformats.org/drawingml/2006/main" xmlns:pic="http://schemas.openxmlformats.org/drawingml/2006/picture">
            <wp:extent cx="6984000" cy="9883240"/>
            <wp:docPr id="6" name="Picture 1"/>
            <wp:cNvGraphicFramePr>
              <a:graphicFrameLocks noChangeAspect="1"/>
            </wp:cNvGraphicFramePr>
            <a:graphic>
              <a:graphicData uri="http://schemas.openxmlformats.org/drawingml/2006/picture">
                <pic:pic>
                  <pic:nvPicPr>
                    <pic:cNvPr id="6" name="img_A_15.jpg"/>
                    <pic:cNvPicPr/>
                  </pic:nvPicPr>
                  <pic:blipFill>
                    <a:blip r:embed="rId14"/>
                    <a:stretch>
                      <a:fillRect/>
                    </a:stretch>
                  </pic:blipFill>
                  <pic:spPr>
                    <a:xfrm>
                      <a:off x="0" y="0"/>
                      <a:ext cx="6984000" cy="9883240"/>
                    </a:xfrm>
                    <a:prstGeom prst="rect"/>
                  </pic:spPr>
                </pic:pic>
              </a:graphicData>
            </a:graphic>
          </wp:inline>
        </w:drawing>
      </w:r>
    </w:p>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Laporan Factory Acceptance Test (FAT) — Sistem Gas Leak Detection Tahap 2</w:t>
      </w:r>
    </w:p>
    <w:p>
      <w:pPr>
        <w:spacing w:after="200"/>
      </w:pPr>
      <w:r>
        <w:rPr>
          <w:b w:val="0"/>
          <w:i w:val="0"/>
          <w:color w:val="5B5B5B"/>
          <w:sz w:val="21"/>
        </w:rPr>
        <w:t>Hasil uji penerimaan di laboratorium (Lab IoT, Instrumentation and Computations, ITB) atas node sensor GLD, Cluster Head, Gateway, dan server sebelum perangkat dikirim ke lokasi Refinery Unit. Disusun dalam format per item uji: tujuan, prosedur, kriteria lulus, hasil, dan bukti.</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LGU/GLD/FAT/2026-001</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1.4</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5 Oktober 2026</w:t>
            </w:r>
          </w:p>
        </w:tc>
      </w:tr>
      <w:tr>
        <w:tc>
          <w:tcPr>
            <w:tcW w:type="dxa" w:w="2736"/>
            <w:shd w:val="clear" w:color="auto" w:fill="EFEFEC"/>
          </w:tcPr>
          <w:p>
            <w:pPr>
              <w:spacing w:after="40"/>
            </w:pPr>
            <w:r>
              <w:rPr>
                <w:b/>
                <w:color w:val="5B5B5B"/>
                <w:sz w:val="18"/>
              </w:rPr>
              <w:t>Status</w:t>
            </w:r>
          </w:p>
        </w:tc>
        <w:tc>
          <w:tcPr>
            <w:tcW w:type="dxa" w:w="7200"/>
          </w:tcPr>
          <w:p>
            <w:pPr>
              <w:spacing w:after="40"/>
            </w:pPr>
            <w:r>
              <w:rPr>
                <w:sz w:val="19"/>
              </w:rPr>
              <w:t>Untuk pengesahan — hasil uji laboratorium (FAT), bukan Site Acceptance Test (SAT)</w:t>
            </w:r>
          </w:p>
        </w:tc>
      </w:tr>
      <w:tr>
        <w:tc>
          <w:tcPr>
            <w:tcW w:type="dxa" w:w="2736"/>
            <w:shd w:val="clear" w:color="auto" w:fill="EFEFEC"/>
          </w:tcPr>
          <w:p>
            <w:pPr>
              <w:spacing w:after="40"/>
            </w:pPr>
            <w:r>
              <w:rPr>
                <w:b/>
                <w:color w:val="5B5B5B"/>
                <w:sz w:val="18"/>
              </w:rPr>
              <w:t>Lokasi uji</w:t>
            </w:r>
          </w:p>
        </w:tc>
        <w:tc>
          <w:tcPr>
            <w:tcW w:type="dxa" w:w="7200"/>
          </w:tcPr>
          <w:p>
            <w:pPr>
              <w:spacing w:after="40"/>
            </w:pPr>
            <w:r>
              <w:rPr>
                <w:sz w:val="19"/>
              </w:rPr>
              <w:t>Lab IoT, Instrumentation and Computations, Gedung Laboratorium Fisika Terpadu, ITB, Bandung</w:t>
            </w:r>
          </w:p>
        </w:tc>
      </w:tr>
      <w:tr>
        <w:tc>
          <w:tcPr>
            <w:tcW w:type="dxa" w:w="2736"/>
            <w:shd w:val="clear" w:color="auto" w:fill="EFEFEC"/>
          </w:tcPr>
          <w:p>
            <w:pPr>
              <w:spacing w:after="40"/>
            </w:pPr>
            <w:r>
              <w:rPr>
                <w:b/>
                <w:color w:val="5B5B5B"/>
                <w:sz w:val="18"/>
              </w:rPr>
              <w:t>Periode uji</w:t>
            </w:r>
          </w:p>
        </w:tc>
        <w:tc>
          <w:tcPr>
            <w:tcW w:type="dxa" w:w="7200"/>
          </w:tcPr>
          <w:p>
            <w:pPr>
              <w:spacing w:after="40"/>
            </w:pPr>
            <w:r>
              <w:rPr>
                <w:sz w:val="19"/>
              </w:rPr>
              <w:t>Mei – Agustus 2026; disaksikan PT Pertamina Patra Niaga pada 6 Agustus 2026</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w:t>
            </w:r>
          </w:p>
        </w:tc>
      </w:tr>
    </w:tbl>
    <w:p>
      <w:r>
        <w:br w:type="page"/>
      </w:r>
    </w:p>
    <w:p>
      <w:pPr>
        <w:pStyle w:val="Heading1"/>
      </w:pPr>
      <w:r>
        <w:rPr>
          <w:color w:val="1B2A4A"/>
        </w:rPr>
        <w:t>1. Dasar dan pengertian</w:t>
      </w:r>
    </w:p>
    <w:p>
      <w:pPr>
        <w:pStyle w:val="ListBullet"/>
        <w:spacing w:after="60"/>
      </w:pPr>
      <w:r>
        <w:rPr>
          <w:b/>
          <w:i w:val="0"/>
          <w:sz w:val="20"/>
        </w:rPr>
        <w:t>Dasar kontraktual.</w:t>
      </w:r>
      <w:r>
        <w:rPr>
          <w:b w:val="0"/>
          <w:i w:val="0"/>
          <w:sz w:val="20"/>
        </w:rPr>
        <w:t xml:space="preserve"> Pada ketentuan pembayaran pekerjaan field testing, Termin 1 didasarkan pada detail engineering, persiapan komponen, konfigurasi firmware, dan factory integration test, dibuktikan antara lain dengan laporan factory acceptance test.</w:t>
      </w:r>
    </w:p>
    <w:p>
      <w:pPr>
        <w:pStyle w:val="ListBullet"/>
        <w:spacing w:after="60"/>
      </w:pPr>
      <w:r>
        <w:rPr>
          <w:b/>
          <w:i w:val="0"/>
          <w:sz w:val="20"/>
        </w:rPr>
        <w:t>Dasar proposal.</w:t>
      </w:r>
      <w:r>
        <w:rPr>
          <w:b w:val="0"/>
          <w:i w:val="0"/>
          <w:sz w:val="20"/>
        </w:rPr>
        <w:t xml:space="preserve"> Proposal GLD Tahap 2 (Kontrak Payung) §14.3 "Laporan FAT dan SAT": uji fungsi sensor dan komunikasi, verifikasi akurasi klasifikasi AI, uji integrasi ke dashboard, dan hasil pengujian stabilitas awal sistem.</w:t>
      </w:r>
    </w:p>
    <w:p>
      <w:pPr>
        <w:pStyle w:val="ListBullet"/>
        <w:spacing w:after="60"/>
      </w:pPr>
      <w:r>
        <w:rPr>
          <w:b/>
          <w:i w:val="0"/>
          <w:sz w:val="20"/>
        </w:rPr>
        <w:t>FAT</w:t>
      </w:r>
      <w:r>
        <w:rPr>
          <w:b w:val="0"/>
          <w:i w:val="0"/>
          <w:sz w:val="20"/>
        </w:rPr>
        <w:t xml:space="preserve"> adalah uji penerimaan di lokasi pembuat (laboratorium) sebelum perangkat dikirim. </w:t>
      </w:r>
      <w:r>
        <w:rPr>
          <w:b/>
          <w:i w:val="0"/>
          <w:sz w:val="20"/>
        </w:rPr>
        <w:t>SAT</w:t>
      </w:r>
      <w:r>
        <w:rPr>
          <w:b w:val="0"/>
          <w:i w:val="0"/>
          <w:sz w:val="20"/>
        </w:rPr>
        <w:t xml:space="preserve"> adalah uji yang setara di lokasi RU setelah instalasi — belum dilaksanakan dan tidak termasuk dalam laporan ini.</w:t>
      </w:r>
    </w:p>
    <w:p>
      <w:pPr>
        <w:pStyle w:val="Heading1"/>
      </w:pPr>
      <w:r>
        <w:rPr>
          <w:color w:val="1B2A4A"/>
        </w:rPr>
        <w:t>2. Perangkat dan konfigurasi uji</w:t>
      </w:r>
    </w:p>
    <w:tbl>
      <w:tblPr>
        <w:tblStyle w:val="TableGrid"/>
        <w:tblW w:type="auto" w:w="0"/>
        <w:tblLook w:firstColumn="1" w:firstRow="1" w:lastColumn="0" w:lastRow="0" w:noHBand="0" w:noVBand="1" w:val="04A0"/>
        <w:tblLayout w:type="fixed"/>
      </w:tblPr>
      <w:tblGrid>
        <w:gridCol w:w="2160"/>
        <w:gridCol w:w="2880"/>
        <w:gridCol w:w="4896"/>
      </w:tblGrid>
      <w:tr>
        <w:tc>
          <w:tcPr>
            <w:tcW w:type="dxa" w:w="2160"/>
            <w:shd w:val="clear" w:color="auto" w:fill="1B2A4A"/>
          </w:tcPr>
          <w:p>
            <w:pPr>
              <w:spacing w:after="20"/>
            </w:pPr>
            <w:r>
              <w:rPr>
                <w:b/>
                <w:color w:val="FFFFFF"/>
                <w:sz w:val="18"/>
              </w:rPr>
              <w:t>Perangkat</w:t>
            </w:r>
          </w:p>
        </w:tc>
        <w:tc>
          <w:tcPr>
            <w:tcW w:type="dxa" w:w="2880"/>
            <w:shd w:val="clear" w:color="auto" w:fill="1B2A4A"/>
          </w:tcPr>
          <w:p>
            <w:pPr>
              <w:spacing w:after="20"/>
            </w:pPr>
            <w:r>
              <w:rPr>
                <w:b/>
                <w:color w:val="FFFFFF"/>
                <w:sz w:val="18"/>
              </w:rPr>
              <w:t>Jumlah tersedia</w:t>
            </w:r>
          </w:p>
        </w:tc>
        <w:tc>
          <w:tcPr>
            <w:tcW w:type="dxa" w:w="4896"/>
            <w:shd w:val="clear" w:color="auto" w:fill="1B2A4A"/>
          </w:tcPr>
          <w:p>
            <w:pPr>
              <w:spacing w:after="20"/>
            </w:pPr>
            <w:r>
              <w:rPr>
                <w:b/>
                <w:color w:val="FFFFFF"/>
                <w:sz w:val="18"/>
              </w:rPr>
              <w:t>Dipakai dalam uji FAT</w:t>
            </w:r>
          </w:p>
        </w:tc>
      </w:tr>
      <w:tr>
        <w:tc>
          <w:tcPr>
            <w:tcW w:type="dxa" w:w="2160"/>
          </w:tcPr>
          <w:p>
            <w:pPr>
              <w:spacing w:after="20"/>
            </w:pPr>
            <w:r>
              <w:rPr>
                <w:b w:val="0"/>
                <w:i w:val="0"/>
                <w:sz w:val="18"/>
              </w:rPr>
              <w:t>Node sensor GLD</w:t>
            </w:r>
          </w:p>
        </w:tc>
        <w:tc>
          <w:tcPr>
            <w:tcW w:type="dxa" w:w="2880"/>
          </w:tcPr>
          <w:p>
            <w:pPr>
              <w:spacing w:after="20"/>
            </w:pPr>
            <w:r>
              <w:rPr>
                <w:b w:val="0"/>
                <w:i w:val="0"/>
                <w:sz w:val="18"/>
              </w:rPr>
              <w:t>4 unit (3 untuk RU IV + 1 cadangan)</w:t>
            </w:r>
          </w:p>
        </w:tc>
        <w:tc>
          <w:tcPr>
            <w:tcW w:type="dxa" w:w="4896"/>
          </w:tcPr>
          <w:p>
            <w:pPr>
              <w:spacing w:after="20"/>
            </w:pPr>
            <w:r>
              <w:rPr>
                <w:b w:val="0"/>
                <w:i w:val="0"/>
                <w:sz w:val="18"/>
              </w:rPr>
              <w:t>Uji real-time AI pada device 1001; uji CH dan downlink pada node beralamat 0xAA01 dan 0xF020</w:t>
            </w:r>
          </w:p>
        </w:tc>
      </w:tr>
      <w:tr>
        <w:tc>
          <w:tcPr>
            <w:tcW w:type="dxa" w:w="2160"/>
            <w:shd w:val="clear" w:color="auto" w:fill="FAFAF8"/>
          </w:tcPr>
          <w:p>
            <w:pPr>
              <w:spacing w:after="20"/>
            </w:pPr>
            <w:r>
              <w:rPr>
                <w:b w:val="0"/>
                <w:i w:val="0"/>
                <w:sz w:val="18"/>
              </w:rPr>
              <w:t>Cluster Head (CH)</w:t>
            </w:r>
          </w:p>
        </w:tc>
        <w:tc>
          <w:tcPr>
            <w:tcW w:type="dxa" w:w="2880"/>
            <w:shd w:val="clear" w:color="auto" w:fill="FAFAF8"/>
          </w:tcPr>
          <w:p>
            <w:pPr>
              <w:spacing w:after="20"/>
            </w:pPr>
            <w:r>
              <w:rPr>
                <w:b w:val="0"/>
                <w:i w:val="0"/>
                <w:sz w:val="18"/>
              </w:rPr>
              <w:t>16 unit (9 besar + 7 kecil)</w:t>
            </w:r>
          </w:p>
        </w:tc>
        <w:tc>
          <w:tcPr>
            <w:tcW w:type="dxa" w:w="4896"/>
            <w:shd w:val="clear" w:color="auto" w:fill="FAFAF8"/>
          </w:tcPr>
          <w:p>
            <w:pPr>
              <w:spacing w:after="20"/>
            </w:pPr>
            <w:r>
              <w:rPr>
                <w:b w:val="0"/>
                <w:i w:val="0"/>
                <w:sz w:val="18"/>
              </w:rPr>
              <w:t>3 unit pada uji failover dan alarm otomatis; 8 unit pada uji mesh 16 Juli 2026</w:t>
            </w:r>
          </w:p>
        </w:tc>
      </w:tr>
      <w:tr>
        <w:tc>
          <w:tcPr>
            <w:tcW w:type="dxa" w:w="2160"/>
          </w:tcPr>
          <w:p>
            <w:pPr>
              <w:spacing w:after="20"/>
            </w:pPr>
            <w:r>
              <w:rPr>
                <w:b w:val="0"/>
                <w:i w:val="0"/>
                <w:sz w:val="18"/>
              </w:rPr>
              <w:t>Gateway</w:t>
            </w:r>
          </w:p>
        </w:tc>
        <w:tc>
          <w:tcPr>
            <w:tcW w:type="dxa" w:w="2880"/>
          </w:tcPr>
          <w:p>
            <w:pPr>
              <w:spacing w:after="20"/>
            </w:pPr>
            <w:r>
              <w:rPr>
                <w:b w:val="0"/>
                <w:i w:val="0"/>
                <w:sz w:val="18"/>
              </w:rPr>
              <w:t>1 unit</w:t>
            </w:r>
          </w:p>
        </w:tc>
        <w:tc>
          <w:tcPr>
            <w:tcW w:type="dxa" w:w="4896"/>
          </w:tcPr>
          <w:p>
            <w:pPr>
              <w:spacing w:after="20"/>
            </w:pPr>
            <w:r>
              <w:rPr>
                <w:b w:val="0"/>
                <w:i w:val="0"/>
                <w:sz w:val="18"/>
              </w:rPr>
              <w:t>1 unit (radio mesh LoRa → Wi-Fi → MQTT)</w:t>
            </w:r>
          </w:p>
        </w:tc>
      </w:tr>
      <w:tr>
        <w:tc>
          <w:tcPr>
            <w:tcW w:type="dxa" w:w="2160"/>
            <w:shd w:val="clear" w:color="auto" w:fill="FAFAF8"/>
          </w:tcPr>
          <w:p>
            <w:pPr>
              <w:spacing w:after="20"/>
            </w:pPr>
            <w:r>
              <w:rPr>
                <w:b w:val="0"/>
                <w:i w:val="0"/>
                <w:sz w:val="18"/>
              </w:rPr>
              <w:t>Server laboratorium</w:t>
            </w:r>
          </w:p>
        </w:tc>
        <w:tc>
          <w:tcPr>
            <w:tcW w:type="dxa" w:w="2880"/>
            <w:shd w:val="clear" w:color="auto" w:fill="FAFAF8"/>
          </w:tcPr>
          <w:p>
            <w:pPr>
              <w:spacing w:after="20"/>
            </w:pPr>
            <w:r>
              <w:rPr>
                <w:b w:val="0"/>
                <w:i w:val="0"/>
                <w:sz w:val="18"/>
              </w:rPr>
              <w:t>1 set</w:t>
            </w:r>
          </w:p>
        </w:tc>
        <w:tc>
          <w:tcPr>
            <w:tcW w:type="dxa" w:w="4896"/>
            <w:shd w:val="clear" w:color="auto" w:fill="FAFAF8"/>
          </w:tcPr>
          <w:p>
            <w:pPr>
              <w:spacing w:after="20"/>
            </w:pPr>
            <w:r>
              <w:rPr>
                <w:b w:val="0"/>
                <w:i w:val="0"/>
                <w:sz w:val="18"/>
              </w:rPr>
              <w:t>MQTT broker, backend, dan dashboard</w:t>
            </w:r>
          </w:p>
        </w:tc>
      </w:tr>
    </w:tbl>
    <w:p>
      <w:pPr>
        <w:spacing w:after="40"/>
      </w:pPr>
    </w:p>
    <w:p>
      <w:pPr>
        <w:spacing w:after="120"/>
      </w:pPr>
      <w:r>
        <w:rPr>
          <w:b w:val="0"/>
          <w:i w:val="0"/>
          <w:sz w:val="19"/>
        </w:rPr>
        <w:t>Konfigurasi firmware dan parameter radio mengacu pada Technical Datasheet Rev 4.0 Lab IoT ITB (Whole System, Gas Leak Detector, Cluster Head, Gateway, Server).</w:t>
      </w:r>
    </w:p>
    <w:p>
      <w:pPr>
        <w:pStyle w:val="Heading1"/>
      </w:pPr>
      <w:r>
        <w:rPr>
          <w:color w:val="1B2A4A"/>
        </w:rPr>
        <w:t>3. Ringkasan hasil</w:t>
      </w:r>
    </w:p>
    <w:tbl>
      <w:tblPr>
        <w:tblStyle w:val="TableGrid"/>
        <w:tblW w:type="auto" w:w="0"/>
        <w:tblLook w:firstColumn="1" w:firstRow="1" w:lastColumn="0" w:lastRow="0" w:noHBand="0" w:noVBand="1" w:val="04A0"/>
        <w:tblLayout w:type="fixed"/>
      </w:tblPr>
      <w:tblGrid>
        <w:gridCol w:w="1007"/>
        <w:gridCol w:w="2736"/>
        <w:gridCol w:w="4608"/>
        <w:gridCol w:w="1584"/>
      </w:tblGrid>
      <w:tr>
        <w:tc>
          <w:tcPr>
            <w:tcW w:type="dxa" w:w="1008"/>
            <w:shd w:val="clear" w:color="auto" w:fill="1B2A4A"/>
          </w:tcPr>
          <w:p>
            <w:pPr>
              <w:spacing w:after="20"/>
            </w:pPr>
            <w:r>
              <w:rPr>
                <w:b/>
                <w:color w:val="FFFFFF"/>
                <w:sz w:val="17"/>
              </w:rPr>
              <w:t>No</w:t>
            </w:r>
          </w:p>
        </w:tc>
        <w:tc>
          <w:tcPr>
            <w:tcW w:type="dxa" w:w="2736"/>
            <w:shd w:val="clear" w:color="auto" w:fill="1B2A4A"/>
          </w:tcPr>
          <w:p>
            <w:pPr>
              <w:spacing w:after="20"/>
            </w:pPr>
            <w:r>
              <w:rPr>
                <w:b/>
                <w:color w:val="FFFFFF"/>
                <w:sz w:val="17"/>
              </w:rPr>
              <w:t>Item uji</w:t>
            </w:r>
          </w:p>
        </w:tc>
        <w:tc>
          <w:tcPr>
            <w:tcW w:type="dxa" w:w="4608"/>
            <w:shd w:val="clear" w:color="auto" w:fill="1B2A4A"/>
          </w:tcPr>
          <w:p>
            <w:pPr>
              <w:spacing w:after="20"/>
            </w:pPr>
            <w:r>
              <w:rPr>
                <w:b/>
                <w:color w:val="FFFFFF"/>
                <w:sz w:val="17"/>
              </w:rPr>
              <w:t>Hasil utama</w:t>
            </w:r>
          </w:p>
        </w:tc>
        <w:tc>
          <w:tcPr>
            <w:tcW w:type="dxa" w:w="1584"/>
            <w:shd w:val="clear" w:color="auto" w:fill="1B2A4A"/>
          </w:tcPr>
          <w:p>
            <w:pPr>
              <w:spacing w:after="20"/>
            </w:pPr>
            <w:r>
              <w:rPr>
                <w:b/>
                <w:color w:val="FFFFFF"/>
                <w:sz w:val="17"/>
              </w:rPr>
              <w:t>Status</w:t>
            </w:r>
          </w:p>
        </w:tc>
      </w:tr>
      <w:tr>
        <w:tc>
          <w:tcPr>
            <w:tcW w:type="dxa" w:w="1008"/>
          </w:tcPr>
          <w:p>
            <w:pPr>
              <w:spacing w:after="20"/>
            </w:pPr>
            <w:r>
              <w:rPr>
                <w:b w:val="0"/>
                <w:i w:val="0"/>
                <w:sz w:val="17"/>
              </w:rPr>
              <w:t>FAT-01</w:t>
            </w:r>
          </w:p>
        </w:tc>
        <w:tc>
          <w:tcPr>
            <w:tcW w:type="dxa" w:w="2736"/>
          </w:tcPr>
          <w:p>
            <w:pPr>
              <w:spacing w:after="20"/>
            </w:pPr>
            <w:r>
              <w:rPr>
                <w:b w:val="0"/>
                <w:i w:val="0"/>
                <w:sz w:val="17"/>
              </w:rPr>
              <w:t>Akuisisi 8 sensor gas dan perekaman data</w:t>
            </w:r>
          </w:p>
        </w:tc>
        <w:tc>
          <w:tcPr>
            <w:tcW w:type="dxa" w:w="4608"/>
          </w:tcPr>
          <w:p>
            <w:pPr>
              <w:spacing w:after="20"/>
            </w:pPr>
            <w:r>
              <w:rPr>
                <w:b w:val="0"/>
                <w:i w:val="0"/>
                <w:sz w:val="17"/>
              </w:rPr>
              <w:t>8/8 sensor terbaca; dataset 1.870 pembacaan unik</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FAT-02</w:t>
            </w:r>
          </w:p>
        </w:tc>
        <w:tc>
          <w:tcPr>
            <w:tcW w:type="dxa" w:w="2736"/>
            <w:shd w:val="clear" w:color="auto" w:fill="FAFAF8"/>
          </w:tcPr>
          <w:p>
            <w:pPr>
              <w:spacing w:after="20"/>
            </w:pPr>
            <w:r>
              <w:rPr>
                <w:b w:val="0"/>
                <w:i w:val="0"/>
                <w:sz w:val="17"/>
              </w:rPr>
              <w:t>Klasifikasi gas oleh AI di dalam perangkat (on-device)</w:t>
            </w:r>
          </w:p>
        </w:tc>
        <w:tc>
          <w:tcPr>
            <w:tcW w:type="dxa" w:w="4608"/>
            <w:shd w:val="clear" w:color="auto" w:fill="FAFAF8"/>
          </w:tcPr>
          <w:p>
            <w:pPr>
              <w:spacing w:after="20"/>
            </w:pPr>
            <w:r>
              <w:rPr>
                <w:b w:val="0"/>
                <w:i w:val="0"/>
                <w:sz w:val="17"/>
              </w:rPr>
              <w:t>AI berjalan di perangkat; uji real-time 97,65%; validasi model 99,73% (INT8 99,20%)</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FAT-03</w:t>
            </w:r>
          </w:p>
        </w:tc>
        <w:tc>
          <w:tcPr>
            <w:tcW w:type="dxa" w:w="2736"/>
          </w:tcPr>
          <w:p>
            <w:pPr>
              <w:spacing w:after="20"/>
            </w:pPr>
            <w:r>
              <w:rPr>
                <w:b w:val="0"/>
                <w:i w:val="0"/>
                <w:sz w:val="17"/>
              </w:rPr>
              <w:t>Komunikasi radio LoRa GLD ke Cluster Head</w:t>
            </w:r>
          </w:p>
        </w:tc>
        <w:tc>
          <w:tcPr>
            <w:tcW w:type="dxa" w:w="4608"/>
          </w:tcPr>
          <w:p>
            <w:pPr>
              <w:spacing w:after="20"/>
            </w:pPr>
            <w:r>
              <w:rPr>
                <w:b w:val="0"/>
                <w:i w:val="0"/>
                <w:sz w:val="17"/>
              </w:rPr>
              <w:t>PDR 100% pada 177 m dan 243 m jalur pandang bebas; batas jangkauan per hop teridentifikasi</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FAT-04</w:t>
            </w:r>
          </w:p>
        </w:tc>
        <w:tc>
          <w:tcPr>
            <w:tcW w:type="dxa" w:w="2736"/>
            <w:shd w:val="clear" w:color="auto" w:fill="FAFAF8"/>
          </w:tcPr>
          <w:p>
            <w:pPr>
              <w:spacing w:after="20"/>
            </w:pPr>
            <w:r>
              <w:rPr>
                <w:b w:val="0"/>
                <w:i w:val="0"/>
                <w:sz w:val="17"/>
              </w:rPr>
              <w:t>Jaringan mesh multi-hop dan failover Cluster Head</w:t>
            </w:r>
          </w:p>
        </w:tc>
        <w:tc>
          <w:tcPr>
            <w:tcW w:type="dxa" w:w="4608"/>
            <w:shd w:val="clear" w:color="auto" w:fill="FAFAF8"/>
          </w:tcPr>
          <w:p>
            <w:pPr>
              <w:spacing w:after="20"/>
            </w:pPr>
            <w:r>
              <w:rPr>
                <w:b w:val="0"/>
                <w:i w:val="0"/>
                <w:sz w:val="17"/>
              </w:rPr>
              <w:t>Mesh 8 CH, 3 lapis; failover tanpa kehilangan data; downlink berhasil</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FAT-05</w:t>
            </w:r>
          </w:p>
        </w:tc>
        <w:tc>
          <w:tcPr>
            <w:tcW w:type="dxa" w:w="2736"/>
          </w:tcPr>
          <w:p>
            <w:pPr>
              <w:spacing w:after="20"/>
            </w:pPr>
            <w:r>
              <w:rPr>
                <w:b w:val="0"/>
                <w:i w:val="0"/>
                <w:sz w:val="17"/>
              </w:rPr>
              <w:t>Integrasi end-to-end GLD – CH – Gateway – Server</w:t>
            </w:r>
          </w:p>
        </w:tc>
        <w:tc>
          <w:tcPr>
            <w:tcW w:type="dxa" w:w="4608"/>
          </w:tcPr>
          <w:p>
            <w:pPr>
              <w:spacing w:after="20"/>
            </w:pPr>
            <w:r>
              <w:rPr>
                <w:b w:val="0"/>
                <w:i w:val="0"/>
                <w:sz w:val="17"/>
              </w:rPr>
              <w:t>Data mengalir end-to-end GLD–CH–Gateway–Server</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FAT-06</w:t>
            </w:r>
          </w:p>
        </w:tc>
        <w:tc>
          <w:tcPr>
            <w:tcW w:type="dxa" w:w="2736"/>
            <w:shd w:val="clear" w:color="auto" w:fill="FAFAF8"/>
          </w:tcPr>
          <w:p>
            <w:pPr>
              <w:spacing w:after="20"/>
            </w:pPr>
            <w:r>
              <w:rPr>
                <w:b w:val="0"/>
                <w:i w:val="0"/>
                <w:sz w:val="17"/>
              </w:rPr>
              <w:t>Alarm otomatis (push alarm)</w:t>
            </w:r>
          </w:p>
        </w:tc>
        <w:tc>
          <w:tcPr>
            <w:tcW w:type="dxa" w:w="4608"/>
            <w:shd w:val="clear" w:color="auto" w:fill="FAFAF8"/>
          </w:tcPr>
          <w:p>
            <w:pPr>
              <w:spacing w:after="20"/>
            </w:pPr>
            <w:r>
              <w:rPr>
                <w:b w:val="0"/>
                <w:i w:val="0"/>
                <w:sz w:val="17"/>
              </w:rPr>
              <w:t>Alarm otomatis di server saat GLD disemprot LPG, tanpa permintaan data</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FAT-07</w:t>
            </w:r>
          </w:p>
        </w:tc>
        <w:tc>
          <w:tcPr>
            <w:tcW w:type="dxa" w:w="2736"/>
          </w:tcPr>
          <w:p>
            <w:pPr>
              <w:spacing w:after="20"/>
            </w:pPr>
            <w:r>
              <w:rPr>
                <w:b w:val="0"/>
                <w:i w:val="0"/>
                <w:sz w:val="17"/>
              </w:rPr>
              <w:t>Monitoring data dan alarm di dashboard</w:t>
            </w:r>
          </w:p>
        </w:tc>
        <w:tc>
          <w:tcPr>
            <w:tcW w:type="dxa" w:w="4608"/>
          </w:tcPr>
          <w:p>
            <w:pPr>
              <w:spacing w:after="20"/>
            </w:pPr>
            <w:r>
              <w:rPr>
                <w:b w:val="0"/>
                <w:i w:val="0"/>
                <w:sz w:val="17"/>
              </w:rPr>
              <w:t>Data dan alarm tampil di dashboard laboratorium</w:t>
            </w:r>
          </w:p>
        </w:tc>
        <w:tc>
          <w:tcPr>
            <w:tcW w:type="dxa" w:w="1584"/>
            <w:shd w:val="clear" w:color="auto" w:fill="EAF4EC"/>
          </w:tcPr>
          <w:p>
            <w:pPr>
              <w:spacing w:after="20"/>
            </w:pPr>
            <w:r>
              <w:rPr>
                <w:b/>
                <w:color w:val="2C6B33"/>
                <w:sz w:val="16"/>
              </w:rPr>
              <w:t>LULUS (LAB)</w:t>
            </w:r>
          </w:p>
        </w:tc>
      </w:tr>
    </w:tbl>
    <w:p>
      <w:pPr>
        <w:spacing w:after="40"/>
      </w:pPr>
    </w:p>
    <w:p>
      <w:pPr>
        <w:spacing w:after="120"/>
      </w:pPr>
      <w:r>
        <w:rPr>
          <w:b w:val="0"/>
          <w:i w:val="0"/>
          <w:color w:val="5B5B5B"/>
          <w:sz w:val="18"/>
        </w:rPr>
        <w:t>LULUS (LAB) = kriteria lulus terpenuhi pada pengujian laboratorium. Ketujuh item lulus. Penerimaan hasil uji dinyatakan melalui lembar pengesahan uji (Bagian 5).</w:t>
      </w:r>
    </w:p>
    <w:p>
      <w:pPr>
        <w:pStyle w:val="Heading1"/>
      </w:pPr>
      <w:r>
        <w:rPr>
          <w:color w:val="1B2A4A"/>
        </w:rPr>
        <w:t>4. Rincian per item uji</w:t>
      </w:r>
    </w:p>
    <w:p>
      <w:pPr>
        <w:pStyle w:val="Heading2"/>
      </w:pPr>
      <w:r>
        <w:rPr>
          <w:color w:val="1B2A4A"/>
        </w:rPr>
        <w:t>FAT-01 — Akuisisi 8 sensor gas dan perekaman data</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kedelapan sensor MQ pada node GLD terbaca valid dan datanya dapat direkam.</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Node GLD dinyalakan pada kondisi udara bersih dan paparan gas uji; pembacaan 8 kanal (MQ2, MQ3, MQ4, MQ5, MQ6, MQ7, MQ8, MQ135) direkam untuk penyusunan dataset.</w:t>
            </w:r>
          </w:p>
        </w:tc>
      </w:tr>
      <w:tr>
        <w:tc>
          <w:tcPr>
            <w:tcW w:type="dxa" w:w="2016"/>
          </w:tcPr>
          <w:p>
            <w:pPr>
              <w:spacing w:after="20"/>
            </w:pPr>
            <w:r>
              <w:rPr>
                <w:b w:val="0"/>
                <w:i w:val="0"/>
                <w:sz w:val="18"/>
              </w:rPr>
              <w:t>Kriteria lulus</w:t>
            </w:r>
          </w:p>
        </w:tc>
        <w:tc>
          <w:tcPr>
            <w:tcW w:type="dxa" w:w="7920"/>
          </w:tcPr>
          <w:p>
            <w:pPr>
              <w:spacing w:after="20"/>
            </w:pPr>
            <w:r>
              <w:rPr>
                <w:b w:val="0"/>
                <w:i w:val="0"/>
                <w:sz w:val="18"/>
              </w:rPr>
              <w:t>8 dari 8 kanal sensor menghasilkan pembacaan valid dan konsisten; data tersimpan.</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8 dari 8 kanal terbaca valid. Dataset pengembangan 1.870 pembacaan unik dari 8 sensor berhasil disusun pada 3 kondisi (LPG, CO₂, udara bersih), dibagi 80% latih / 20% uji.</w:t>
            </w:r>
          </w:p>
        </w:tc>
      </w:tr>
      <w:tr>
        <w:tc>
          <w:tcPr>
            <w:tcW w:type="dxa" w:w="2016"/>
          </w:tcPr>
          <w:p>
            <w:pPr>
              <w:spacing w:after="20"/>
            </w:pPr>
            <w:r>
              <w:rPr>
                <w:b w:val="0"/>
                <w:i w:val="0"/>
                <w:sz w:val="18"/>
              </w:rPr>
              <w:t>Bukti</w:t>
            </w:r>
          </w:p>
        </w:tc>
        <w:tc>
          <w:tcPr>
            <w:tcW w:type="dxa" w:w="7920"/>
          </w:tcPr>
          <w:p>
            <w:pPr>
              <w:spacing w:after="20"/>
            </w:pPr>
            <w:r>
              <w:rPr>
                <w:b w:val="0"/>
                <w:i w:val="0"/>
                <w:sz w:val="18"/>
              </w:rPr>
              <w:t>Presentasi hasil model CNN Dual-Branch (slide 4: data yang digunakan); dataset Lab IoT ITB.</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FAT-02 — Klasifikasi gas oleh AI di dalam perangkat (on-device)</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model AI berjalan langsung di ESP32-S3 dan mengklasifikasikan kondisi gas dengan akurat.</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(a) Validasi model pada dataset pengembangan: model dilatih dan diuji pada data yang belum pernah dilihat, lalu dikuantisasi INT8 agar muat di ESP32-S3. (b) Uji real-time di perangkat: model ditanam di firmware dan dijalankan di board ESP32-S3 (device 1001) terhadap gas sebenarnya.</w:t>
            </w:r>
          </w:p>
        </w:tc>
      </w:tr>
      <w:tr>
        <w:tc>
          <w:tcPr>
            <w:tcW w:type="dxa" w:w="2016"/>
          </w:tcPr>
          <w:p>
            <w:pPr>
              <w:spacing w:after="20"/>
            </w:pPr>
            <w:r>
              <w:rPr>
                <w:b w:val="0"/>
                <w:i w:val="0"/>
                <w:sz w:val="18"/>
              </w:rPr>
              <w:t>Kriteria lulus</w:t>
            </w:r>
          </w:p>
        </w:tc>
        <w:tc>
          <w:tcPr>
            <w:tcW w:type="dxa" w:w="7920"/>
          </w:tcPr>
          <w:p>
            <w:pPr>
              <w:spacing w:after="20"/>
            </w:pPr>
            <w:r>
              <w:rPr>
                <w:b w:val="0"/>
                <w:i w:val="0"/>
                <w:sz w:val="18"/>
              </w:rPr>
              <w:t>Model berjalan di ESP32-S3 tanpa server dan menghasilkan klasifikasi benar pada uji real-time (KPI proposal: Classification Accuracy).</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(a) Dataset pengembangan (LPG, CO₂, udara bersih): akurasi data uji 99,73% (374 data, F1 rata-rata 99,56%); setelah kuantisasi INT8 (9,14 KB) 99,20%. (b) Konfigurasi model di perangkat sesuai Technical Datasheet Rev 4.0 (4 September 2026): label Clean Air, LPG, dan H2 beserta nilai confidence. Uji real-time di perangkat ±11,7 menit nonstop, 1.176 pembacaan, akurasi 97,65% (H2 presisi 98,4%; udara bersih 96,9%). Deteksi LPG di perangkat dibuktikan pada FAT-06.</w:t>
            </w:r>
          </w:p>
        </w:tc>
      </w:tr>
      <w:tr>
        <w:tc>
          <w:tcPr>
            <w:tcW w:type="dxa" w:w="2016"/>
          </w:tcPr>
          <w:p>
            <w:pPr>
              <w:spacing w:after="20"/>
            </w:pPr>
            <w:r>
              <w:rPr>
                <w:b w:val="0"/>
                <w:i w:val="0"/>
                <w:sz w:val="18"/>
              </w:rPr>
              <w:t>Bukti</w:t>
            </w:r>
          </w:p>
        </w:tc>
        <w:tc>
          <w:tcPr>
            <w:tcW w:type="dxa" w:w="7920"/>
          </w:tcPr>
          <w:p>
            <w:pPr>
              <w:spacing w:after="20"/>
            </w:pPr>
            <w:r>
              <w:rPr>
                <w:b w:val="0"/>
                <w:i w:val="0"/>
                <w:sz w:val="18"/>
              </w:rPr>
              <w:t>Presentasi hasil model CNN Dual-Branch (slide 8–10); Technical Datasheet Rev 4.0 Gas Leak Detector (bagian 4.1, keluaran klasifikasi); Laporan Uji Laboratorium 01.</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FAT-03 — Komunikasi radio LoRa GLD ke Cluster Head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GLD terkirim ke Cluster Head (CH) pada jarak dan kondisi lingkungan nyata.</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Pengirim ditempatkan di beberapa titik kampus ITB dengan jarak berbeda; RSSI, SNR, dan packet delivery ratio (PDR) dicatat per titik (100 paket per titik).</w:t>
            </w:r>
          </w:p>
        </w:tc>
      </w:tr>
      <w:tr>
        <w:tc>
          <w:tcPr>
            <w:tcW w:type="dxa" w:w="2016"/>
          </w:tcPr>
          <w:p>
            <w:pPr>
              <w:spacing w:after="20"/>
            </w:pPr>
            <w:r>
              <w:rPr>
                <w:b w:val="0"/>
                <w:i w:val="0"/>
                <w:sz w:val="18"/>
              </w:rPr>
              <w:t>Kriteria lulus</w:t>
            </w:r>
          </w:p>
        </w:tc>
        <w:tc>
          <w:tcPr>
            <w:tcW w:type="dxa" w:w="7920"/>
          </w:tcPr>
          <w:p>
            <w:pPr>
              <w:spacing w:after="20"/>
            </w:pPr>
            <w:r>
              <w:rPr>
                <w:b w:val="0"/>
                <w:i w:val="0"/>
                <w:sz w:val="18"/>
              </w:rPr>
              <w:t>PDR 100% pada link jalur pandang bebas antar-hop, dan batas jangkauan per hop teridentifikasi sebagai dasar penempatan GLD dan CH.</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PDR 100% pada link jalur pandang bebas 177 m (depan LFT) dan 243 m (Gerbang Utara). Batas jangkauan teridentifikasi: PDR 87% pada 201 m terhalang gedung (STEI Lt.2); link putus di atas ±340 m atau saat terhalang berat. Jarak antar-hop di lokasi ditetapkan di bawah batas ini dan jangkauan diperluas dengan jaringan mesh multi-hop (FAT-04).</w:t>
            </w:r>
          </w:p>
        </w:tc>
      </w:tr>
      <w:tr>
        <w:tc>
          <w:tcPr>
            <w:tcW w:type="dxa" w:w="2016"/>
          </w:tcPr>
          <w:p>
            <w:pPr>
              <w:spacing w:after="20"/>
            </w:pPr>
            <w:r>
              <w:rPr>
                <w:b w:val="0"/>
                <w:i w:val="0"/>
                <w:sz w:val="18"/>
              </w:rPr>
              <w:t>Bukti</w:t>
            </w:r>
          </w:p>
        </w:tc>
        <w:tc>
          <w:tcPr>
            <w:tcW w:type="dxa" w:w="7920"/>
          </w:tcPr>
          <w:p>
            <w:pPr>
              <w:spacing w:after="20"/>
            </w:pPr>
            <w:r>
              <w:rPr>
                <w:b w:val="0"/>
                <w:i w:val="0"/>
                <w:sz w:val="18"/>
              </w:rPr>
              <w:t>Lembar kerja uji sinyal LoRa (Test Sinyal LoRa.xlsx).</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FAT-04 — Jaringan mesh multi-hop dan failover Cluster Head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CH dapat saling meneruskan data (multi-hop) dan jaringan pulih saat satu CH mati.</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8 CH dipasang se-kampus ITB dalam 3 lapis menuju Gateway; satu CH dimatikan untuk menguji pengalihan jalur; perintah downlink dikirim dari Gateway ke GLD melalui mesh.</w:t>
            </w:r>
          </w:p>
        </w:tc>
      </w:tr>
      <w:tr>
        <w:tc>
          <w:tcPr>
            <w:tcW w:type="dxa" w:w="2016"/>
          </w:tcPr>
          <w:p>
            <w:pPr>
              <w:spacing w:after="20"/>
            </w:pPr>
            <w:r>
              <w:rPr>
                <w:b w:val="0"/>
                <w:i w:val="0"/>
                <w:sz w:val="18"/>
              </w:rPr>
              <w:t>Kriteria lulus</w:t>
            </w:r>
          </w:p>
        </w:tc>
        <w:tc>
          <w:tcPr>
            <w:tcW w:type="dxa" w:w="7920"/>
          </w:tcPr>
          <w:p>
            <w:pPr>
              <w:spacing w:after="20"/>
            </w:pPr>
            <w:r>
              <w:rPr>
                <w:b w:val="0"/>
                <w:i w:val="0"/>
                <w:sz w:val="18"/>
              </w:rPr>
              <w:t>Semua CH terhubung ke Gateway; saat satu CH mati, node berpindah jalur tanpa kehilangan data; downlink sampai ke GLD.</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Topologi 3 lapis terbentuk (kedalaman rute 1–3); saat CH2 dimatikan, CH1 berpindah langsung ke Gateway tanpa kehilangan data; downlink Gateway→CH→GLD berhasil melalui mesh.</w:t>
            </w:r>
          </w:p>
        </w:tc>
      </w:tr>
      <w:tr>
        <w:tc>
          <w:tcPr>
            <w:tcW w:type="dxa" w:w="2016"/>
          </w:tcPr>
          <w:p>
            <w:pPr>
              <w:spacing w:after="20"/>
            </w:pPr>
            <w:r>
              <w:rPr>
                <w:b w:val="0"/>
                <w:i w:val="0"/>
                <w:sz w:val="18"/>
              </w:rPr>
              <w:t>Bukti</w:t>
            </w:r>
          </w:p>
        </w:tc>
        <w:tc>
          <w:tcPr>
            <w:tcW w:type="dxa" w:w="7920"/>
          </w:tcPr>
          <w:p>
            <w:pPr>
              <w:spacing w:after="20"/>
            </w:pPr>
            <w:r>
              <w:rPr>
                <w:b w:val="0"/>
                <w:i w:val="0"/>
                <w:sz w:val="18"/>
              </w:rPr>
              <w:t>Kutipan catatan uji Lab IoT ITB: uji CH dan failover (Mei 2026), uji mesh 8 CH dan downlink (16 Juli 2026); Laporan Uji Laboratorium 03.</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FAT-05 — Integrasi end-to-end GLD – CH – Gateway – Server</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mengalir utuh dari node sensor sampai server.</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Rangkaian lengkap GLD, CH, Gateway, dan server (MQTT broker + backend) dijalankan bersama.</w:t>
            </w:r>
          </w:p>
        </w:tc>
      </w:tr>
      <w:tr>
        <w:tc>
          <w:tcPr>
            <w:tcW w:type="dxa" w:w="2016"/>
          </w:tcPr>
          <w:p>
            <w:pPr>
              <w:spacing w:after="20"/>
            </w:pPr>
            <w:r>
              <w:rPr>
                <w:b w:val="0"/>
                <w:i w:val="0"/>
                <w:sz w:val="18"/>
              </w:rPr>
              <w:t>Kriteria lulus</w:t>
            </w:r>
          </w:p>
        </w:tc>
        <w:tc>
          <w:tcPr>
            <w:tcW w:type="dxa" w:w="7920"/>
          </w:tcPr>
          <w:p>
            <w:pPr>
              <w:spacing w:after="20"/>
            </w:pPr>
            <w:r>
              <w:rPr>
                <w:b w:val="0"/>
                <w:i w:val="0"/>
                <w:sz w:val="18"/>
              </w:rPr>
              <w:t>Data node diterima server melalui seluruh rantai tanpa intervensi manual.</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Rantai GLD–CH–Gateway–Server berjalan end-to-end di laboratorium (uji fungsional 16 Juli 2026).</w:t>
            </w:r>
          </w:p>
        </w:tc>
      </w:tr>
      <w:tr>
        <w:tc>
          <w:tcPr>
            <w:tcW w:type="dxa" w:w="2016"/>
          </w:tcPr>
          <w:p>
            <w:pPr>
              <w:spacing w:after="20"/>
            </w:pPr>
            <w:r>
              <w:rPr>
                <w:b w:val="0"/>
                <w:i w:val="0"/>
                <w:sz w:val="18"/>
              </w:rPr>
              <w:t>Bukti</w:t>
            </w:r>
          </w:p>
        </w:tc>
        <w:tc>
          <w:tcPr>
            <w:tcW w:type="dxa" w:w="7920"/>
          </w:tcPr>
          <w:p>
            <w:pPr>
              <w:spacing w:after="20"/>
            </w:pPr>
            <w:r>
              <w:rPr>
                <w:b w:val="0"/>
                <w:i w:val="0"/>
                <w:sz w:val="18"/>
              </w:rPr>
              <w:t>Catatan uji fungsional 16 Juli 2026; Technical Datasheet Rev 4.0 (Whole System, Gateway, Server).</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FAT-06 — Alarm otomatis (push alarm)</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kebocoran gas memicu alarm di server secara otomatis, tanpa menunggu permintaan data.</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Pada konfigurasi Gateway + 3 CH, GLD disemprot gas LPG; status di server diamati.</w:t>
            </w:r>
          </w:p>
        </w:tc>
      </w:tr>
      <w:tr>
        <w:tc>
          <w:tcPr>
            <w:tcW w:type="dxa" w:w="2016"/>
          </w:tcPr>
          <w:p>
            <w:pPr>
              <w:spacing w:after="20"/>
            </w:pPr>
            <w:r>
              <w:rPr>
                <w:b w:val="0"/>
                <w:i w:val="0"/>
                <w:sz w:val="18"/>
              </w:rPr>
              <w:t>Kriteria lulus</w:t>
            </w:r>
          </w:p>
        </w:tc>
        <w:tc>
          <w:tcPr>
            <w:tcW w:type="dxa" w:w="7920"/>
          </w:tcPr>
          <w:p>
            <w:pPr>
              <w:spacing w:after="20"/>
            </w:pPr>
            <w:r>
              <w:rPr>
                <w:b w:val="0"/>
                <w:i w:val="0"/>
                <w:sz w:val="18"/>
              </w:rPr>
              <w:t>Status server berubah menjadi alarm secara otomatis, tanpa permintaan data dari server (push).</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Status server berubah menjadi alarm secara otomatis tanpa permintaan data dari server (uji 6–8 Agustus 2026). Keputusan alarm diambil di node oleh AI di perangkat, lalu dikirim langsung ke server. Waktu respons tidak diukur dengan pencatat waktu pada uji ini; interval laporan radio sesuai desain adalah 10 detik (Technical Datasheet Rev 4.0). Waktu respons terhadap KPI proposal (≤30 detik) diukur pada Site Acceptance Test di lokasi.</w:t>
            </w:r>
          </w:p>
        </w:tc>
      </w:tr>
      <w:tr>
        <w:tc>
          <w:tcPr>
            <w:tcW w:type="dxa" w:w="2016"/>
          </w:tcPr>
          <w:p>
            <w:pPr>
              <w:spacing w:after="20"/>
            </w:pPr>
            <w:r>
              <w:rPr>
                <w:b w:val="0"/>
                <w:i w:val="0"/>
                <w:sz w:val="18"/>
              </w:rPr>
              <w:t>Bukti</w:t>
            </w:r>
          </w:p>
        </w:tc>
        <w:tc>
          <w:tcPr>
            <w:tcW w:type="dxa" w:w="7920"/>
          </w:tcPr>
          <w:p>
            <w:pPr>
              <w:spacing w:after="20"/>
            </w:pPr>
            <w:r>
              <w:rPr>
                <w:b w:val="0"/>
                <w:i w:val="0"/>
                <w:sz w:val="18"/>
              </w:rPr>
              <w:t>Demo uji mesh kampus 6–8 Agustus 2026, disaksikan saat kunjungan Pertamina 6 Agustus 2026.</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FAT-07 — Monitoring data dan alarm di dashboard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sensor dan alarm dapat dipantau pada aplikasi.</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Data dan alarm dari rangkaian uji ditampilkan di server/dashboard laboratorium.</w:t>
            </w:r>
          </w:p>
        </w:tc>
      </w:tr>
      <w:tr>
        <w:tc>
          <w:tcPr>
            <w:tcW w:type="dxa" w:w="2016"/>
          </w:tcPr>
          <w:p>
            <w:pPr>
              <w:spacing w:after="20"/>
            </w:pPr>
            <w:r>
              <w:rPr>
                <w:b w:val="0"/>
                <w:i w:val="0"/>
                <w:sz w:val="18"/>
              </w:rPr>
              <w:t>Kriteria lulus</w:t>
            </w:r>
          </w:p>
        </w:tc>
        <w:tc>
          <w:tcPr>
            <w:tcW w:type="dxa" w:w="7920"/>
          </w:tcPr>
          <w:p>
            <w:pPr>
              <w:spacing w:after="20"/>
            </w:pPr>
            <w:r>
              <w:rPr>
                <w:b w:val="0"/>
                <w:i w:val="0"/>
                <w:sz w:val="18"/>
              </w:rPr>
              <w:t>Data dan status alarm tiap node tampil di dashboard.</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Data dan status alarm tiap node tampil di dashboard laboratorium. Masukan Pertamina pada rapat 6 Agustus 2026 (kolom Area dan identitas peralatan, tampilan ppm real-time) merupakan penyesuaian tampilan aplikasi untuk lokasi; tidak termasuk kriteria FAT-07 dan dikerjakan pada konfigurasi aplikasi di lokasi.</w:t>
            </w:r>
          </w:p>
        </w:tc>
      </w:tr>
      <w:tr>
        <w:tc>
          <w:tcPr>
            <w:tcW w:type="dxa" w:w="2016"/>
          </w:tcPr>
          <w:p>
            <w:pPr>
              <w:spacing w:after="20"/>
            </w:pPr>
            <w:r>
              <w:rPr>
                <w:b w:val="0"/>
                <w:i w:val="0"/>
                <w:sz w:val="18"/>
              </w:rPr>
              <w:t>Bukti</w:t>
            </w:r>
          </w:p>
        </w:tc>
        <w:tc>
          <w:tcPr>
            <w:tcW w:type="dxa" w:w="7920"/>
          </w:tcPr>
          <w:p>
            <w:pPr>
              <w:spacing w:after="20"/>
            </w:pPr>
            <w:r>
              <w:rPr>
                <w:b w:val="0"/>
                <w:i w:val="0"/>
                <w:sz w:val="18"/>
              </w:rPr>
              <w:t>Demo dashboard saat kunjungan 6 Agustus 2026; notulen rapat 6 Agustus 2026 (butir 19–21).</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1"/>
      </w:pPr>
      <w:r>
        <w:rPr>
          <w:color w:val="1B2A4A"/>
        </w:rPr>
        <w:t>5. Lembar pengesahan uji</w:t>
      </w:r>
    </w:p>
    <w:p>
      <w:pPr>
        <w:spacing w:after="120"/>
      </w:pPr>
      <w:r>
        <w:rPr>
          <w:b w:val="0"/>
          <w:i w:val="0"/>
          <w:sz w:val="19"/>
        </w:rPr>
        <w:t>Dengan ditandatanganinya lembar ini, para pihak menyatakan telah memeriksa dan/atau menyaksikan hasil Factory Acceptance Test FAT-01 sampai FAT-07 sebagaimana diuraikan dalam laporan ini.</w:t>
      </w:r>
    </w:p>
    <w:tbl>
      <w:tblPr>
        <w:tblStyle w:val="TableGrid"/>
        <w:tblW w:type="auto" w:w="0"/>
        <w:tblLook w:firstColumn="1" w:firstRow="1" w:lastColumn="0" w:lastRow="0" w:noHBand="0" w:noVBand="1" w:val="04A0"/>
        <w:tblLayout w:type="fixed"/>
      </w:tblPr>
      <w:tblGrid>
        <w:gridCol w:w="3311"/>
        <w:gridCol w:w="3311"/>
        <w:gridCol w:w="3311"/>
      </w:tblGrid>
      <w:tr>
        <w:tc>
          <w:tcPr>
            <w:tcW w:type="dxa" w:w="3312"/>
            <w:shd w:val="clear" w:color="auto" w:fill="EFEFEC"/>
          </w:tcPr>
          <w:p>
            <w:r>
              <w:rPr>
                <w:b/>
                <w:sz w:val="18"/>
              </w:rPr>
              <w:t>Disiapkan oleh</w:t>
              <w:br/>
              <w:t>PT LAPI Ganesha Utama</w:t>
            </w:r>
          </w:p>
        </w:tc>
        <w:tc>
          <w:tcPr>
            <w:tcW w:type="dxa" w:w="3312"/>
            <w:shd w:val="clear" w:color="auto" w:fill="EFEFEC"/>
          </w:tcPr>
          <w:p>
            <w:r>
              <w:rPr>
                <w:b/>
                <w:sz w:val="18"/>
              </w:rPr>
              <w:t>Diperiksa oleh</w:t>
              <w:br/>
              <w:t>Lab IoT ITB</w:t>
            </w:r>
          </w:p>
        </w:tc>
        <w:tc>
          <w:tcPr>
            <w:tcW w:type="dxa" w:w="3312"/>
            <w:shd w:val="clear" w:color="auto" w:fill="EFEFEC"/>
          </w:tcPr>
          <w:p>
            <w:r>
              <w:rPr>
                <w:b/>
                <w:sz w:val="18"/>
              </w:rPr>
              <w:t>Disaksikan dan diterima oleh</w:t>
              <w:br/>
              <w:t>PT Pertamina Patra Niaga</w:t>
            </w:r>
          </w:p>
        </w:tc>
      </w:tr>
      <w:tr>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r>
    </w:tbl>
    <w:p>
      <w:pPr>
        <w:spacing w:after="80"/>
      </w:pPr>
    </w:p>
    <w:p>
      <w:pPr>
        <w:pStyle w:val="Heading1"/>
      </w:pPr>
      <w:r>
        <w:rPr>
          <w:color w:val="1B2A4A"/>
        </w:rPr>
        <w:t>Lampiran — Daftar bukti</w:t>
      </w:r>
    </w:p>
    <w:tbl>
      <w:tblPr>
        <w:tblStyle w:val="TableGrid"/>
        <w:tblW w:type="auto" w:w="0"/>
        <w:tblLook w:firstColumn="1" w:firstRow="1" w:lastColumn="0" w:lastRow="0" w:noHBand="0" w:noVBand="1" w:val="04A0"/>
        <w:tblLayout w:type="fixed"/>
      </w:tblPr>
      <w:tblGrid>
        <w:gridCol w:w="576"/>
        <w:gridCol w:w="6623"/>
        <w:gridCol w:w="2736"/>
      </w:tblGrid>
      <w:tr>
        <w:tc>
          <w:tcPr>
            <w:tcW w:type="dxa" w:w="576"/>
            <w:shd w:val="clear" w:color="auto" w:fill="1B2A4A"/>
          </w:tcPr>
          <w:p>
            <w:pPr>
              <w:spacing w:after="20"/>
            </w:pPr>
            <w:r>
              <w:rPr>
                <w:b/>
                <w:color w:val="FFFFFF"/>
                <w:sz w:val="18"/>
              </w:rPr>
              <w:t>No</w:t>
            </w:r>
          </w:p>
        </w:tc>
        <w:tc>
          <w:tcPr>
            <w:tcW w:type="dxa" w:w="6624"/>
            <w:shd w:val="clear" w:color="auto" w:fill="1B2A4A"/>
          </w:tcPr>
          <w:p>
            <w:pPr>
              <w:spacing w:after="20"/>
            </w:pPr>
            <w:r>
              <w:rPr>
                <w:b/>
                <w:color w:val="FFFFFF"/>
                <w:sz w:val="18"/>
              </w:rPr>
              <w:t>Bukti</w:t>
            </w:r>
          </w:p>
        </w:tc>
        <w:tc>
          <w:tcPr>
            <w:tcW w:type="dxa" w:w="2736"/>
            <w:shd w:val="clear" w:color="auto" w:fill="1B2A4A"/>
          </w:tcPr>
          <w:p>
            <w:pPr>
              <w:spacing w:after="20"/>
            </w:pPr>
            <w:r>
              <w:rPr>
                <w:b/>
                <w:color w:val="FFFFFF"/>
                <w:sz w:val="18"/>
              </w:rPr>
              <w:t>Item terkait</w:t>
            </w:r>
          </w:p>
        </w:tc>
      </w:tr>
      <w:tr>
        <w:tc>
          <w:tcPr>
            <w:tcW w:type="dxa" w:w="576"/>
          </w:tcPr>
          <w:p>
            <w:pPr>
              <w:spacing w:after="20"/>
            </w:pPr>
            <w:r>
              <w:rPr>
                <w:b w:val="0"/>
                <w:i w:val="0"/>
                <w:sz w:val="18"/>
              </w:rPr>
              <w:t>1</w:t>
            </w:r>
          </w:p>
        </w:tc>
        <w:tc>
          <w:tcPr>
            <w:tcW w:type="dxa" w:w="6624"/>
          </w:tcPr>
          <w:p>
            <w:pPr>
              <w:spacing w:after="20"/>
            </w:pPr>
            <w:r>
              <w:rPr>
                <w:b w:val="0"/>
                <w:i w:val="0"/>
                <w:sz w:val="18"/>
              </w:rPr>
              <w:t>Notulen rapat 6 Agustus 2026 di Lab IoT ITB (kehadiran PT Pertamina Patra Niaga)</w:t>
            </w:r>
          </w:p>
        </w:tc>
        <w:tc>
          <w:tcPr>
            <w:tcW w:type="dxa" w:w="2736"/>
          </w:tcPr>
          <w:p>
            <w:pPr>
              <w:spacing w:after="20"/>
            </w:pPr>
            <w:r>
              <w:rPr>
                <w:b w:val="0"/>
                <w:i w:val="0"/>
                <w:sz w:val="18"/>
              </w:rPr>
              <w:t>Witness, FAT-06, FAT-07</w:t>
            </w:r>
          </w:p>
        </w:tc>
      </w:tr>
      <w:tr>
        <w:tc>
          <w:tcPr>
            <w:tcW w:type="dxa" w:w="576"/>
            <w:shd w:val="clear" w:color="auto" w:fill="FAFAF8"/>
          </w:tcPr>
          <w:p>
            <w:pPr>
              <w:spacing w:after="20"/>
            </w:pPr>
            <w:r>
              <w:rPr>
                <w:b w:val="0"/>
                <w:i w:val="0"/>
                <w:sz w:val="18"/>
              </w:rPr>
              <w:t>2</w:t>
            </w:r>
          </w:p>
        </w:tc>
        <w:tc>
          <w:tcPr>
            <w:tcW w:type="dxa" w:w="6624"/>
            <w:shd w:val="clear" w:color="auto" w:fill="FAFAF8"/>
          </w:tcPr>
          <w:p>
            <w:pPr>
              <w:spacing w:after="20"/>
            </w:pPr>
            <w:r>
              <w:rPr>
                <w:b w:val="0"/>
                <w:i w:val="0"/>
                <w:sz w:val="18"/>
              </w:rPr>
              <w:t>Presentasi hasil model CNN Dual-Branch (6 Agustus 2026)</w:t>
            </w:r>
          </w:p>
        </w:tc>
        <w:tc>
          <w:tcPr>
            <w:tcW w:type="dxa" w:w="2736"/>
            <w:shd w:val="clear" w:color="auto" w:fill="FAFAF8"/>
          </w:tcPr>
          <w:p>
            <w:pPr>
              <w:spacing w:after="20"/>
            </w:pPr>
            <w:r>
              <w:rPr>
                <w:b w:val="0"/>
                <w:i w:val="0"/>
                <w:sz w:val="18"/>
              </w:rPr>
              <w:t>FAT-01, FAT-02</w:t>
            </w:r>
          </w:p>
        </w:tc>
      </w:tr>
      <w:tr>
        <w:tc>
          <w:tcPr>
            <w:tcW w:type="dxa" w:w="576"/>
          </w:tcPr>
          <w:p>
            <w:pPr>
              <w:spacing w:after="20"/>
            </w:pPr>
            <w:r>
              <w:rPr>
                <w:b w:val="0"/>
                <w:i w:val="0"/>
                <w:sz w:val="18"/>
              </w:rPr>
              <w:t>3</w:t>
            </w:r>
          </w:p>
        </w:tc>
        <w:tc>
          <w:tcPr>
            <w:tcW w:type="dxa" w:w="6624"/>
          </w:tcPr>
          <w:p>
            <w:pPr>
              <w:spacing w:after="20"/>
            </w:pPr>
            <w:r>
              <w:rPr>
                <w:b w:val="0"/>
                <w:i w:val="0"/>
                <w:sz w:val="18"/>
              </w:rPr>
              <w:t>Lembar kerja uji sinyal LoRa (RSSI, SNR, PDR per titik)</w:t>
            </w:r>
          </w:p>
        </w:tc>
        <w:tc>
          <w:tcPr>
            <w:tcW w:type="dxa" w:w="2736"/>
          </w:tcPr>
          <w:p>
            <w:pPr>
              <w:spacing w:after="20"/>
            </w:pPr>
            <w:r>
              <w:rPr>
                <w:b w:val="0"/>
                <w:i w:val="0"/>
                <w:sz w:val="18"/>
              </w:rPr>
              <w:t>FAT-03</w:t>
            </w:r>
          </w:p>
        </w:tc>
      </w:tr>
      <w:tr>
        <w:tc>
          <w:tcPr>
            <w:tcW w:type="dxa" w:w="576"/>
            <w:shd w:val="clear" w:color="auto" w:fill="FAFAF8"/>
          </w:tcPr>
          <w:p>
            <w:pPr>
              <w:spacing w:after="20"/>
            </w:pPr>
            <w:r>
              <w:rPr>
                <w:b w:val="0"/>
                <w:i w:val="0"/>
                <w:sz w:val="18"/>
              </w:rPr>
              <w:t>4</w:t>
            </w:r>
          </w:p>
        </w:tc>
        <w:tc>
          <w:tcPr>
            <w:tcW w:type="dxa" w:w="6624"/>
            <w:shd w:val="clear" w:color="auto" w:fill="FAFAF8"/>
          </w:tcPr>
          <w:p>
            <w:pPr>
              <w:spacing w:after="20"/>
            </w:pPr>
            <w:r>
              <w:rPr>
                <w:b w:val="0"/>
                <w:i w:val="0"/>
                <w:sz w:val="18"/>
              </w:rPr>
              <w:t>Kutipan catatan uji Lab IoT ITB: uji CH dan failover (Mei 2026), baseline LoRa, uji mesh 8 CH dan downlink (16 Juli 2026)</w:t>
            </w:r>
          </w:p>
        </w:tc>
        <w:tc>
          <w:tcPr>
            <w:tcW w:type="dxa" w:w="2736"/>
            <w:shd w:val="clear" w:color="auto" w:fill="FAFAF8"/>
          </w:tcPr>
          <w:p>
            <w:pPr>
              <w:spacing w:after="20"/>
            </w:pPr>
            <w:r>
              <w:rPr>
                <w:b w:val="0"/>
                <w:i w:val="0"/>
                <w:sz w:val="18"/>
              </w:rPr>
              <w:t>FAT-03, FAT-04, FAT-05</w:t>
            </w:r>
          </w:p>
        </w:tc>
      </w:tr>
      <w:tr>
        <w:tc>
          <w:tcPr>
            <w:tcW w:type="dxa" w:w="576"/>
          </w:tcPr>
          <w:p>
            <w:pPr>
              <w:spacing w:after="20"/>
            </w:pPr>
            <w:r>
              <w:rPr>
                <w:b w:val="0"/>
                <w:i w:val="0"/>
                <w:sz w:val="18"/>
              </w:rPr>
              <w:t>5</w:t>
            </w:r>
          </w:p>
        </w:tc>
        <w:tc>
          <w:tcPr>
            <w:tcW w:type="dxa" w:w="6624"/>
          </w:tcPr>
          <w:p>
            <w:pPr>
              <w:spacing w:after="20"/>
            </w:pPr>
            <w:r>
              <w:rPr>
                <w:b w:val="0"/>
                <w:i w:val="0"/>
                <w:sz w:val="18"/>
              </w:rPr>
              <w:t>Technical Datasheet Rev 4.0 Lab IoT ITB (5 dokumen)</w:t>
            </w:r>
          </w:p>
        </w:tc>
        <w:tc>
          <w:tcPr>
            <w:tcW w:type="dxa" w:w="2736"/>
          </w:tcPr>
          <w:p>
            <w:pPr>
              <w:spacing w:after="20"/>
            </w:pPr>
            <w:r>
              <w:rPr>
                <w:b w:val="0"/>
                <w:i w:val="0"/>
                <w:sz w:val="18"/>
              </w:rPr>
              <w:t>FAT-02, FAT-05, FAT-06, konfigurasi</w:t>
            </w:r>
          </w:p>
        </w:tc>
      </w:tr>
      <w:tr>
        <w:tc>
          <w:tcPr>
            <w:tcW w:type="dxa" w:w="576"/>
            <w:shd w:val="clear" w:color="auto" w:fill="FAFAF8"/>
          </w:tcPr>
          <w:p>
            <w:pPr>
              <w:spacing w:after="20"/>
            </w:pPr>
            <w:r>
              <w:rPr>
                <w:b w:val="0"/>
                <w:i w:val="0"/>
                <w:sz w:val="18"/>
              </w:rPr>
              <w:t>6</w:t>
            </w:r>
          </w:p>
        </w:tc>
        <w:tc>
          <w:tcPr>
            <w:tcW w:type="dxa" w:w="6624"/>
            <w:shd w:val="clear" w:color="auto" w:fill="FAFAF8"/>
          </w:tcPr>
          <w:p>
            <w:pPr>
              <w:spacing w:after="20"/>
            </w:pPr>
            <w:r>
              <w:rPr>
                <w:b w:val="0"/>
                <w:i w:val="0"/>
                <w:sz w:val="18"/>
              </w:rPr>
              <w:t>Foto unit GLD terakit</w:t>
            </w:r>
          </w:p>
        </w:tc>
        <w:tc>
          <w:tcPr>
            <w:tcW w:type="dxa" w:w="2736"/>
            <w:shd w:val="clear" w:color="auto" w:fill="FAFAF8"/>
          </w:tcPr>
          <w:p>
            <w:pPr>
              <w:spacing w:after="20"/>
            </w:pPr>
            <w:r>
              <w:rPr>
                <w:b w:val="0"/>
                <w:i w:val="0"/>
                <w:sz w:val="18"/>
              </w:rPr>
              <w:t>Perangkat uji</w:t>
            </w:r>
          </w:p>
        </w:tc>
      </w:tr>
      <w:tr>
        <w:tc>
          <w:tcPr>
            <w:tcW w:type="dxa" w:w="576"/>
          </w:tcPr>
          <w:p>
            <w:pPr>
              <w:spacing w:after="20"/>
            </w:pPr>
            <w:r>
              <w:rPr>
                <w:b w:val="0"/>
                <w:i w:val="0"/>
                <w:sz w:val="18"/>
              </w:rPr>
              <w:t>7</w:t>
            </w:r>
          </w:p>
        </w:tc>
        <w:tc>
          <w:tcPr>
            <w:tcW w:type="dxa" w:w="6624"/>
          </w:tcPr>
          <w:p>
            <w:pPr>
              <w:spacing w:after="20"/>
            </w:pPr>
            <w:r>
              <w:rPr>
                <w:b w:val="0"/>
                <w:i w:val="0"/>
                <w:sz w:val="18"/>
              </w:rPr>
              <w:t>Laporan Uji Laboratorium 01 — Model AI (LGU/GLD/UJI-LAB/2026-001)</w:t>
            </w:r>
          </w:p>
        </w:tc>
        <w:tc>
          <w:tcPr>
            <w:tcW w:type="dxa" w:w="2736"/>
          </w:tcPr>
          <w:p>
            <w:pPr>
              <w:spacing w:after="20"/>
            </w:pPr>
            <w:r>
              <w:rPr>
                <w:b w:val="0"/>
                <w:i w:val="0"/>
                <w:sz w:val="18"/>
              </w:rPr>
              <w:t>FAT-01, FAT-02</w:t>
            </w:r>
          </w:p>
        </w:tc>
      </w:tr>
      <w:tr>
        <w:tc>
          <w:tcPr>
            <w:tcW w:type="dxa" w:w="576"/>
            <w:shd w:val="clear" w:color="auto" w:fill="FAFAF8"/>
          </w:tcPr>
          <w:p>
            <w:pPr>
              <w:spacing w:after="20"/>
            </w:pPr>
            <w:r>
              <w:rPr>
                <w:b w:val="0"/>
                <w:i w:val="0"/>
                <w:sz w:val="18"/>
              </w:rPr>
              <w:t>8</w:t>
            </w:r>
          </w:p>
        </w:tc>
        <w:tc>
          <w:tcPr>
            <w:tcW w:type="dxa" w:w="6624"/>
            <w:shd w:val="clear" w:color="auto" w:fill="FAFAF8"/>
          </w:tcPr>
          <w:p>
            <w:pPr>
              <w:spacing w:after="20"/>
            </w:pPr>
            <w:r>
              <w:rPr>
                <w:b w:val="0"/>
                <w:i w:val="0"/>
                <w:sz w:val="18"/>
              </w:rPr>
              <w:t>Laporan Uji Laboratorium 02 — Komunikasi LoRa (LGU/GLD/UJI-LAB/2026-002)</w:t>
            </w:r>
          </w:p>
        </w:tc>
        <w:tc>
          <w:tcPr>
            <w:tcW w:type="dxa" w:w="2736"/>
            <w:shd w:val="clear" w:color="auto" w:fill="FAFAF8"/>
          </w:tcPr>
          <w:p>
            <w:pPr>
              <w:spacing w:after="20"/>
            </w:pPr>
            <w:r>
              <w:rPr>
                <w:b w:val="0"/>
                <w:i w:val="0"/>
                <w:sz w:val="18"/>
              </w:rPr>
              <w:t>FAT-03</w:t>
            </w:r>
          </w:p>
        </w:tc>
      </w:tr>
      <w:tr>
        <w:tc>
          <w:tcPr>
            <w:tcW w:type="dxa" w:w="576"/>
          </w:tcPr>
          <w:p>
            <w:pPr>
              <w:spacing w:after="20"/>
            </w:pPr>
            <w:r>
              <w:rPr>
                <w:b w:val="0"/>
                <w:i w:val="0"/>
                <w:sz w:val="18"/>
              </w:rPr>
              <w:t>9</w:t>
            </w:r>
          </w:p>
        </w:tc>
        <w:tc>
          <w:tcPr>
            <w:tcW w:type="dxa" w:w="6624"/>
          </w:tcPr>
          <w:p>
            <w:pPr>
              <w:spacing w:after="20"/>
            </w:pPr>
            <w:r>
              <w:rPr>
                <w:b w:val="0"/>
                <w:i w:val="0"/>
                <w:sz w:val="18"/>
              </w:rPr>
              <w:t>Laporan Uji Laboratorium 03 — Mesh, Failover, Downlink &amp; Integrasi (LGU/GLD/UJI-LAB/2026-003)</w:t>
            </w:r>
          </w:p>
        </w:tc>
        <w:tc>
          <w:tcPr>
            <w:tcW w:type="dxa" w:w="2736"/>
          </w:tcPr>
          <w:p>
            <w:pPr>
              <w:spacing w:after="20"/>
            </w:pPr>
            <w:r>
              <w:rPr>
                <w:b w:val="0"/>
                <w:i w:val="0"/>
                <w:sz w:val="18"/>
              </w:rPr>
              <w:t>FAT-04 s.d. FAT-07</w:t>
            </w:r>
          </w:p>
        </w:tc>
      </w:tr>
    </w:tbl>
    <w:p>
      <w:pPr>
        <w:spacing w:after="40"/>
      </w:pPr>
    </w:p>
    <w:p>
      <w:pPr>
        <w:spacing w:after="0"/>
        <w:jc w:val="center"/>
      </w:pPr>
      <w:r>
        <w:drawing>
          <wp:inline xmlns:a="http://schemas.openxmlformats.org/drawingml/2006/main" xmlns:pic="http://schemas.openxmlformats.org/drawingml/2006/picture">
            <wp:extent cx="6984000" cy="9883240"/>
            <wp:docPr id="7" name="Picture 1"/>
            <wp:cNvGraphicFramePr>
              <a:graphicFrameLocks noChangeAspect="1"/>
            </wp:cNvGraphicFramePr>
            <a:graphic>
              <a:graphicData uri="http://schemas.openxmlformats.org/drawingml/2006/picture">
                <pic:pic>
                  <pic:nvPicPr>
                    <pic:cNvPr id="7" name="img_l1_10.jpg"/>
                    <pic:cNvPicPr/>
                  </pic:nvPicPr>
                  <pic:blipFill>
                    <a:blip r:embed="rId15"/>
                    <a:stretch>
                      <a:fillRect/>
                    </a:stretch>
                  </pic:blipFill>
                  <pic:spPr>
                    <a:xfrm>
                      <a:off x="0" y="0"/>
                      <a:ext cx="6984000" cy="988324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6900"/>
            <wp:docPr id="8" name="Picture 2"/>
            <wp:cNvGraphicFramePr>
              <a:graphicFrameLocks noChangeAspect="1"/>
            </wp:cNvGraphicFramePr>
            <a:graphic>
              <a:graphicData uri="http://schemas.openxmlformats.org/drawingml/2006/picture">
                <pic:pic>
                  <pic:nvPicPr>
                    <pic:cNvPr id="8" name="img_l1_11.jpg"/>
                    <pic:cNvPicPr/>
                  </pic:nvPicPr>
                  <pic:blipFill>
                    <a:blip r:embed="rId16"/>
                    <a:stretch>
                      <a:fillRect/>
                    </a:stretch>
                  </pic:blipFill>
                  <pic:spPr>
                    <a:xfrm>
                      <a:off x="0" y="0"/>
                      <a:ext cx="6984000" cy="98769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6900"/>
            <wp:docPr id="9" name="Picture 3"/>
            <wp:cNvGraphicFramePr>
              <a:graphicFrameLocks noChangeAspect="1"/>
            </wp:cNvGraphicFramePr>
            <a:graphic>
              <a:graphicData uri="http://schemas.openxmlformats.org/drawingml/2006/picture">
                <pic:pic>
                  <pic:nvPicPr>
                    <pic:cNvPr id="9" name="img_l1_12.jpg"/>
                    <pic:cNvPicPr/>
                  </pic:nvPicPr>
                  <pic:blipFill>
                    <a:blip r:embed="rId17"/>
                    <a:stretch>
                      <a:fillRect/>
                    </a:stretch>
                  </pic:blipFill>
                  <pic:spPr>
                    <a:xfrm>
                      <a:off x="0" y="0"/>
                      <a:ext cx="6984000" cy="98769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6900"/>
            <wp:docPr id="10" name="Picture 4"/>
            <wp:cNvGraphicFramePr>
              <a:graphicFrameLocks noChangeAspect="1"/>
            </wp:cNvGraphicFramePr>
            <a:graphic>
              <a:graphicData uri="http://schemas.openxmlformats.org/drawingml/2006/picture">
                <pic:pic>
                  <pic:nvPicPr>
                    <pic:cNvPr id="10" name="img_l1_13.jpg"/>
                    <pic:cNvPicPr/>
                  </pic:nvPicPr>
                  <pic:blipFill>
                    <a:blip r:embed="rId18"/>
                    <a:stretch>
                      <a:fillRect/>
                    </a:stretch>
                  </pic:blipFill>
                  <pic:spPr>
                    <a:xfrm>
                      <a:off x="0" y="0"/>
                      <a:ext cx="6984000" cy="9876900"/>
                    </a:xfrm>
                    <a:prstGeom prst="rect"/>
                  </pic:spPr>
                </pic:pic>
              </a:graphicData>
            </a:graphic>
          </wp:inline>
        </w:drawing>
      </w:r>
    </w:p>
    <w:p>
      <w:pPr>
        <w:spacing w:after="0"/>
        <w:jc w:val="center"/>
      </w:pPr>
      <w:r>
        <w:drawing>
          <wp:inline xmlns:a="http://schemas.openxmlformats.org/drawingml/2006/main" xmlns:pic="http://schemas.openxmlformats.org/drawingml/2006/picture">
            <wp:extent cx="6984000" cy="9883240"/>
            <wp:docPr id="11" name="Picture 1"/>
            <wp:cNvGraphicFramePr>
              <a:graphicFrameLocks noChangeAspect="1"/>
            </wp:cNvGraphicFramePr>
            <a:graphic>
              <a:graphicData uri="http://schemas.openxmlformats.org/drawingml/2006/picture">
                <pic:pic>
                  <pic:nvPicPr>
                    <pic:cNvPr id="11" name="img_l2_14.jpg"/>
                    <pic:cNvPicPr/>
                  </pic:nvPicPr>
                  <pic:blipFill>
                    <a:blip r:embed="rId19"/>
                    <a:stretch>
                      <a:fillRect/>
                    </a:stretch>
                  </pic:blipFill>
                  <pic:spPr>
                    <a:xfrm>
                      <a:off x="0" y="0"/>
                      <a:ext cx="6984000" cy="988324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461"/>
            <wp:docPr id="12" name="Picture 2"/>
            <wp:cNvGraphicFramePr>
              <a:graphicFrameLocks noChangeAspect="1"/>
            </wp:cNvGraphicFramePr>
            <a:graphic>
              <a:graphicData uri="http://schemas.openxmlformats.org/drawingml/2006/picture">
                <pic:pic>
                  <pic:nvPicPr>
                    <pic:cNvPr id="12" name="img_l2_15.jpg"/>
                    <pic:cNvPicPr/>
                  </pic:nvPicPr>
                  <pic:blipFill>
                    <a:blip r:embed="rId20"/>
                    <a:stretch>
                      <a:fillRect/>
                    </a:stretch>
                  </pic:blipFill>
                  <pic:spPr>
                    <a:xfrm>
                      <a:off x="0" y="0"/>
                      <a:ext cx="6984000" cy="392846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461"/>
            <wp:docPr id="13" name="Picture 3"/>
            <wp:cNvGraphicFramePr>
              <a:graphicFrameLocks noChangeAspect="1"/>
            </wp:cNvGraphicFramePr>
            <a:graphic>
              <a:graphicData uri="http://schemas.openxmlformats.org/drawingml/2006/picture">
                <pic:pic>
                  <pic:nvPicPr>
                    <pic:cNvPr id="13" name="img_l2_16.jpg"/>
                    <pic:cNvPicPr/>
                  </pic:nvPicPr>
                  <pic:blipFill>
                    <a:blip r:embed="rId21"/>
                    <a:stretch>
                      <a:fillRect/>
                    </a:stretch>
                  </pic:blipFill>
                  <pic:spPr>
                    <a:xfrm>
                      <a:off x="0" y="0"/>
                      <a:ext cx="6984000" cy="392846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461"/>
            <wp:docPr id="14" name="Picture 4"/>
            <wp:cNvGraphicFramePr>
              <a:graphicFrameLocks noChangeAspect="1"/>
            </wp:cNvGraphicFramePr>
            <a:graphic>
              <a:graphicData uri="http://schemas.openxmlformats.org/drawingml/2006/picture">
                <pic:pic>
                  <pic:nvPicPr>
                    <pic:cNvPr id="14" name="img_l2_17.jpg"/>
                    <pic:cNvPicPr/>
                  </pic:nvPicPr>
                  <pic:blipFill>
                    <a:blip r:embed="rId22"/>
                    <a:stretch>
                      <a:fillRect/>
                    </a:stretch>
                  </pic:blipFill>
                  <pic:spPr>
                    <a:xfrm>
                      <a:off x="0" y="0"/>
                      <a:ext cx="6984000" cy="392846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461"/>
            <wp:docPr id="15" name="Picture 5"/>
            <wp:cNvGraphicFramePr>
              <a:graphicFrameLocks noChangeAspect="1"/>
            </wp:cNvGraphicFramePr>
            <a:graphic>
              <a:graphicData uri="http://schemas.openxmlformats.org/drawingml/2006/picture">
                <pic:pic>
                  <pic:nvPicPr>
                    <pic:cNvPr id="15" name="img_l2_18.jpg"/>
                    <pic:cNvPicPr/>
                  </pic:nvPicPr>
                  <pic:blipFill>
                    <a:blip r:embed="rId23"/>
                    <a:stretch>
                      <a:fillRect/>
                    </a:stretch>
                  </pic:blipFill>
                  <pic:spPr>
                    <a:xfrm>
                      <a:off x="0" y="0"/>
                      <a:ext cx="6984000" cy="392846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461"/>
            <wp:docPr id="16" name="Picture 6"/>
            <wp:cNvGraphicFramePr>
              <a:graphicFrameLocks noChangeAspect="1"/>
            </wp:cNvGraphicFramePr>
            <a:graphic>
              <a:graphicData uri="http://schemas.openxmlformats.org/drawingml/2006/picture">
                <pic:pic>
                  <pic:nvPicPr>
                    <pic:cNvPr id="16" name="img_l2_19.jpg"/>
                    <pic:cNvPicPr/>
                  </pic:nvPicPr>
                  <pic:blipFill>
                    <a:blip r:embed="rId24"/>
                    <a:stretch>
                      <a:fillRect/>
                    </a:stretch>
                  </pic:blipFill>
                  <pic:spPr>
                    <a:xfrm>
                      <a:off x="0" y="0"/>
                      <a:ext cx="6984000" cy="392846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461"/>
            <wp:docPr id="17" name="Picture 7"/>
            <wp:cNvGraphicFramePr>
              <a:graphicFrameLocks noChangeAspect="1"/>
            </wp:cNvGraphicFramePr>
            <a:graphic>
              <a:graphicData uri="http://schemas.openxmlformats.org/drawingml/2006/picture">
                <pic:pic>
                  <pic:nvPicPr>
                    <pic:cNvPr id="17" name="img_l2_20.jpg"/>
                    <pic:cNvPicPr/>
                  </pic:nvPicPr>
                  <pic:blipFill>
                    <a:blip r:embed="rId25"/>
                    <a:stretch>
                      <a:fillRect/>
                    </a:stretch>
                  </pic:blipFill>
                  <pic:spPr>
                    <a:xfrm>
                      <a:off x="0" y="0"/>
                      <a:ext cx="6984000" cy="392846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461"/>
            <wp:docPr id="18" name="Picture 8"/>
            <wp:cNvGraphicFramePr>
              <a:graphicFrameLocks noChangeAspect="1"/>
            </wp:cNvGraphicFramePr>
            <a:graphic>
              <a:graphicData uri="http://schemas.openxmlformats.org/drawingml/2006/picture">
                <pic:pic>
                  <pic:nvPicPr>
                    <pic:cNvPr id="18" name="img_l2_21.jpg"/>
                    <pic:cNvPicPr/>
                  </pic:nvPicPr>
                  <pic:blipFill>
                    <a:blip r:embed="rId26"/>
                    <a:stretch>
                      <a:fillRect/>
                    </a:stretch>
                  </pic:blipFill>
                  <pic:spPr>
                    <a:xfrm>
                      <a:off x="0" y="0"/>
                      <a:ext cx="6984000" cy="392846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461"/>
            <wp:docPr id="19" name="Picture 9"/>
            <wp:cNvGraphicFramePr>
              <a:graphicFrameLocks noChangeAspect="1"/>
            </wp:cNvGraphicFramePr>
            <a:graphic>
              <a:graphicData uri="http://schemas.openxmlformats.org/drawingml/2006/picture">
                <pic:pic>
                  <pic:nvPicPr>
                    <pic:cNvPr id="19" name="img_l2_22.jpg"/>
                    <pic:cNvPicPr/>
                  </pic:nvPicPr>
                  <pic:blipFill>
                    <a:blip r:embed="rId27"/>
                    <a:stretch>
                      <a:fillRect/>
                    </a:stretch>
                  </pic:blipFill>
                  <pic:spPr>
                    <a:xfrm>
                      <a:off x="0" y="0"/>
                      <a:ext cx="6984000" cy="392846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461"/>
            <wp:docPr id="20" name="Picture 10"/>
            <wp:cNvGraphicFramePr>
              <a:graphicFrameLocks noChangeAspect="1"/>
            </wp:cNvGraphicFramePr>
            <a:graphic>
              <a:graphicData uri="http://schemas.openxmlformats.org/drawingml/2006/picture">
                <pic:pic>
                  <pic:nvPicPr>
                    <pic:cNvPr id="20" name="img_l2_23.jpg"/>
                    <pic:cNvPicPr/>
                  </pic:nvPicPr>
                  <pic:blipFill>
                    <a:blip r:embed="rId28"/>
                    <a:stretch>
                      <a:fillRect/>
                    </a:stretch>
                  </pic:blipFill>
                  <pic:spPr>
                    <a:xfrm>
                      <a:off x="0" y="0"/>
                      <a:ext cx="6984000" cy="392846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461"/>
            <wp:docPr id="21" name="Picture 11"/>
            <wp:cNvGraphicFramePr>
              <a:graphicFrameLocks noChangeAspect="1"/>
            </wp:cNvGraphicFramePr>
            <a:graphic>
              <a:graphicData uri="http://schemas.openxmlformats.org/drawingml/2006/picture">
                <pic:pic>
                  <pic:nvPicPr>
                    <pic:cNvPr id="21" name="img_l2_24.jpg"/>
                    <pic:cNvPicPr/>
                  </pic:nvPicPr>
                  <pic:blipFill>
                    <a:blip r:embed="rId29"/>
                    <a:stretch>
                      <a:fillRect/>
                    </a:stretch>
                  </pic:blipFill>
                  <pic:spPr>
                    <a:xfrm>
                      <a:off x="0" y="0"/>
                      <a:ext cx="6984000" cy="392846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461"/>
            <wp:docPr id="22" name="Picture 12"/>
            <wp:cNvGraphicFramePr>
              <a:graphicFrameLocks noChangeAspect="1"/>
            </wp:cNvGraphicFramePr>
            <a:graphic>
              <a:graphicData uri="http://schemas.openxmlformats.org/drawingml/2006/picture">
                <pic:pic>
                  <pic:nvPicPr>
                    <pic:cNvPr id="22" name="img_l2_25.jpg"/>
                    <pic:cNvPicPr/>
                  </pic:nvPicPr>
                  <pic:blipFill>
                    <a:blip r:embed="rId30"/>
                    <a:stretch>
                      <a:fillRect/>
                    </a:stretch>
                  </pic:blipFill>
                  <pic:spPr>
                    <a:xfrm>
                      <a:off x="0" y="0"/>
                      <a:ext cx="6984000" cy="392846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461"/>
            <wp:docPr id="23" name="Picture 13"/>
            <wp:cNvGraphicFramePr>
              <a:graphicFrameLocks noChangeAspect="1"/>
            </wp:cNvGraphicFramePr>
            <a:graphic>
              <a:graphicData uri="http://schemas.openxmlformats.org/drawingml/2006/picture">
                <pic:pic>
                  <pic:nvPicPr>
                    <pic:cNvPr id="23" name="img_l2_26.jpg"/>
                    <pic:cNvPicPr/>
                  </pic:nvPicPr>
                  <pic:blipFill>
                    <a:blip r:embed="rId31"/>
                    <a:stretch>
                      <a:fillRect/>
                    </a:stretch>
                  </pic:blipFill>
                  <pic:spPr>
                    <a:xfrm>
                      <a:off x="0" y="0"/>
                      <a:ext cx="6984000" cy="392846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461"/>
            <wp:docPr id="24" name="Picture 14"/>
            <wp:cNvGraphicFramePr>
              <a:graphicFrameLocks noChangeAspect="1"/>
            </wp:cNvGraphicFramePr>
            <a:graphic>
              <a:graphicData uri="http://schemas.openxmlformats.org/drawingml/2006/picture">
                <pic:pic>
                  <pic:nvPicPr>
                    <pic:cNvPr id="24" name="img_l2_27.jpg"/>
                    <pic:cNvPicPr/>
                  </pic:nvPicPr>
                  <pic:blipFill>
                    <a:blip r:embed="rId32"/>
                    <a:stretch>
                      <a:fillRect/>
                    </a:stretch>
                  </pic:blipFill>
                  <pic:spPr>
                    <a:xfrm>
                      <a:off x="0" y="0"/>
                      <a:ext cx="6984000" cy="392846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461"/>
            <wp:docPr id="25" name="Picture 15"/>
            <wp:cNvGraphicFramePr>
              <a:graphicFrameLocks noChangeAspect="1"/>
            </wp:cNvGraphicFramePr>
            <a:graphic>
              <a:graphicData uri="http://schemas.openxmlformats.org/drawingml/2006/picture">
                <pic:pic>
                  <pic:nvPicPr>
                    <pic:cNvPr id="25" name="img_l2_28.jpg"/>
                    <pic:cNvPicPr/>
                  </pic:nvPicPr>
                  <pic:blipFill>
                    <a:blip r:embed="rId33"/>
                    <a:stretch>
                      <a:fillRect/>
                    </a:stretch>
                  </pic:blipFill>
                  <pic:spPr>
                    <a:xfrm>
                      <a:off x="0" y="0"/>
                      <a:ext cx="6984000" cy="3928461"/>
                    </a:xfrm>
                    <a:prstGeom prst="rect"/>
                  </pic:spPr>
                </pic:pic>
              </a:graphicData>
            </a:graphic>
          </wp:inline>
        </w:drawing>
      </w:r>
    </w:p>
    <w:p>
      <w:pPr>
        <w:spacing w:after="0"/>
        <w:jc w:val="center"/>
      </w:pPr>
      <w:r>
        <w:drawing>
          <wp:inline xmlns:a="http://schemas.openxmlformats.org/drawingml/2006/main" xmlns:pic="http://schemas.openxmlformats.org/drawingml/2006/picture">
            <wp:extent cx="6984000" cy="9883240"/>
            <wp:docPr id="26" name="Picture 1"/>
            <wp:cNvGraphicFramePr>
              <a:graphicFrameLocks noChangeAspect="1"/>
            </wp:cNvGraphicFramePr>
            <a:graphic>
              <a:graphicData uri="http://schemas.openxmlformats.org/drawingml/2006/picture">
                <pic:pic>
                  <pic:nvPicPr>
                    <pic:cNvPr id="26" name="img_l3_29.jpg"/>
                    <pic:cNvPicPr/>
                  </pic:nvPicPr>
                  <pic:blipFill>
                    <a:blip r:embed="rId34"/>
                    <a:stretch>
                      <a:fillRect/>
                    </a:stretch>
                  </pic:blipFill>
                  <pic:spPr>
                    <a:xfrm>
                      <a:off x="0" y="0"/>
                      <a:ext cx="6984000" cy="988324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5396727"/>
            <wp:docPr id="27" name="Picture 2"/>
            <wp:cNvGraphicFramePr>
              <a:graphicFrameLocks noChangeAspect="1"/>
            </wp:cNvGraphicFramePr>
            <a:graphic>
              <a:graphicData uri="http://schemas.openxmlformats.org/drawingml/2006/picture">
                <pic:pic>
                  <pic:nvPicPr>
                    <pic:cNvPr id="27" name="img_l3_30.jpg"/>
                    <pic:cNvPicPr/>
                  </pic:nvPicPr>
                  <pic:blipFill>
                    <a:blip r:embed="rId35"/>
                    <a:stretch>
                      <a:fillRect/>
                    </a:stretch>
                  </pic:blipFill>
                  <pic:spPr>
                    <a:xfrm>
                      <a:off x="0" y="0"/>
                      <a:ext cx="6984000" cy="5396727"/>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5396727"/>
            <wp:docPr id="28" name="Picture 3"/>
            <wp:cNvGraphicFramePr>
              <a:graphicFrameLocks noChangeAspect="1"/>
            </wp:cNvGraphicFramePr>
            <a:graphic>
              <a:graphicData uri="http://schemas.openxmlformats.org/drawingml/2006/picture">
                <pic:pic>
                  <pic:nvPicPr>
                    <pic:cNvPr id="28" name="img_l3_31.jpg"/>
                    <pic:cNvPicPr/>
                  </pic:nvPicPr>
                  <pic:blipFill>
                    <a:blip r:embed="rId36"/>
                    <a:stretch>
                      <a:fillRect/>
                    </a:stretch>
                  </pic:blipFill>
                  <pic:spPr>
                    <a:xfrm>
                      <a:off x="0" y="0"/>
                      <a:ext cx="6984000" cy="5396727"/>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5396727"/>
            <wp:docPr id="29" name="Picture 4"/>
            <wp:cNvGraphicFramePr>
              <a:graphicFrameLocks noChangeAspect="1"/>
            </wp:cNvGraphicFramePr>
            <a:graphic>
              <a:graphicData uri="http://schemas.openxmlformats.org/drawingml/2006/picture">
                <pic:pic>
                  <pic:nvPicPr>
                    <pic:cNvPr id="29" name="img_l3_32.jpg"/>
                    <pic:cNvPicPr/>
                  </pic:nvPicPr>
                  <pic:blipFill>
                    <a:blip r:embed="rId37"/>
                    <a:stretch>
                      <a:fillRect/>
                    </a:stretch>
                  </pic:blipFill>
                  <pic:spPr>
                    <a:xfrm>
                      <a:off x="0" y="0"/>
                      <a:ext cx="6984000" cy="5396727"/>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5396727"/>
            <wp:docPr id="30" name="Picture 5"/>
            <wp:cNvGraphicFramePr>
              <a:graphicFrameLocks noChangeAspect="1"/>
            </wp:cNvGraphicFramePr>
            <a:graphic>
              <a:graphicData uri="http://schemas.openxmlformats.org/drawingml/2006/picture">
                <pic:pic>
                  <pic:nvPicPr>
                    <pic:cNvPr id="30" name="img_l3_33.jpg"/>
                    <pic:cNvPicPr/>
                  </pic:nvPicPr>
                  <pic:blipFill>
                    <a:blip r:embed="rId38"/>
                    <a:stretch>
                      <a:fillRect/>
                    </a:stretch>
                  </pic:blipFill>
                  <pic:spPr>
                    <a:xfrm>
                      <a:off x="0" y="0"/>
                      <a:ext cx="6984000" cy="5396727"/>
                    </a:xfrm>
                    <a:prstGeom prst="rect"/>
                  </pic:spPr>
                </pic:pic>
              </a:graphicData>
            </a:graphic>
          </wp:inline>
        </w:drawing>
      </w:r>
    </w:p>
    <w:p>
      <w:pPr>
        <w:spacing w:after="0"/>
        <w:jc w:val="center"/>
      </w:pPr>
      <w:r>
        <w:drawing>
          <wp:inline xmlns:a="http://schemas.openxmlformats.org/drawingml/2006/main" xmlns:pic="http://schemas.openxmlformats.org/drawingml/2006/picture">
            <wp:extent cx="6984000" cy="9883240"/>
            <wp:docPr id="31" name="Picture 1"/>
            <wp:cNvGraphicFramePr>
              <a:graphicFrameLocks noChangeAspect="1"/>
            </wp:cNvGraphicFramePr>
            <a:graphic>
              <a:graphicData uri="http://schemas.openxmlformats.org/drawingml/2006/picture">
                <pic:pic>
                  <pic:nvPicPr>
                    <pic:cNvPr id="31" name="img_l4_34.jpg"/>
                    <pic:cNvPicPr/>
                  </pic:nvPicPr>
                  <pic:blipFill>
                    <a:blip r:embed="rId39"/>
                    <a:stretch>
                      <a:fillRect/>
                    </a:stretch>
                  </pic:blipFill>
                  <pic:spPr>
                    <a:xfrm>
                      <a:off x="0" y="0"/>
                      <a:ext cx="6984000" cy="988324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32" name="Picture 2"/>
            <wp:cNvGraphicFramePr>
              <a:graphicFrameLocks noChangeAspect="1"/>
            </wp:cNvGraphicFramePr>
            <a:graphic>
              <a:graphicData uri="http://schemas.openxmlformats.org/drawingml/2006/picture">
                <pic:pic>
                  <pic:nvPicPr>
                    <pic:cNvPr id="32" name="img_l4_35.jpg"/>
                    <pic:cNvPicPr/>
                  </pic:nvPicPr>
                  <pic:blipFill>
                    <a:blip r:embed="rId40"/>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33" name="Picture 3"/>
            <wp:cNvGraphicFramePr>
              <a:graphicFrameLocks noChangeAspect="1"/>
            </wp:cNvGraphicFramePr>
            <a:graphic>
              <a:graphicData uri="http://schemas.openxmlformats.org/drawingml/2006/picture">
                <pic:pic>
                  <pic:nvPicPr>
                    <pic:cNvPr id="33" name="img_l4_36.jpg"/>
                    <pic:cNvPicPr/>
                  </pic:nvPicPr>
                  <pic:blipFill>
                    <a:blip r:embed="rId41"/>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34" name="Picture 4"/>
            <wp:cNvGraphicFramePr>
              <a:graphicFrameLocks noChangeAspect="1"/>
            </wp:cNvGraphicFramePr>
            <a:graphic>
              <a:graphicData uri="http://schemas.openxmlformats.org/drawingml/2006/picture">
                <pic:pic>
                  <pic:nvPicPr>
                    <pic:cNvPr id="34" name="img_l4_37.jpg"/>
                    <pic:cNvPicPr/>
                  </pic:nvPicPr>
                  <pic:blipFill>
                    <a:blip r:embed="rId42"/>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35" name="Picture 5"/>
            <wp:cNvGraphicFramePr>
              <a:graphicFrameLocks noChangeAspect="1"/>
            </wp:cNvGraphicFramePr>
            <a:graphic>
              <a:graphicData uri="http://schemas.openxmlformats.org/drawingml/2006/picture">
                <pic:pic>
                  <pic:nvPicPr>
                    <pic:cNvPr id="35" name="img_l4_38.jpg"/>
                    <pic:cNvPicPr/>
                  </pic:nvPicPr>
                  <pic:blipFill>
                    <a:blip r:embed="rId43"/>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36" name="Picture 6"/>
            <wp:cNvGraphicFramePr>
              <a:graphicFrameLocks noChangeAspect="1"/>
            </wp:cNvGraphicFramePr>
            <a:graphic>
              <a:graphicData uri="http://schemas.openxmlformats.org/drawingml/2006/picture">
                <pic:pic>
                  <pic:nvPicPr>
                    <pic:cNvPr id="36" name="img_l4_39.jpg"/>
                    <pic:cNvPicPr/>
                  </pic:nvPicPr>
                  <pic:blipFill>
                    <a:blip r:embed="rId44"/>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37" name="Picture 7"/>
            <wp:cNvGraphicFramePr>
              <a:graphicFrameLocks noChangeAspect="1"/>
            </wp:cNvGraphicFramePr>
            <a:graphic>
              <a:graphicData uri="http://schemas.openxmlformats.org/drawingml/2006/picture">
                <pic:pic>
                  <pic:nvPicPr>
                    <pic:cNvPr id="37" name="img_l4_40.jpg"/>
                    <pic:cNvPicPr/>
                  </pic:nvPicPr>
                  <pic:blipFill>
                    <a:blip r:embed="rId45"/>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38" name="Picture 8"/>
            <wp:cNvGraphicFramePr>
              <a:graphicFrameLocks noChangeAspect="1"/>
            </wp:cNvGraphicFramePr>
            <a:graphic>
              <a:graphicData uri="http://schemas.openxmlformats.org/drawingml/2006/picture">
                <pic:pic>
                  <pic:nvPicPr>
                    <pic:cNvPr id="38" name="img_l4_41.jpg"/>
                    <pic:cNvPicPr/>
                  </pic:nvPicPr>
                  <pic:blipFill>
                    <a:blip r:embed="rId46"/>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39" name="Picture 9"/>
            <wp:cNvGraphicFramePr>
              <a:graphicFrameLocks noChangeAspect="1"/>
            </wp:cNvGraphicFramePr>
            <a:graphic>
              <a:graphicData uri="http://schemas.openxmlformats.org/drawingml/2006/picture">
                <pic:pic>
                  <pic:nvPicPr>
                    <pic:cNvPr id="39" name="img_l4_42.jpg"/>
                    <pic:cNvPicPr/>
                  </pic:nvPicPr>
                  <pic:blipFill>
                    <a:blip r:embed="rId47"/>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40" name="Picture 10"/>
            <wp:cNvGraphicFramePr>
              <a:graphicFrameLocks noChangeAspect="1"/>
            </wp:cNvGraphicFramePr>
            <a:graphic>
              <a:graphicData uri="http://schemas.openxmlformats.org/drawingml/2006/picture">
                <pic:pic>
                  <pic:nvPicPr>
                    <pic:cNvPr id="40" name="img_l4_43.jpg"/>
                    <pic:cNvPicPr/>
                  </pic:nvPicPr>
                  <pic:blipFill>
                    <a:blip r:embed="rId48"/>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41" name="Picture 11"/>
            <wp:cNvGraphicFramePr>
              <a:graphicFrameLocks noChangeAspect="1"/>
            </wp:cNvGraphicFramePr>
            <a:graphic>
              <a:graphicData uri="http://schemas.openxmlformats.org/drawingml/2006/picture">
                <pic:pic>
                  <pic:nvPicPr>
                    <pic:cNvPr id="41" name="img_l4_44.jpg"/>
                    <pic:cNvPicPr/>
                  </pic:nvPicPr>
                  <pic:blipFill>
                    <a:blip r:embed="rId49"/>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42" name="Picture 12"/>
            <wp:cNvGraphicFramePr>
              <a:graphicFrameLocks noChangeAspect="1"/>
            </wp:cNvGraphicFramePr>
            <a:graphic>
              <a:graphicData uri="http://schemas.openxmlformats.org/drawingml/2006/picture">
                <pic:pic>
                  <pic:nvPicPr>
                    <pic:cNvPr id="42" name="img_l4_45.jpg"/>
                    <pic:cNvPicPr/>
                  </pic:nvPicPr>
                  <pic:blipFill>
                    <a:blip r:embed="rId50"/>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43" name="Picture 13"/>
            <wp:cNvGraphicFramePr>
              <a:graphicFrameLocks noChangeAspect="1"/>
            </wp:cNvGraphicFramePr>
            <a:graphic>
              <a:graphicData uri="http://schemas.openxmlformats.org/drawingml/2006/picture">
                <pic:pic>
                  <pic:nvPicPr>
                    <pic:cNvPr id="43" name="img_l4_46.jpg"/>
                    <pic:cNvPicPr/>
                  </pic:nvPicPr>
                  <pic:blipFill>
                    <a:blip r:embed="rId51"/>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44" name="Picture 14"/>
            <wp:cNvGraphicFramePr>
              <a:graphicFrameLocks noChangeAspect="1"/>
            </wp:cNvGraphicFramePr>
            <a:graphic>
              <a:graphicData uri="http://schemas.openxmlformats.org/drawingml/2006/picture">
                <pic:pic>
                  <pic:nvPicPr>
                    <pic:cNvPr id="44" name="img_l4_47.jpg"/>
                    <pic:cNvPicPr/>
                  </pic:nvPicPr>
                  <pic:blipFill>
                    <a:blip r:embed="rId52"/>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45" name="Picture 15"/>
            <wp:cNvGraphicFramePr>
              <a:graphicFrameLocks noChangeAspect="1"/>
            </wp:cNvGraphicFramePr>
            <a:graphic>
              <a:graphicData uri="http://schemas.openxmlformats.org/drawingml/2006/picture">
                <pic:pic>
                  <pic:nvPicPr>
                    <pic:cNvPr id="45" name="img_l4_48.jpg"/>
                    <pic:cNvPicPr/>
                  </pic:nvPicPr>
                  <pic:blipFill>
                    <a:blip r:embed="rId53"/>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46" name="Picture 16"/>
            <wp:cNvGraphicFramePr>
              <a:graphicFrameLocks noChangeAspect="1"/>
            </wp:cNvGraphicFramePr>
            <a:graphic>
              <a:graphicData uri="http://schemas.openxmlformats.org/drawingml/2006/picture">
                <pic:pic>
                  <pic:nvPicPr>
                    <pic:cNvPr id="46" name="img_l4_49.jpg"/>
                    <pic:cNvPicPr/>
                  </pic:nvPicPr>
                  <pic:blipFill>
                    <a:blip r:embed="rId54"/>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47" name="Picture 17"/>
            <wp:cNvGraphicFramePr>
              <a:graphicFrameLocks noChangeAspect="1"/>
            </wp:cNvGraphicFramePr>
            <a:graphic>
              <a:graphicData uri="http://schemas.openxmlformats.org/drawingml/2006/picture">
                <pic:pic>
                  <pic:nvPicPr>
                    <pic:cNvPr id="47" name="img_l4_50.jpg"/>
                    <pic:cNvPicPr/>
                  </pic:nvPicPr>
                  <pic:blipFill>
                    <a:blip r:embed="rId55"/>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48" name="Picture 18"/>
            <wp:cNvGraphicFramePr>
              <a:graphicFrameLocks noChangeAspect="1"/>
            </wp:cNvGraphicFramePr>
            <a:graphic>
              <a:graphicData uri="http://schemas.openxmlformats.org/drawingml/2006/picture">
                <pic:pic>
                  <pic:nvPicPr>
                    <pic:cNvPr id="48" name="img_l4_51.jpg"/>
                    <pic:cNvPicPr/>
                  </pic:nvPicPr>
                  <pic:blipFill>
                    <a:blip r:embed="rId56"/>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49" name="Picture 19"/>
            <wp:cNvGraphicFramePr>
              <a:graphicFrameLocks noChangeAspect="1"/>
            </wp:cNvGraphicFramePr>
            <a:graphic>
              <a:graphicData uri="http://schemas.openxmlformats.org/drawingml/2006/picture">
                <pic:pic>
                  <pic:nvPicPr>
                    <pic:cNvPr id="49" name="img_l4_52.jpg"/>
                    <pic:cNvPicPr/>
                  </pic:nvPicPr>
                  <pic:blipFill>
                    <a:blip r:embed="rId57"/>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50" name="Picture 20"/>
            <wp:cNvGraphicFramePr>
              <a:graphicFrameLocks noChangeAspect="1"/>
            </wp:cNvGraphicFramePr>
            <a:graphic>
              <a:graphicData uri="http://schemas.openxmlformats.org/drawingml/2006/picture">
                <pic:pic>
                  <pic:nvPicPr>
                    <pic:cNvPr id="50" name="img_l4_53.jpg"/>
                    <pic:cNvPicPr/>
                  </pic:nvPicPr>
                  <pic:blipFill>
                    <a:blip r:embed="rId58"/>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51" name="Picture 21"/>
            <wp:cNvGraphicFramePr>
              <a:graphicFrameLocks noChangeAspect="1"/>
            </wp:cNvGraphicFramePr>
            <a:graphic>
              <a:graphicData uri="http://schemas.openxmlformats.org/drawingml/2006/picture">
                <pic:pic>
                  <pic:nvPicPr>
                    <pic:cNvPr id="51" name="img_l4_54.jpg"/>
                    <pic:cNvPicPr/>
                  </pic:nvPicPr>
                  <pic:blipFill>
                    <a:blip r:embed="rId59"/>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52" name="Picture 22"/>
            <wp:cNvGraphicFramePr>
              <a:graphicFrameLocks noChangeAspect="1"/>
            </wp:cNvGraphicFramePr>
            <a:graphic>
              <a:graphicData uri="http://schemas.openxmlformats.org/drawingml/2006/picture">
                <pic:pic>
                  <pic:nvPicPr>
                    <pic:cNvPr id="52" name="img_l4_55.jpg"/>
                    <pic:cNvPicPr/>
                  </pic:nvPicPr>
                  <pic:blipFill>
                    <a:blip r:embed="rId60"/>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53" name="Picture 23"/>
            <wp:cNvGraphicFramePr>
              <a:graphicFrameLocks noChangeAspect="1"/>
            </wp:cNvGraphicFramePr>
            <a:graphic>
              <a:graphicData uri="http://schemas.openxmlformats.org/drawingml/2006/picture">
                <pic:pic>
                  <pic:nvPicPr>
                    <pic:cNvPr id="53" name="img_l4_56.jpg"/>
                    <pic:cNvPicPr/>
                  </pic:nvPicPr>
                  <pic:blipFill>
                    <a:blip r:embed="rId61"/>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54" name="Picture 24"/>
            <wp:cNvGraphicFramePr>
              <a:graphicFrameLocks noChangeAspect="1"/>
            </wp:cNvGraphicFramePr>
            <a:graphic>
              <a:graphicData uri="http://schemas.openxmlformats.org/drawingml/2006/picture">
                <pic:pic>
                  <pic:nvPicPr>
                    <pic:cNvPr id="54" name="img_l4_57.jpg"/>
                    <pic:cNvPicPr/>
                  </pic:nvPicPr>
                  <pic:blipFill>
                    <a:blip r:embed="rId62"/>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55" name="Picture 25"/>
            <wp:cNvGraphicFramePr>
              <a:graphicFrameLocks noChangeAspect="1"/>
            </wp:cNvGraphicFramePr>
            <a:graphic>
              <a:graphicData uri="http://schemas.openxmlformats.org/drawingml/2006/picture">
                <pic:pic>
                  <pic:nvPicPr>
                    <pic:cNvPr id="55" name="img_l4_58.jpg"/>
                    <pic:cNvPicPr/>
                  </pic:nvPicPr>
                  <pic:blipFill>
                    <a:blip r:embed="rId63"/>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56" name="Picture 26"/>
            <wp:cNvGraphicFramePr>
              <a:graphicFrameLocks noChangeAspect="1"/>
            </wp:cNvGraphicFramePr>
            <a:graphic>
              <a:graphicData uri="http://schemas.openxmlformats.org/drawingml/2006/picture">
                <pic:pic>
                  <pic:nvPicPr>
                    <pic:cNvPr id="56" name="img_l4_59.jpg"/>
                    <pic:cNvPicPr/>
                  </pic:nvPicPr>
                  <pic:blipFill>
                    <a:blip r:embed="rId64"/>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57" name="Picture 27"/>
            <wp:cNvGraphicFramePr>
              <a:graphicFrameLocks noChangeAspect="1"/>
            </wp:cNvGraphicFramePr>
            <a:graphic>
              <a:graphicData uri="http://schemas.openxmlformats.org/drawingml/2006/picture">
                <pic:pic>
                  <pic:nvPicPr>
                    <pic:cNvPr id="57" name="img_l4_60.jpg"/>
                    <pic:cNvPicPr/>
                  </pic:nvPicPr>
                  <pic:blipFill>
                    <a:blip r:embed="rId65"/>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58" name="Picture 28"/>
            <wp:cNvGraphicFramePr>
              <a:graphicFrameLocks noChangeAspect="1"/>
            </wp:cNvGraphicFramePr>
            <a:graphic>
              <a:graphicData uri="http://schemas.openxmlformats.org/drawingml/2006/picture">
                <pic:pic>
                  <pic:nvPicPr>
                    <pic:cNvPr id="58" name="img_l4_61.jpg"/>
                    <pic:cNvPicPr/>
                  </pic:nvPicPr>
                  <pic:blipFill>
                    <a:blip r:embed="rId66"/>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59" name="Picture 29"/>
            <wp:cNvGraphicFramePr>
              <a:graphicFrameLocks noChangeAspect="1"/>
            </wp:cNvGraphicFramePr>
            <a:graphic>
              <a:graphicData uri="http://schemas.openxmlformats.org/drawingml/2006/picture">
                <pic:pic>
                  <pic:nvPicPr>
                    <pic:cNvPr id="59" name="img_l4_62.jpg"/>
                    <pic:cNvPicPr/>
                  </pic:nvPicPr>
                  <pic:blipFill>
                    <a:blip r:embed="rId67"/>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60" name="Picture 30"/>
            <wp:cNvGraphicFramePr>
              <a:graphicFrameLocks noChangeAspect="1"/>
            </wp:cNvGraphicFramePr>
            <a:graphic>
              <a:graphicData uri="http://schemas.openxmlformats.org/drawingml/2006/picture">
                <pic:pic>
                  <pic:nvPicPr>
                    <pic:cNvPr id="60" name="img_l4_63.jpg"/>
                    <pic:cNvPicPr/>
                  </pic:nvPicPr>
                  <pic:blipFill>
                    <a:blip r:embed="rId68"/>
                    <a:stretch>
                      <a:fillRect/>
                    </a:stretch>
                  </pic:blipFill>
                  <pic:spPr>
                    <a:xfrm>
                      <a:off x="0" y="0"/>
                      <a:ext cx="6984000" cy="392850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3928500"/>
            <wp:docPr id="61" name="Picture 31"/>
            <wp:cNvGraphicFramePr>
              <a:graphicFrameLocks noChangeAspect="1"/>
            </wp:cNvGraphicFramePr>
            <a:graphic>
              <a:graphicData uri="http://schemas.openxmlformats.org/drawingml/2006/picture">
                <pic:pic>
                  <pic:nvPicPr>
                    <pic:cNvPr id="61" name="img_l4_64.jpg"/>
                    <pic:cNvPicPr/>
                  </pic:nvPicPr>
                  <pic:blipFill>
                    <a:blip r:embed="rId69"/>
                    <a:stretch>
                      <a:fillRect/>
                    </a:stretch>
                  </pic:blipFill>
                  <pic:spPr>
                    <a:xfrm>
                      <a:off x="0" y="0"/>
                      <a:ext cx="6984000" cy="3928500"/>
                    </a:xfrm>
                    <a:prstGeom prst="rect"/>
                  </pic:spPr>
                </pic:pic>
              </a:graphicData>
            </a:graphic>
          </wp:inline>
        </w:drawing>
      </w:r>
    </w:p>
    <w:p>
      <w:pPr>
        <w:spacing w:after="0"/>
        <w:jc w:val="center"/>
      </w:pPr>
      <w:r>
        <w:drawing>
          <wp:inline xmlns:a="http://schemas.openxmlformats.org/drawingml/2006/main" xmlns:pic="http://schemas.openxmlformats.org/drawingml/2006/picture">
            <wp:extent cx="6984000" cy="9883240"/>
            <wp:docPr id="62" name="Picture 1"/>
            <wp:cNvGraphicFramePr>
              <a:graphicFrameLocks noChangeAspect="1"/>
            </wp:cNvGraphicFramePr>
            <a:graphic>
              <a:graphicData uri="http://schemas.openxmlformats.org/drawingml/2006/picture">
                <pic:pic>
                  <pic:nvPicPr>
                    <pic:cNvPr id="62" name="img_l5_65.jpg"/>
                    <pic:cNvPicPr/>
                  </pic:nvPicPr>
                  <pic:blipFill>
                    <a:blip r:embed="rId70"/>
                    <a:stretch>
                      <a:fillRect/>
                    </a:stretch>
                  </pic:blipFill>
                  <pic:spPr>
                    <a:xfrm>
                      <a:off x="0" y="0"/>
                      <a:ext cx="6984000" cy="988324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63" name="Picture 2"/>
            <wp:cNvGraphicFramePr>
              <a:graphicFrameLocks noChangeAspect="1"/>
            </wp:cNvGraphicFramePr>
            <a:graphic>
              <a:graphicData uri="http://schemas.openxmlformats.org/drawingml/2006/picture">
                <pic:pic>
                  <pic:nvPicPr>
                    <pic:cNvPr id="63" name="img_l5_66.jpg"/>
                    <pic:cNvPicPr/>
                  </pic:nvPicPr>
                  <pic:blipFill>
                    <a:blip r:embed="rId71"/>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64" name="Picture 3"/>
            <wp:cNvGraphicFramePr>
              <a:graphicFrameLocks noChangeAspect="1"/>
            </wp:cNvGraphicFramePr>
            <a:graphic>
              <a:graphicData uri="http://schemas.openxmlformats.org/drawingml/2006/picture">
                <pic:pic>
                  <pic:nvPicPr>
                    <pic:cNvPr id="64" name="img_l5_67.jpg"/>
                    <pic:cNvPicPr/>
                  </pic:nvPicPr>
                  <pic:blipFill>
                    <a:blip r:embed="rId72"/>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65" name="Picture 4"/>
            <wp:cNvGraphicFramePr>
              <a:graphicFrameLocks noChangeAspect="1"/>
            </wp:cNvGraphicFramePr>
            <a:graphic>
              <a:graphicData uri="http://schemas.openxmlformats.org/drawingml/2006/picture">
                <pic:pic>
                  <pic:nvPicPr>
                    <pic:cNvPr id="65" name="img_l5_68.jpg"/>
                    <pic:cNvPicPr/>
                  </pic:nvPicPr>
                  <pic:blipFill>
                    <a:blip r:embed="rId73"/>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66" name="Picture 5"/>
            <wp:cNvGraphicFramePr>
              <a:graphicFrameLocks noChangeAspect="1"/>
            </wp:cNvGraphicFramePr>
            <a:graphic>
              <a:graphicData uri="http://schemas.openxmlformats.org/drawingml/2006/picture">
                <pic:pic>
                  <pic:nvPicPr>
                    <pic:cNvPr id="66" name="img_l5_69.jpg"/>
                    <pic:cNvPicPr/>
                  </pic:nvPicPr>
                  <pic:blipFill>
                    <a:blip r:embed="rId74"/>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67" name="Picture 6"/>
            <wp:cNvGraphicFramePr>
              <a:graphicFrameLocks noChangeAspect="1"/>
            </wp:cNvGraphicFramePr>
            <a:graphic>
              <a:graphicData uri="http://schemas.openxmlformats.org/drawingml/2006/picture">
                <pic:pic>
                  <pic:nvPicPr>
                    <pic:cNvPr id="67" name="img_l5_70.jpg"/>
                    <pic:cNvPicPr/>
                  </pic:nvPicPr>
                  <pic:blipFill>
                    <a:blip r:embed="rId75"/>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68" name="Picture 7"/>
            <wp:cNvGraphicFramePr>
              <a:graphicFrameLocks noChangeAspect="1"/>
            </wp:cNvGraphicFramePr>
            <a:graphic>
              <a:graphicData uri="http://schemas.openxmlformats.org/drawingml/2006/picture">
                <pic:pic>
                  <pic:nvPicPr>
                    <pic:cNvPr id="68" name="img_l5_71.jpg"/>
                    <pic:cNvPicPr/>
                  </pic:nvPicPr>
                  <pic:blipFill>
                    <a:blip r:embed="rId76"/>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69" name="Picture 8"/>
            <wp:cNvGraphicFramePr>
              <a:graphicFrameLocks noChangeAspect="1"/>
            </wp:cNvGraphicFramePr>
            <a:graphic>
              <a:graphicData uri="http://schemas.openxmlformats.org/drawingml/2006/picture">
                <pic:pic>
                  <pic:nvPicPr>
                    <pic:cNvPr id="69" name="img_l5_72.jpg"/>
                    <pic:cNvPicPr/>
                  </pic:nvPicPr>
                  <pic:blipFill>
                    <a:blip r:embed="rId77"/>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70" name="Picture 9"/>
            <wp:cNvGraphicFramePr>
              <a:graphicFrameLocks noChangeAspect="1"/>
            </wp:cNvGraphicFramePr>
            <a:graphic>
              <a:graphicData uri="http://schemas.openxmlformats.org/drawingml/2006/picture">
                <pic:pic>
                  <pic:nvPicPr>
                    <pic:cNvPr id="70" name="img_l5_73.jpg"/>
                    <pic:cNvPicPr/>
                  </pic:nvPicPr>
                  <pic:blipFill>
                    <a:blip r:embed="rId78"/>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71" name="Picture 10"/>
            <wp:cNvGraphicFramePr>
              <a:graphicFrameLocks noChangeAspect="1"/>
            </wp:cNvGraphicFramePr>
            <a:graphic>
              <a:graphicData uri="http://schemas.openxmlformats.org/drawingml/2006/picture">
                <pic:pic>
                  <pic:nvPicPr>
                    <pic:cNvPr id="71" name="img_l5_74.jpg"/>
                    <pic:cNvPicPr/>
                  </pic:nvPicPr>
                  <pic:blipFill>
                    <a:blip r:embed="rId79"/>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72" name="Picture 11"/>
            <wp:cNvGraphicFramePr>
              <a:graphicFrameLocks noChangeAspect="1"/>
            </wp:cNvGraphicFramePr>
            <a:graphic>
              <a:graphicData uri="http://schemas.openxmlformats.org/drawingml/2006/picture">
                <pic:pic>
                  <pic:nvPicPr>
                    <pic:cNvPr id="72" name="img_l5_75.jpg"/>
                    <pic:cNvPicPr/>
                  </pic:nvPicPr>
                  <pic:blipFill>
                    <a:blip r:embed="rId80"/>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73" name="Picture 12"/>
            <wp:cNvGraphicFramePr>
              <a:graphicFrameLocks noChangeAspect="1"/>
            </wp:cNvGraphicFramePr>
            <a:graphic>
              <a:graphicData uri="http://schemas.openxmlformats.org/drawingml/2006/picture">
                <pic:pic>
                  <pic:nvPicPr>
                    <pic:cNvPr id="73" name="img_l5_76.jpg"/>
                    <pic:cNvPicPr/>
                  </pic:nvPicPr>
                  <pic:blipFill>
                    <a:blip r:embed="rId81"/>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74" name="Picture 13"/>
            <wp:cNvGraphicFramePr>
              <a:graphicFrameLocks noChangeAspect="1"/>
            </wp:cNvGraphicFramePr>
            <a:graphic>
              <a:graphicData uri="http://schemas.openxmlformats.org/drawingml/2006/picture">
                <pic:pic>
                  <pic:nvPicPr>
                    <pic:cNvPr id="74" name="img_l5_77.jpg"/>
                    <pic:cNvPicPr/>
                  </pic:nvPicPr>
                  <pic:blipFill>
                    <a:blip r:embed="rId82"/>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75" name="Picture 14"/>
            <wp:cNvGraphicFramePr>
              <a:graphicFrameLocks noChangeAspect="1"/>
            </wp:cNvGraphicFramePr>
            <a:graphic>
              <a:graphicData uri="http://schemas.openxmlformats.org/drawingml/2006/picture">
                <pic:pic>
                  <pic:nvPicPr>
                    <pic:cNvPr id="75" name="img_l5_78.jpg"/>
                    <pic:cNvPicPr/>
                  </pic:nvPicPr>
                  <pic:blipFill>
                    <a:blip r:embed="rId83"/>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76" name="Picture 15"/>
            <wp:cNvGraphicFramePr>
              <a:graphicFrameLocks noChangeAspect="1"/>
            </wp:cNvGraphicFramePr>
            <a:graphic>
              <a:graphicData uri="http://schemas.openxmlformats.org/drawingml/2006/picture">
                <pic:pic>
                  <pic:nvPicPr>
                    <pic:cNvPr id="76" name="img_l5_79.jpg"/>
                    <pic:cNvPicPr/>
                  </pic:nvPicPr>
                  <pic:blipFill>
                    <a:blip r:embed="rId84"/>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77" name="Picture 16"/>
            <wp:cNvGraphicFramePr>
              <a:graphicFrameLocks noChangeAspect="1"/>
            </wp:cNvGraphicFramePr>
            <a:graphic>
              <a:graphicData uri="http://schemas.openxmlformats.org/drawingml/2006/picture">
                <pic:pic>
                  <pic:nvPicPr>
                    <pic:cNvPr id="77" name="img_l5_80.jpg"/>
                    <pic:cNvPicPr/>
                  </pic:nvPicPr>
                  <pic:blipFill>
                    <a:blip r:embed="rId85"/>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78" name="Picture 17"/>
            <wp:cNvGraphicFramePr>
              <a:graphicFrameLocks noChangeAspect="1"/>
            </wp:cNvGraphicFramePr>
            <a:graphic>
              <a:graphicData uri="http://schemas.openxmlformats.org/drawingml/2006/picture">
                <pic:pic>
                  <pic:nvPicPr>
                    <pic:cNvPr id="78" name="img_l5_81.jpg"/>
                    <pic:cNvPicPr/>
                  </pic:nvPicPr>
                  <pic:blipFill>
                    <a:blip r:embed="rId86"/>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79" name="Picture 18"/>
            <wp:cNvGraphicFramePr>
              <a:graphicFrameLocks noChangeAspect="1"/>
            </wp:cNvGraphicFramePr>
            <a:graphic>
              <a:graphicData uri="http://schemas.openxmlformats.org/drawingml/2006/picture">
                <pic:pic>
                  <pic:nvPicPr>
                    <pic:cNvPr id="79" name="img_l5_82.jpg"/>
                    <pic:cNvPicPr/>
                  </pic:nvPicPr>
                  <pic:blipFill>
                    <a:blip r:embed="rId87"/>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80" name="Picture 19"/>
            <wp:cNvGraphicFramePr>
              <a:graphicFrameLocks noChangeAspect="1"/>
            </wp:cNvGraphicFramePr>
            <a:graphic>
              <a:graphicData uri="http://schemas.openxmlformats.org/drawingml/2006/picture">
                <pic:pic>
                  <pic:nvPicPr>
                    <pic:cNvPr id="80" name="img_l5_83.jpg"/>
                    <pic:cNvPicPr/>
                  </pic:nvPicPr>
                  <pic:blipFill>
                    <a:blip r:embed="rId88"/>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81" name="Picture 20"/>
            <wp:cNvGraphicFramePr>
              <a:graphicFrameLocks noChangeAspect="1"/>
            </wp:cNvGraphicFramePr>
            <a:graphic>
              <a:graphicData uri="http://schemas.openxmlformats.org/drawingml/2006/picture">
                <pic:pic>
                  <pic:nvPicPr>
                    <pic:cNvPr id="81" name="img_l5_84.jpg"/>
                    <pic:cNvPicPr/>
                  </pic:nvPicPr>
                  <pic:blipFill>
                    <a:blip r:embed="rId89"/>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82" name="Picture 21"/>
            <wp:cNvGraphicFramePr>
              <a:graphicFrameLocks noChangeAspect="1"/>
            </wp:cNvGraphicFramePr>
            <a:graphic>
              <a:graphicData uri="http://schemas.openxmlformats.org/drawingml/2006/picture">
                <pic:pic>
                  <pic:nvPicPr>
                    <pic:cNvPr id="82" name="img_l5_85.jpg"/>
                    <pic:cNvPicPr/>
                  </pic:nvPicPr>
                  <pic:blipFill>
                    <a:blip r:embed="rId90"/>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83" name="Picture 22"/>
            <wp:cNvGraphicFramePr>
              <a:graphicFrameLocks noChangeAspect="1"/>
            </wp:cNvGraphicFramePr>
            <a:graphic>
              <a:graphicData uri="http://schemas.openxmlformats.org/drawingml/2006/picture">
                <pic:pic>
                  <pic:nvPicPr>
                    <pic:cNvPr id="83" name="img_l5_86.jpg"/>
                    <pic:cNvPicPr/>
                  </pic:nvPicPr>
                  <pic:blipFill>
                    <a:blip r:embed="rId91"/>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84" name="Picture 23"/>
            <wp:cNvGraphicFramePr>
              <a:graphicFrameLocks noChangeAspect="1"/>
            </wp:cNvGraphicFramePr>
            <a:graphic>
              <a:graphicData uri="http://schemas.openxmlformats.org/drawingml/2006/picture">
                <pic:pic>
                  <pic:nvPicPr>
                    <pic:cNvPr id="84" name="img_l5_87.jpg"/>
                    <pic:cNvPicPr/>
                  </pic:nvPicPr>
                  <pic:blipFill>
                    <a:blip r:embed="rId92"/>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85" name="Picture 24"/>
            <wp:cNvGraphicFramePr>
              <a:graphicFrameLocks noChangeAspect="1"/>
            </wp:cNvGraphicFramePr>
            <a:graphic>
              <a:graphicData uri="http://schemas.openxmlformats.org/drawingml/2006/picture">
                <pic:pic>
                  <pic:nvPicPr>
                    <pic:cNvPr id="85" name="img_l5_88.jpg"/>
                    <pic:cNvPicPr/>
                  </pic:nvPicPr>
                  <pic:blipFill>
                    <a:blip r:embed="rId93"/>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86" name="Picture 25"/>
            <wp:cNvGraphicFramePr>
              <a:graphicFrameLocks noChangeAspect="1"/>
            </wp:cNvGraphicFramePr>
            <a:graphic>
              <a:graphicData uri="http://schemas.openxmlformats.org/drawingml/2006/picture">
                <pic:pic>
                  <pic:nvPicPr>
                    <pic:cNvPr id="86" name="img_l5_89.jpg"/>
                    <pic:cNvPicPr/>
                  </pic:nvPicPr>
                  <pic:blipFill>
                    <a:blip r:embed="rId94"/>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87" name="Picture 26"/>
            <wp:cNvGraphicFramePr>
              <a:graphicFrameLocks noChangeAspect="1"/>
            </wp:cNvGraphicFramePr>
            <a:graphic>
              <a:graphicData uri="http://schemas.openxmlformats.org/drawingml/2006/picture">
                <pic:pic>
                  <pic:nvPicPr>
                    <pic:cNvPr id="87" name="img_l5_90.jpg"/>
                    <pic:cNvPicPr/>
                  </pic:nvPicPr>
                  <pic:blipFill>
                    <a:blip r:embed="rId95"/>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88" name="Picture 27"/>
            <wp:cNvGraphicFramePr>
              <a:graphicFrameLocks noChangeAspect="1"/>
            </wp:cNvGraphicFramePr>
            <a:graphic>
              <a:graphicData uri="http://schemas.openxmlformats.org/drawingml/2006/picture">
                <pic:pic>
                  <pic:nvPicPr>
                    <pic:cNvPr id="88" name="img_l5_91.jpg"/>
                    <pic:cNvPicPr/>
                  </pic:nvPicPr>
                  <pic:blipFill>
                    <a:blip r:embed="rId96"/>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89" name="Picture 28"/>
            <wp:cNvGraphicFramePr>
              <a:graphicFrameLocks noChangeAspect="1"/>
            </wp:cNvGraphicFramePr>
            <a:graphic>
              <a:graphicData uri="http://schemas.openxmlformats.org/drawingml/2006/picture">
                <pic:pic>
                  <pic:nvPicPr>
                    <pic:cNvPr id="89" name="img_l5_92.jpg"/>
                    <pic:cNvPicPr/>
                  </pic:nvPicPr>
                  <pic:blipFill>
                    <a:blip r:embed="rId97"/>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90" name="Picture 29"/>
            <wp:cNvGraphicFramePr>
              <a:graphicFrameLocks noChangeAspect="1"/>
            </wp:cNvGraphicFramePr>
            <a:graphic>
              <a:graphicData uri="http://schemas.openxmlformats.org/drawingml/2006/picture">
                <pic:pic>
                  <pic:nvPicPr>
                    <pic:cNvPr id="90" name="img_l5_93.jpg"/>
                    <pic:cNvPicPr/>
                  </pic:nvPicPr>
                  <pic:blipFill>
                    <a:blip r:embed="rId98"/>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91" name="Picture 30"/>
            <wp:cNvGraphicFramePr>
              <a:graphicFrameLocks noChangeAspect="1"/>
            </wp:cNvGraphicFramePr>
            <a:graphic>
              <a:graphicData uri="http://schemas.openxmlformats.org/drawingml/2006/picture">
                <pic:pic>
                  <pic:nvPicPr>
                    <pic:cNvPr id="91" name="img_l5_94.jpg"/>
                    <pic:cNvPicPr/>
                  </pic:nvPicPr>
                  <pic:blipFill>
                    <a:blip r:embed="rId99"/>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92" name="Picture 31"/>
            <wp:cNvGraphicFramePr>
              <a:graphicFrameLocks noChangeAspect="1"/>
            </wp:cNvGraphicFramePr>
            <a:graphic>
              <a:graphicData uri="http://schemas.openxmlformats.org/drawingml/2006/picture">
                <pic:pic>
                  <pic:nvPicPr>
                    <pic:cNvPr id="92" name="img_l5_95.jpg"/>
                    <pic:cNvPicPr/>
                  </pic:nvPicPr>
                  <pic:blipFill>
                    <a:blip r:embed="rId100"/>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93" name="Picture 32"/>
            <wp:cNvGraphicFramePr>
              <a:graphicFrameLocks noChangeAspect="1"/>
            </wp:cNvGraphicFramePr>
            <a:graphic>
              <a:graphicData uri="http://schemas.openxmlformats.org/drawingml/2006/picture">
                <pic:pic>
                  <pic:nvPicPr>
                    <pic:cNvPr id="93" name="img_l5_96.jpg"/>
                    <pic:cNvPicPr/>
                  </pic:nvPicPr>
                  <pic:blipFill>
                    <a:blip r:embed="rId101"/>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94" name="Picture 33"/>
            <wp:cNvGraphicFramePr>
              <a:graphicFrameLocks noChangeAspect="1"/>
            </wp:cNvGraphicFramePr>
            <a:graphic>
              <a:graphicData uri="http://schemas.openxmlformats.org/drawingml/2006/picture">
                <pic:pic>
                  <pic:nvPicPr>
                    <pic:cNvPr id="94" name="img_l5_97.jpg"/>
                    <pic:cNvPicPr/>
                  </pic:nvPicPr>
                  <pic:blipFill>
                    <a:blip r:embed="rId102"/>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95" name="Picture 34"/>
            <wp:cNvGraphicFramePr>
              <a:graphicFrameLocks noChangeAspect="1"/>
            </wp:cNvGraphicFramePr>
            <a:graphic>
              <a:graphicData uri="http://schemas.openxmlformats.org/drawingml/2006/picture">
                <pic:pic>
                  <pic:nvPicPr>
                    <pic:cNvPr id="95" name="img_l5_98.jpg"/>
                    <pic:cNvPicPr/>
                  </pic:nvPicPr>
                  <pic:blipFill>
                    <a:blip r:embed="rId103"/>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96" name="Picture 35"/>
            <wp:cNvGraphicFramePr>
              <a:graphicFrameLocks noChangeAspect="1"/>
            </wp:cNvGraphicFramePr>
            <a:graphic>
              <a:graphicData uri="http://schemas.openxmlformats.org/drawingml/2006/picture">
                <pic:pic>
                  <pic:nvPicPr>
                    <pic:cNvPr id="96" name="img_l5_99.jpg"/>
                    <pic:cNvPicPr/>
                  </pic:nvPicPr>
                  <pic:blipFill>
                    <a:blip r:embed="rId104"/>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97" name="Picture 36"/>
            <wp:cNvGraphicFramePr>
              <a:graphicFrameLocks noChangeAspect="1"/>
            </wp:cNvGraphicFramePr>
            <a:graphic>
              <a:graphicData uri="http://schemas.openxmlformats.org/drawingml/2006/picture">
                <pic:pic>
                  <pic:nvPicPr>
                    <pic:cNvPr id="97" name="img_l5_100.jpg"/>
                    <pic:cNvPicPr/>
                  </pic:nvPicPr>
                  <pic:blipFill>
                    <a:blip r:embed="rId105"/>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98" name="Picture 37"/>
            <wp:cNvGraphicFramePr>
              <a:graphicFrameLocks noChangeAspect="1"/>
            </wp:cNvGraphicFramePr>
            <a:graphic>
              <a:graphicData uri="http://schemas.openxmlformats.org/drawingml/2006/picture">
                <pic:pic>
                  <pic:nvPicPr>
                    <pic:cNvPr id="98" name="img_l5_101.jpg"/>
                    <pic:cNvPicPr/>
                  </pic:nvPicPr>
                  <pic:blipFill>
                    <a:blip r:embed="rId106"/>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99" name="Picture 38"/>
            <wp:cNvGraphicFramePr>
              <a:graphicFrameLocks noChangeAspect="1"/>
            </wp:cNvGraphicFramePr>
            <a:graphic>
              <a:graphicData uri="http://schemas.openxmlformats.org/drawingml/2006/picture">
                <pic:pic>
                  <pic:nvPicPr>
                    <pic:cNvPr id="99" name="img_l5_102.jpg"/>
                    <pic:cNvPicPr/>
                  </pic:nvPicPr>
                  <pic:blipFill>
                    <a:blip r:embed="rId107"/>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100" name="Picture 39"/>
            <wp:cNvGraphicFramePr>
              <a:graphicFrameLocks noChangeAspect="1"/>
            </wp:cNvGraphicFramePr>
            <a:graphic>
              <a:graphicData uri="http://schemas.openxmlformats.org/drawingml/2006/picture">
                <pic:pic>
                  <pic:nvPicPr>
                    <pic:cNvPr id="100" name="img_l5_103.jpg"/>
                    <pic:cNvPicPr/>
                  </pic:nvPicPr>
                  <pic:blipFill>
                    <a:blip r:embed="rId108"/>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101" name="Picture 40"/>
            <wp:cNvGraphicFramePr>
              <a:graphicFrameLocks noChangeAspect="1"/>
            </wp:cNvGraphicFramePr>
            <a:graphic>
              <a:graphicData uri="http://schemas.openxmlformats.org/drawingml/2006/picture">
                <pic:pic>
                  <pic:nvPicPr>
                    <pic:cNvPr id="101" name="img_l5_104.jpg"/>
                    <pic:cNvPicPr/>
                  </pic:nvPicPr>
                  <pic:blipFill>
                    <a:blip r:embed="rId109"/>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102" name="Picture 41"/>
            <wp:cNvGraphicFramePr>
              <a:graphicFrameLocks noChangeAspect="1"/>
            </wp:cNvGraphicFramePr>
            <a:graphic>
              <a:graphicData uri="http://schemas.openxmlformats.org/drawingml/2006/picture">
                <pic:pic>
                  <pic:nvPicPr>
                    <pic:cNvPr id="102" name="img_l5_105.jpg"/>
                    <pic:cNvPicPr/>
                  </pic:nvPicPr>
                  <pic:blipFill>
                    <a:blip r:embed="rId110"/>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103" name="Picture 42"/>
            <wp:cNvGraphicFramePr>
              <a:graphicFrameLocks noChangeAspect="1"/>
            </wp:cNvGraphicFramePr>
            <a:graphic>
              <a:graphicData uri="http://schemas.openxmlformats.org/drawingml/2006/picture">
                <pic:pic>
                  <pic:nvPicPr>
                    <pic:cNvPr id="103" name="img_l5_106.jpg"/>
                    <pic:cNvPicPr/>
                  </pic:nvPicPr>
                  <pic:blipFill>
                    <a:blip r:embed="rId111"/>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104" name="Picture 43"/>
            <wp:cNvGraphicFramePr>
              <a:graphicFrameLocks noChangeAspect="1"/>
            </wp:cNvGraphicFramePr>
            <a:graphic>
              <a:graphicData uri="http://schemas.openxmlformats.org/drawingml/2006/picture">
                <pic:pic>
                  <pic:nvPicPr>
                    <pic:cNvPr id="104" name="img_l5_107.jpg"/>
                    <pic:cNvPicPr/>
                  </pic:nvPicPr>
                  <pic:blipFill>
                    <a:blip r:embed="rId112"/>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105" name="Picture 44"/>
            <wp:cNvGraphicFramePr>
              <a:graphicFrameLocks noChangeAspect="1"/>
            </wp:cNvGraphicFramePr>
            <a:graphic>
              <a:graphicData uri="http://schemas.openxmlformats.org/drawingml/2006/picture">
                <pic:pic>
                  <pic:nvPicPr>
                    <pic:cNvPr id="105" name="img_l5_108.jpg"/>
                    <pic:cNvPicPr/>
                  </pic:nvPicPr>
                  <pic:blipFill>
                    <a:blip r:embed="rId113"/>
                    <a:stretch>
                      <a:fillRect/>
                    </a:stretch>
                  </pic:blipFill>
                  <pic:spPr>
                    <a:xfrm>
                      <a:off x="0" y="0"/>
                      <a:ext cx="6984000" cy="9877371"/>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77371"/>
            <wp:docPr id="106" name="Picture 45"/>
            <wp:cNvGraphicFramePr>
              <a:graphicFrameLocks noChangeAspect="1"/>
            </wp:cNvGraphicFramePr>
            <a:graphic>
              <a:graphicData uri="http://schemas.openxmlformats.org/drawingml/2006/picture">
                <pic:pic>
                  <pic:nvPicPr>
                    <pic:cNvPr id="106" name="img_l5_109.jpg"/>
                    <pic:cNvPicPr/>
                  </pic:nvPicPr>
                  <pic:blipFill>
                    <a:blip r:embed="rId114"/>
                    <a:stretch>
                      <a:fillRect/>
                    </a:stretch>
                  </pic:blipFill>
                  <pic:spPr>
                    <a:xfrm>
                      <a:off x="0" y="0"/>
                      <a:ext cx="6984000" cy="9877371"/>
                    </a:xfrm>
                    <a:prstGeom prst="rect"/>
                  </pic:spPr>
                </pic:pic>
              </a:graphicData>
            </a:graphic>
          </wp:inline>
        </w:drawing>
      </w:r>
    </w:p>
    <w:p>
      <w:pPr>
        <w:spacing w:after="0"/>
        <w:jc w:val="center"/>
      </w:pPr>
      <w:r>
        <w:drawing>
          <wp:inline xmlns:a="http://schemas.openxmlformats.org/drawingml/2006/main" xmlns:pic="http://schemas.openxmlformats.org/drawingml/2006/picture">
            <wp:extent cx="6984000" cy="9883240"/>
            <wp:docPr id="107" name="Picture 1"/>
            <wp:cNvGraphicFramePr>
              <a:graphicFrameLocks noChangeAspect="1"/>
            </wp:cNvGraphicFramePr>
            <a:graphic>
              <a:graphicData uri="http://schemas.openxmlformats.org/drawingml/2006/picture">
                <pic:pic>
                  <pic:nvPicPr>
                    <pic:cNvPr id="107" name="img_l6_110.jpg"/>
                    <pic:cNvPicPr/>
                  </pic:nvPicPr>
                  <pic:blipFill>
                    <a:blip r:embed="rId115"/>
                    <a:stretch>
                      <a:fillRect/>
                    </a:stretch>
                  </pic:blipFill>
                  <pic:spPr>
                    <a:xfrm>
                      <a:off x="0" y="0"/>
                      <a:ext cx="6984000" cy="9883240"/>
                    </a:xfrm>
                    <a:prstGeom prst="rect"/>
                  </pic:spPr>
                </pic:pic>
              </a:graphicData>
            </a:graphic>
          </wp:inline>
        </w:drawing>
      </w:r>
    </w:p>
    <w:p>
      <w:pPr>
        <w:pageBreakBefore/>
        <w:spacing w:after="0"/>
        <w:jc w:val="center"/>
      </w:pPr>
      <w:r>
        <w:drawing>
          <wp:inline xmlns:a="http://schemas.openxmlformats.org/drawingml/2006/main" xmlns:pic="http://schemas.openxmlformats.org/drawingml/2006/picture">
            <wp:extent cx="6984000" cy="9883240"/>
            <wp:docPr id="108" name="Picture 2"/>
            <wp:cNvGraphicFramePr>
              <a:graphicFrameLocks noChangeAspect="1"/>
            </wp:cNvGraphicFramePr>
            <a:graphic>
              <a:graphicData uri="http://schemas.openxmlformats.org/drawingml/2006/picture">
                <pic:pic>
                  <pic:nvPicPr>
                    <pic:cNvPr id="108" name="img_l6_111.jpg"/>
                    <pic:cNvPicPr/>
                  </pic:nvPicPr>
                  <pic:blipFill>
                    <a:blip r:embed="rId116"/>
                    <a:stretch>
                      <a:fillRect/>
                    </a:stretch>
                  </pic:blipFill>
                  <pic:spPr>
                    <a:xfrm>
                      <a:off x="0" y="0"/>
                      <a:ext cx="6984000" cy="9883240"/>
                    </a:xfrm>
                    <a:prstGeom prst="rect"/>
                  </pic:spPr>
                </pic:pic>
              </a:graphicData>
            </a:graphic>
          </wp:inline>
        </w:drawing>
      </w:r>
    </w:p>
    <w:p>
      <w:pPr>
        <w:spacing w:after="0"/>
        <w:jc w:val="center"/>
      </w:pPr>
      <w:r>
        <w:drawing>
          <wp:inline xmlns:a="http://schemas.openxmlformats.org/drawingml/2006/main" xmlns:pic="http://schemas.openxmlformats.org/drawingml/2006/picture">
            <wp:extent cx="6984000" cy="9883240"/>
            <wp:docPr id="109" name="Picture 1"/>
            <wp:cNvGraphicFramePr>
              <a:graphicFrameLocks noChangeAspect="1"/>
            </wp:cNvGraphicFramePr>
            <a:graphic>
              <a:graphicData uri="http://schemas.openxmlformats.org/drawingml/2006/picture">
                <pic:pic>
                  <pic:nvPicPr>
                    <pic:cNvPr id="109" name="img_s7_112.jpg"/>
                    <pic:cNvPicPr/>
                  </pic:nvPicPr>
                  <pic:blipFill>
                    <a:blip r:embed="rId117"/>
                    <a:stretch>
                      <a:fillRect/>
                    </a:stretch>
                  </pic:blipFill>
                  <pic:spPr>
                    <a:xfrm>
                      <a:off x="0" y="0"/>
                      <a:ext cx="6984000" cy="9883240"/>
                    </a:xfrm>
                    <a:prstGeom prst="rect"/>
                  </pic:spPr>
                </pic:pic>
              </a:graphicData>
            </a:graphic>
          </wp:inline>
        </w:drawing>
      </w:r>
    </w:p>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Laporan Uji Laboratorium 01 — Model AI Klasifikasi Gas di Perangkat GLD</w:t>
      </w:r>
    </w:p>
    <w:p>
      <w:pPr>
        <w:spacing w:after="200"/>
      </w:pPr>
      <w:r>
        <w:rPr>
          <w:b w:val="0"/>
          <w:i w:val="0"/>
          <w:color w:val="5B5B5B"/>
          <w:sz w:val="21"/>
        </w:rPr>
        <w:t>Pengujian akuisisi data 8 sensor gas, pelatihan dan pengujian model CNN Dual-Branch, kuantisasi untuk mikrokontroler ESP32-S3, serta uji real-time langsung di perangkat GLD.</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LGU/GLD/UJI-LAB/2026-001</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1.1</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5 Oktober 2026</w:t>
            </w:r>
          </w:p>
        </w:tc>
      </w:tr>
      <w:tr>
        <w:tc>
          <w:tcPr>
            <w:tcW w:type="dxa" w:w="2736"/>
            <w:shd w:val="clear" w:color="auto" w:fill="EFEFEC"/>
          </w:tcPr>
          <w:p>
            <w:pPr>
              <w:spacing w:after="40"/>
            </w:pPr>
            <w:r>
              <w:rPr>
                <w:b/>
                <w:color w:val="5B5B5B"/>
                <w:sz w:val="18"/>
              </w:rPr>
              <w:t>Periode uji</w:t>
            </w:r>
          </w:p>
        </w:tc>
        <w:tc>
          <w:tcPr>
            <w:tcW w:type="dxa" w:w="7200"/>
          </w:tcPr>
          <w:p>
            <w:pPr>
              <w:spacing w:after="40"/>
            </w:pPr>
            <w:r>
              <w:rPr>
                <w:sz w:val="19"/>
              </w:rPr>
              <w:t>s.d. 6 Agustus 2026 (hasil dipresentasikan pada rapat 6 Agustus 2026)</w:t>
            </w:r>
          </w:p>
        </w:tc>
      </w:tr>
      <w:tr>
        <w:tc>
          <w:tcPr>
            <w:tcW w:type="dxa" w:w="2736"/>
            <w:shd w:val="clear" w:color="auto" w:fill="EFEFEC"/>
          </w:tcPr>
          <w:p>
            <w:pPr>
              <w:spacing w:after="40"/>
            </w:pPr>
            <w:r>
              <w:rPr>
                <w:b/>
                <w:color w:val="5B5B5B"/>
                <w:sz w:val="18"/>
              </w:rPr>
              <w:t>Item FAT terkait</w:t>
            </w:r>
          </w:p>
        </w:tc>
        <w:tc>
          <w:tcPr>
            <w:tcW w:type="dxa" w:w="7200"/>
          </w:tcPr>
          <w:p>
            <w:pPr>
              <w:spacing w:after="40"/>
            </w:pPr>
            <w:r>
              <w:rPr>
                <w:sz w:val="19"/>
              </w:rPr>
              <w:t>FAT-01 (akuisisi sensor), FAT-02 (klasifikasi AI di perangkat)</w:t>
            </w:r>
          </w:p>
        </w:tc>
      </w:tr>
      <w:tr>
        <w:tc>
          <w:tcPr>
            <w:tcW w:type="dxa" w:w="2736"/>
            <w:shd w:val="clear" w:color="auto" w:fill="EFEFEC"/>
          </w:tcPr>
          <w:p>
            <w:pPr>
              <w:spacing w:after="40"/>
            </w:pPr>
            <w:r>
              <w:rPr>
                <w:b/>
                <w:color w:val="5B5B5B"/>
                <w:sz w:val="18"/>
              </w:rPr>
              <w:t>Lokasi uji</w:t>
            </w:r>
          </w:p>
        </w:tc>
        <w:tc>
          <w:tcPr>
            <w:tcW w:type="dxa" w:w="7200"/>
          </w:tcPr>
          <w:p>
            <w:pPr>
              <w:spacing w:after="40"/>
            </w:pPr>
            <w:r>
              <w:rPr>
                <w:sz w:val="19"/>
              </w:rPr>
              <w:t>Lab IoT, Instrumentation and Computations, Gedung Laboratorium Fisika Terpadu, dan area kampus Institut Teknologi Bandung</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w:t>
            </w:r>
          </w:p>
        </w:tc>
      </w:tr>
      <w:tr>
        <w:tc>
          <w:tcPr>
            <w:tcW w:type="dxa" w:w="2736"/>
            <w:shd w:val="clear" w:color="auto" w:fill="EFEFEC"/>
          </w:tcPr>
          <w:p>
            <w:pPr>
              <w:spacing w:after="40"/>
            </w:pPr>
            <w:r>
              <w:rPr>
                <w:b/>
                <w:color w:val="5B5B5B"/>
                <w:sz w:val="18"/>
              </w:rPr>
              <w:t>Dokumen terkait</w:t>
            </w:r>
          </w:p>
        </w:tc>
        <w:tc>
          <w:tcPr>
            <w:tcW w:type="dxa" w:w="7200"/>
          </w:tcPr>
          <w:p>
            <w:pPr>
              <w:spacing w:after="40"/>
            </w:pPr>
            <w:r>
              <w:rPr>
                <w:sz w:val="19"/>
              </w:rPr>
              <w:t>Laporan Factory Acceptance Test (FAT) Sistem GLD Tahap 2, LGU/GLD/FAT/2026-001</w:t>
            </w:r>
          </w:p>
        </w:tc>
      </w:tr>
    </w:tbl>
    <w:p>
      <w:r>
        <w:br w:type="page"/>
      </w:r>
    </w:p>
    <w:p>
      <w:pPr>
        <w:pStyle w:val="Heading1"/>
      </w:pPr>
      <w:r>
        <w:rPr>
          <w:color w:val="1B2A4A"/>
        </w:rPr>
        <w:t>1. Tujuan</w:t>
      </w:r>
    </w:p>
    <w:p>
      <w:pPr>
        <w:pStyle w:val="ListBullet"/>
        <w:spacing w:after="60"/>
      </w:pPr>
      <w:r>
        <w:rPr>
          <w:b w:val="0"/>
          <w:i w:val="0"/>
          <w:sz w:val="20"/>
        </w:rPr>
        <w:t>Memastikan 8 sensor gas MQ pada node GLD menghasilkan data yang valid dan konsisten untuk dataset.</w:t>
      </w:r>
    </w:p>
    <w:p>
      <w:pPr>
        <w:pStyle w:val="ListBullet"/>
        <w:spacing w:after="60"/>
      </w:pPr>
      <w:r>
        <w:rPr>
          <w:b w:val="0"/>
          <w:i w:val="0"/>
          <w:sz w:val="20"/>
        </w:rPr>
        <w:t>Mengukur akurasi model klasifikasi gas pada data uji dari dataset pengembangan yang belum pernah dilihat model.</w:t>
      </w:r>
    </w:p>
    <w:p>
      <w:pPr>
        <w:pStyle w:val="ListBullet"/>
        <w:spacing w:after="60"/>
      </w:pPr>
      <w:r>
        <w:rPr>
          <w:b w:val="0"/>
          <w:i w:val="0"/>
          <w:sz w:val="20"/>
        </w:rPr>
        <w:t>Memastikan model tetap akurat setelah diperkecil (kuantisasi) agar muat di ESP32-S3.</w:t>
      </w:r>
    </w:p>
    <w:p>
      <w:pPr>
        <w:pStyle w:val="ListBullet"/>
        <w:spacing w:after="60"/>
      </w:pPr>
      <w:r>
        <w:rPr>
          <w:b w:val="0"/>
          <w:i w:val="0"/>
          <w:sz w:val="20"/>
        </w:rPr>
        <w:t>Memastikan model berjalan langsung di perangkat (on-device) dan mengklasifikasikan gas sebenarnya secara real-time.</w:t>
      </w:r>
    </w:p>
    <w:p>
      <w:pPr>
        <w:pStyle w:val="Heading1"/>
      </w:pPr>
      <w:r>
        <w:rPr>
          <w:color w:val="1B2A4A"/>
        </w:rPr>
        <w:t>2. Perangkat dan konfigurasi</w:t>
      </w:r>
    </w:p>
    <w:tbl>
      <w:tblPr>
        <w:tblStyle w:val="TableGrid"/>
        <w:tblW w:type="auto" w:w="0"/>
        <w:tblLook w:firstColumn="1" w:firstRow="1" w:lastColumn="0" w:lastRow="0" w:noHBand="0" w:noVBand="1" w:val="04A0"/>
        <w:tblLayout w:type="fixed"/>
      </w:tblPr>
      <w:tblGrid>
        <w:gridCol w:w="2304"/>
        <w:gridCol w:w="7632"/>
      </w:tblGrid>
      <w:tr>
        <w:tc>
          <w:tcPr>
            <w:tcW w:type="dxa" w:w="2304"/>
            <w:shd w:val="clear" w:color="auto" w:fill="1B2A4A"/>
          </w:tcPr>
          <w:p>
            <w:pPr>
              <w:spacing w:after="20"/>
            </w:pPr>
            <w:r>
              <w:rPr>
                <w:b/>
                <w:color w:val="FFFFFF"/>
                <w:sz w:val="18"/>
              </w:rPr>
              <w:t>Komponen</w:t>
            </w:r>
          </w:p>
        </w:tc>
        <w:tc>
          <w:tcPr>
            <w:tcW w:type="dxa" w:w="7632"/>
            <w:shd w:val="clear" w:color="auto" w:fill="1B2A4A"/>
          </w:tcPr>
          <w:p>
            <w:pPr>
              <w:spacing w:after="20"/>
            </w:pPr>
            <w:r>
              <w:rPr>
                <w:b/>
                <w:color w:val="FFFFFF"/>
                <w:sz w:val="18"/>
              </w:rPr>
              <w:t>Keterangan</w:t>
            </w:r>
          </w:p>
        </w:tc>
      </w:tr>
      <w:tr>
        <w:tc>
          <w:tcPr>
            <w:tcW w:type="dxa" w:w="2304"/>
          </w:tcPr>
          <w:p>
            <w:pPr>
              <w:spacing w:after="20"/>
            </w:pPr>
            <w:r>
              <w:rPr>
                <w:b w:val="0"/>
                <w:i w:val="0"/>
                <w:sz w:val="18"/>
              </w:rPr>
              <w:t>Node GLD</w:t>
            </w:r>
          </w:p>
        </w:tc>
        <w:tc>
          <w:tcPr>
            <w:tcW w:type="dxa" w:w="7632"/>
          </w:tcPr>
          <w:p>
            <w:pPr>
              <w:spacing w:after="20"/>
            </w:pPr>
            <w:r>
              <w:rPr>
                <w:b w:val="0"/>
                <w:i w:val="0"/>
                <w:sz w:val="18"/>
              </w:rPr>
              <w:t>ESP32-S3, 8 sensor MQ (MQ2, MQ3, MQ4, MQ5, MQ6, MQ7, MQ8, MQ135); unit uji real-time: device 1001</w:t>
            </w:r>
          </w:p>
        </w:tc>
      </w:tr>
      <w:tr>
        <w:tc>
          <w:tcPr>
            <w:tcW w:type="dxa" w:w="2304"/>
            <w:shd w:val="clear" w:color="auto" w:fill="FAFAF8"/>
          </w:tcPr>
          <w:p>
            <w:pPr>
              <w:spacing w:after="20"/>
            </w:pPr>
            <w:r>
              <w:rPr>
                <w:b w:val="0"/>
                <w:i w:val="0"/>
                <w:sz w:val="18"/>
              </w:rPr>
              <w:t>Model</w:t>
            </w:r>
          </w:p>
        </w:tc>
        <w:tc>
          <w:tcPr>
            <w:tcW w:type="dxa" w:w="7632"/>
            <w:shd w:val="clear" w:color="auto" w:fill="FAFAF8"/>
          </w:tcPr>
          <w:p>
            <w:pPr>
              <w:spacing w:after="20"/>
            </w:pPr>
            <w:r>
              <w:rPr>
                <w:b w:val="0"/>
                <w:i w:val="0"/>
                <w:sz w:val="18"/>
              </w:rPr>
              <w:t>CNN Dual-Branch: cabang A Conv1D (16 filter, kernel 3) untuk 8 nilai ADC sensor; cabang B Dense untuk 7 fitur pengetahuan datasheet sensor; digabung lalu Dense 16 → output kelas</w:t>
            </w:r>
          </w:p>
        </w:tc>
      </w:tr>
      <w:tr>
        <w:tc>
          <w:tcPr>
            <w:tcW w:type="dxa" w:w="2304"/>
          </w:tcPr>
          <w:p>
            <w:pPr>
              <w:spacing w:after="20"/>
            </w:pPr>
            <w:r>
              <w:rPr>
                <w:b w:val="0"/>
                <w:i w:val="0"/>
                <w:sz w:val="18"/>
              </w:rPr>
              <w:t>Pelatihan</w:t>
            </w:r>
          </w:p>
        </w:tc>
        <w:tc>
          <w:tcPr>
            <w:tcW w:type="dxa" w:w="7632"/>
          </w:tcPr>
          <w:p>
            <w:pPr>
              <w:spacing w:after="20"/>
            </w:pPr>
            <w:r>
              <w:rPr>
                <w:b w:val="0"/>
                <w:i w:val="0"/>
                <w:sz w:val="18"/>
              </w:rPr>
              <w:t>Maksimum 200 epoch dengan early stopping (15 epoch), batch 32, 15% data latih untuk validasi</w:t>
            </w:r>
          </w:p>
        </w:tc>
      </w:tr>
      <w:tr>
        <w:tc>
          <w:tcPr>
            <w:tcW w:type="dxa" w:w="2304"/>
            <w:shd w:val="clear" w:color="auto" w:fill="FAFAF8"/>
          </w:tcPr>
          <w:p>
            <w:pPr>
              <w:spacing w:after="20"/>
            </w:pPr>
            <w:r>
              <w:rPr>
                <w:b w:val="0"/>
                <w:i w:val="0"/>
                <w:sz w:val="18"/>
              </w:rPr>
              <w:t>Runtime di perangkat</w:t>
            </w:r>
          </w:p>
        </w:tc>
        <w:tc>
          <w:tcPr>
            <w:tcW w:type="dxa" w:w="7632"/>
            <w:shd w:val="clear" w:color="auto" w:fill="FAFAF8"/>
          </w:tcPr>
          <w:p>
            <w:pPr>
              <w:spacing w:after="20"/>
            </w:pPr>
            <w:r>
              <w:rPr>
                <w:b w:val="0"/>
                <w:i w:val="0"/>
                <w:sz w:val="18"/>
              </w:rPr>
              <w:t>TensorFlow Lite Micro, model INT8 ditanam di firmware sebagai header C</w:t>
            </w:r>
          </w:p>
        </w:tc>
      </w:tr>
      <w:tr>
        <w:tc>
          <w:tcPr>
            <w:tcW w:type="dxa" w:w="2304"/>
          </w:tcPr>
          <w:p>
            <w:pPr>
              <w:spacing w:after="20"/>
            </w:pPr>
            <w:r>
              <w:rPr>
                <w:b w:val="0"/>
                <w:i w:val="0"/>
                <w:sz w:val="18"/>
              </w:rPr>
              <w:t>Keluaran di perangkat</w:t>
            </w:r>
          </w:p>
        </w:tc>
        <w:tc>
          <w:tcPr>
            <w:tcW w:type="dxa" w:w="7632"/>
          </w:tcPr>
          <w:p>
            <w:pPr>
              <w:spacing w:after="20"/>
            </w:pPr>
            <w:r>
              <w:rPr>
                <w:b w:val="0"/>
                <w:i w:val="0"/>
                <w:sz w:val="18"/>
              </w:rPr>
              <w:t>Sesuai Technical Datasheet Rev 4.0 Gas Leak Detector (4 September 2026), bagian 4.1: label Clean Air, LPG, dan H2 beserta nilai confidence</w:t>
            </w:r>
          </w:p>
        </w:tc>
      </w:tr>
    </w:tbl>
    <w:p>
      <w:pPr>
        <w:spacing w:after="40"/>
      </w:pPr>
    </w:p>
    <w:p>
      <w:pPr>
        <w:spacing w:after="120"/>
      </w:pPr>
      <w:r>
        <w:rPr>
          <w:b w:val="0"/>
          <w:i w:val="0"/>
          <w:sz w:val="19"/>
        </w:rPr>
        <w:t>Laporan ini memuat dua tahap uji: (1) validasi model pada dataset pengembangan berlabel LPG, CO₂, dan udara bersih (Bagian 4.1 dan 4.2); (2) uji real-time di perangkat dengan konfigurasi label Clean Air, LPG, dan H2 sesuai Technical Datasheet Rev 4.0 (Bagian 4.3).</w:t>
      </w:r>
    </w:p>
    <w:p>
      <w:pPr>
        <w:spacing w:after="40"/>
        <w:jc w:val="center"/>
      </w:pPr>
      <w:r>
        <w:drawing>
          <wp:inline xmlns:a="http://schemas.openxmlformats.org/drawingml/2006/main" xmlns:pic="http://schemas.openxmlformats.org/drawingml/2006/picture">
            <wp:extent cx="5760720" cy="3239669"/>
            <wp:docPr id="110" name="Picture 1"/>
            <wp:cNvGraphicFramePr>
              <a:graphicFrameLocks noChangeAspect="1"/>
            </wp:cNvGraphicFramePr>
            <a:graphic>
              <a:graphicData uri="http://schemas.openxmlformats.org/drawingml/2006/picture">
                <pic:pic>
                  <pic:nvPicPr>
                    <pic:cNvPr id="110" name="ai_arsitektur.png"/>
                    <pic:cNvPicPr/>
                  </pic:nvPicPr>
                  <pic:blipFill>
                    <a:blip r:embed="rId118"/>
                    <a:stretch>
                      <a:fillRect/>
                    </a:stretch>
                  </pic:blipFill>
                  <pic:spPr>
                    <a:xfrm>
                      <a:off x="0" y="0"/>
                      <a:ext cx="5760720" cy="3239669"/>
                    </a:xfrm>
                    <a:prstGeom prst="rect"/>
                  </pic:spPr>
                </pic:pic>
              </a:graphicData>
            </a:graphic>
          </wp:inline>
        </w:drawing>
      </w:r>
    </w:p>
    <w:p>
      <w:pPr>
        <w:spacing w:after="160"/>
        <w:jc w:val="center"/>
      </w:pPr>
      <w:r>
        <w:rPr>
          <w:i/>
          <w:color w:val="5B5B5B"/>
          <w:sz w:val="17"/>
        </w:rPr>
        <w:t>Gambar 1. Arsitektur model CNN Dual-Branch</w:t>
      </w:r>
    </w:p>
    <w:p>
      <w:pPr>
        <w:pStyle w:val="Heading1"/>
      </w:pPr>
      <w:r>
        <w:rPr>
          <w:color w:val="1B2A4A"/>
        </w:rPr>
        <w:t>3. Metode</w:t>
      </w:r>
    </w:p>
    <w:p>
      <w:pPr>
        <w:pStyle w:val="ListBullet"/>
        <w:spacing w:after="60"/>
      </w:pPr>
      <w:r>
        <w:rPr>
          <w:b/>
          <w:i w:val="0"/>
          <w:sz w:val="20"/>
        </w:rPr>
        <w:t>Dataset pengembangan.</w:t>
      </w:r>
      <w:r>
        <w:rPr>
          <w:b w:val="0"/>
          <w:i w:val="0"/>
          <w:sz w:val="20"/>
        </w:rPr>
        <w:t xml:space="preserve"> 1.870 pembacaan sensor unik (duplikat dibuang) pada 3 kondisi: LPG, CO₂, dan udara bersih. Dibagi seimbang 80% latih (1.496) dan 20% uji (374).</w:t>
      </w:r>
    </w:p>
    <w:p>
      <w:pPr>
        <w:pStyle w:val="ListBullet"/>
        <w:spacing w:after="60"/>
      </w:pPr>
      <w:r>
        <w:rPr>
          <w:b/>
          <w:i w:val="0"/>
          <w:sz w:val="20"/>
        </w:rPr>
        <w:t>Uji model.</w:t>
      </w:r>
      <w:r>
        <w:rPr>
          <w:b w:val="0"/>
          <w:i w:val="0"/>
          <w:sz w:val="20"/>
        </w:rPr>
        <w:t xml:space="preserve"> Model diuji pada 374 data uji independen; dihitung akurasi, F1-score, dan presisi per kelas.</w:t>
      </w:r>
    </w:p>
    <w:p>
      <w:pPr>
        <w:pStyle w:val="ListBullet"/>
        <w:spacing w:after="60"/>
      </w:pPr>
      <w:r>
        <w:rPr>
          <w:b/>
          <w:i w:val="0"/>
          <w:sz w:val="20"/>
        </w:rPr>
        <w:t>Kuantisasi.</w:t>
      </w:r>
      <w:r>
        <w:rPr>
          <w:b w:val="0"/>
          <w:i w:val="0"/>
          <w:sz w:val="20"/>
        </w:rPr>
        <w:t xml:space="preserve"> Model dikonversi bertahap: Keras → TFLite float32 → TFLite INT8, akurasi diukur ulang tiap tahap.</w:t>
      </w:r>
    </w:p>
    <w:p>
      <w:pPr>
        <w:pStyle w:val="ListBullet"/>
        <w:spacing w:after="60"/>
      </w:pPr>
      <w:r>
        <w:rPr>
          <w:b/>
          <w:i w:val="0"/>
          <w:sz w:val="20"/>
        </w:rPr>
        <w:t>Uji real-time di perangkat.</w:t>
      </w:r>
      <w:r>
        <w:rPr>
          <w:b w:val="0"/>
          <w:i w:val="0"/>
          <w:sz w:val="20"/>
        </w:rPr>
        <w:t xml:space="preserve"> Model INT8 dijalankan di board ESP32-S3 (device 1001) nonstop ±11,7 menit dengan paparan H2 dan udara bersih; hasil klasifikasi dibandingkan dengan gas sebenarnya yang dipaparkan.</w:t>
      </w:r>
    </w:p>
    <w:p>
      <w:pPr>
        <w:spacing w:after="40"/>
        <w:jc w:val="center"/>
      </w:pPr>
      <w:r>
        <w:drawing>
          <wp:inline xmlns:a="http://schemas.openxmlformats.org/drawingml/2006/main" xmlns:pic="http://schemas.openxmlformats.org/drawingml/2006/picture">
            <wp:extent cx="5760720" cy="3239669"/>
            <wp:docPr id="111" name="Picture 2"/>
            <wp:cNvGraphicFramePr>
              <a:graphicFrameLocks noChangeAspect="1"/>
            </wp:cNvGraphicFramePr>
            <a:graphic>
              <a:graphicData uri="http://schemas.openxmlformats.org/drawingml/2006/picture">
                <pic:pic>
                  <pic:nvPicPr>
                    <pic:cNvPr id="111" name="ai_data.png"/>
                    <pic:cNvPicPr/>
                  </pic:nvPicPr>
                  <pic:blipFill>
                    <a:blip r:embed="rId119"/>
                    <a:stretch>
                      <a:fillRect/>
                    </a:stretch>
                  </pic:blipFill>
                  <pic:spPr>
                    <a:xfrm>
                      <a:off x="0" y="0"/>
                      <a:ext cx="5760720" cy="3239669"/>
                    </a:xfrm>
                    <a:prstGeom prst="rect"/>
                  </pic:spPr>
                </pic:pic>
              </a:graphicData>
            </a:graphic>
          </wp:inline>
        </w:drawing>
      </w:r>
    </w:p>
    <w:p>
      <w:pPr>
        <w:spacing w:after="160"/>
        <w:jc w:val="center"/>
      </w:pPr>
      <w:r>
        <w:rPr>
          <w:i/>
          <w:color w:val="5B5B5B"/>
          <w:sz w:val="17"/>
        </w:rPr>
        <w:t>Gambar 2. Sebaran data per kondisi gas dan sensor yang dipakai</w:t>
      </w:r>
    </w:p>
    <w:p>
      <w:pPr>
        <w:pStyle w:val="Heading1"/>
      </w:pPr>
      <w:r>
        <w:rPr>
          <w:color w:val="1B2A4A"/>
        </w:rPr>
        <w:t>4. Hasil</w:t>
      </w:r>
    </w:p>
    <w:p>
      <w:pPr>
        <w:pStyle w:val="Heading2"/>
      </w:pPr>
      <w:r>
        <w:rPr>
          <w:color w:val="1B2A4A"/>
        </w:rPr>
        <w:t>4.1 Akurasi pada data uji (dataset pengembangan)</w:t>
      </w:r>
    </w:p>
    <w:tbl>
      <w:tblPr>
        <w:tblStyle w:val="TableGrid"/>
        <w:tblW w:type="auto" w:w="0"/>
        <w:tblLook w:firstColumn="1" w:firstRow="1" w:lastColumn="0" w:lastRow="0" w:noHBand="0" w:noVBand="1" w:val="04A0"/>
        <w:tblLayout w:type="fixed"/>
      </w:tblPr>
      <w:tblGrid>
        <w:gridCol w:w="5040"/>
        <w:gridCol w:w="4896"/>
      </w:tblGrid>
      <w:tr>
        <w:tc>
          <w:tcPr>
            <w:tcW w:type="dxa" w:w="5040"/>
            <w:shd w:val="clear" w:color="auto" w:fill="1B2A4A"/>
          </w:tcPr>
          <w:p>
            <w:pPr>
              <w:spacing w:after="20"/>
            </w:pPr>
            <w:r>
              <w:rPr>
                <w:b/>
                <w:color w:val="FFFFFF"/>
                <w:sz w:val="18"/>
              </w:rPr>
              <w:t>Parameter</w:t>
            </w:r>
          </w:p>
        </w:tc>
        <w:tc>
          <w:tcPr>
            <w:tcW w:type="dxa" w:w="4896"/>
            <w:shd w:val="clear" w:color="auto" w:fill="1B2A4A"/>
          </w:tcPr>
          <w:p>
            <w:pPr>
              <w:spacing w:after="20"/>
            </w:pPr>
            <w:r>
              <w:rPr>
                <w:b/>
                <w:color w:val="FFFFFF"/>
                <w:sz w:val="18"/>
              </w:rPr>
              <w:t>Hasil</w:t>
            </w:r>
          </w:p>
        </w:tc>
      </w:tr>
      <w:tr>
        <w:tc>
          <w:tcPr>
            <w:tcW w:type="dxa" w:w="5040"/>
          </w:tcPr>
          <w:p>
            <w:pPr>
              <w:spacing w:after="20"/>
            </w:pPr>
            <w:r>
              <w:rPr>
                <w:b w:val="0"/>
                <w:i w:val="0"/>
                <w:sz w:val="18"/>
              </w:rPr>
              <w:t>Akurasi keseluruhan (374 data uji)</w:t>
            </w:r>
          </w:p>
        </w:tc>
        <w:tc>
          <w:tcPr>
            <w:tcW w:type="dxa" w:w="4896"/>
          </w:tcPr>
          <w:p>
            <w:pPr>
              <w:spacing w:after="20"/>
            </w:pPr>
            <w:r>
              <w:rPr>
                <w:b w:val="0"/>
                <w:i w:val="0"/>
                <w:sz w:val="18"/>
              </w:rPr>
              <w:t>99,73%</w:t>
            </w:r>
          </w:p>
        </w:tc>
      </w:tr>
      <w:tr>
        <w:tc>
          <w:tcPr>
            <w:tcW w:type="dxa" w:w="5040"/>
            <w:shd w:val="clear" w:color="auto" w:fill="FAFAF8"/>
          </w:tcPr>
          <w:p>
            <w:pPr>
              <w:spacing w:after="20"/>
            </w:pPr>
            <w:r>
              <w:rPr>
                <w:b w:val="0"/>
                <w:i w:val="0"/>
                <w:sz w:val="18"/>
              </w:rPr>
              <w:t>F1-score rata-rata</w:t>
            </w:r>
          </w:p>
        </w:tc>
        <w:tc>
          <w:tcPr>
            <w:tcW w:type="dxa" w:w="4896"/>
            <w:shd w:val="clear" w:color="auto" w:fill="FAFAF8"/>
          </w:tcPr>
          <w:p>
            <w:pPr>
              <w:spacing w:after="20"/>
            </w:pPr>
            <w:r>
              <w:rPr>
                <w:b w:val="0"/>
                <w:i w:val="0"/>
                <w:sz w:val="18"/>
              </w:rPr>
              <w:t>99,56%</w:t>
            </w:r>
          </w:p>
        </w:tc>
      </w:tr>
      <w:tr>
        <w:tc>
          <w:tcPr>
            <w:tcW w:type="dxa" w:w="5040"/>
          </w:tcPr>
          <w:p>
            <w:pPr>
              <w:spacing w:after="20"/>
            </w:pPr>
            <w:r>
              <w:rPr>
                <w:b w:val="0"/>
                <w:i w:val="0"/>
                <w:sz w:val="18"/>
              </w:rPr>
              <w:t>Presisi LPG (220 data)</w:t>
            </w:r>
          </w:p>
        </w:tc>
        <w:tc>
          <w:tcPr>
            <w:tcW w:type="dxa" w:w="4896"/>
          </w:tcPr>
          <w:p>
            <w:pPr>
              <w:spacing w:after="20"/>
            </w:pPr>
            <w:r>
              <w:rPr>
                <w:b w:val="0"/>
                <w:i w:val="0"/>
                <w:sz w:val="18"/>
              </w:rPr>
              <w:t>100%</w:t>
            </w:r>
          </w:p>
        </w:tc>
      </w:tr>
      <w:tr>
        <w:tc>
          <w:tcPr>
            <w:tcW w:type="dxa" w:w="5040"/>
            <w:shd w:val="clear" w:color="auto" w:fill="FAFAF8"/>
          </w:tcPr>
          <w:p>
            <w:pPr>
              <w:spacing w:after="20"/>
            </w:pPr>
            <w:r>
              <w:rPr>
                <w:b w:val="0"/>
                <w:i w:val="0"/>
                <w:sz w:val="18"/>
              </w:rPr>
              <w:t>Presisi CO₂ (109 data)</w:t>
            </w:r>
          </w:p>
        </w:tc>
        <w:tc>
          <w:tcPr>
            <w:tcW w:type="dxa" w:w="4896"/>
            <w:shd w:val="clear" w:color="auto" w:fill="FAFAF8"/>
          </w:tcPr>
          <w:p>
            <w:pPr>
              <w:spacing w:after="20"/>
            </w:pPr>
            <w:r>
              <w:rPr>
                <w:b w:val="0"/>
                <w:i w:val="0"/>
                <w:sz w:val="18"/>
              </w:rPr>
              <w:t>100%</w:t>
            </w:r>
          </w:p>
        </w:tc>
      </w:tr>
      <w:tr>
        <w:tc>
          <w:tcPr>
            <w:tcW w:type="dxa" w:w="5040"/>
          </w:tcPr>
          <w:p>
            <w:pPr>
              <w:spacing w:after="20"/>
            </w:pPr>
            <w:r>
              <w:rPr>
                <w:b w:val="0"/>
                <w:i w:val="0"/>
                <w:sz w:val="18"/>
              </w:rPr>
              <w:t>Presisi udara bersih (45 data)</w:t>
            </w:r>
          </w:p>
        </w:tc>
        <w:tc>
          <w:tcPr>
            <w:tcW w:type="dxa" w:w="4896"/>
          </w:tcPr>
          <w:p>
            <w:pPr>
              <w:spacing w:after="20"/>
            </w:pPr>
            <w:r>
              <w:rPr>
                <w:b w:val="0"/>
                <w:i w:val="0"/>
                <w:sz w:val="18"/>
              </w:rPr>
              <w:t>98%</w:t>
            </w:r>
          </w:p>
        </w:tc>
      </w:tr>
    </w:tbl>
    <w:p>
      <w:pPr>
        <w:spacing w:after="40"/>
      </w:pPr>
    </w:p>
    <w:p>
      <w:pPr>
        <w:spacing w:after="40"/>
        <w:jc w:val="center"/>
      </w:pPr>
      <w:r>
        <w:drawing>
          <wp:inline xmlns:a="http://schemas.openxmlformats.org/drawingml/2006/main" xmlns:pic="http://schemas.openxmlformats.org/drawingml/2006/picture">
            <wp:extent cx="5760720" cy="3239669"/>
            <wp:docPr id="112" name="Picture 3"/>
            <wp:cNvGraphicFramePr>
              <a:graphicFrameLocks noChangeAspect="1"/>
            </wp:cNvGraphicFramePr>
            <a:graphic>
              <a:graphicData uri="http://schemas.openxmlformats.org/drawingml/2006/picture">
                <pic:pic>
                  <pic:nvPicPr>
                    <pic:cNvPr id="112" name="ai_hasil_uji.png"/>
                    <pic:cNvPicPr/>
                  </pic:nvPicPr>
                  <pic:blipFill>
                    <a:blip r:embed="rId120"/>
                    <a:stretch>
                      <a:fillRect/>
                    </a:stretch>
                  </pic:blipFill>
                  <pic:spPr>
                    <a:xfrm>
                      <a:off x="0" y="0"/>
                      <a:ext cx="5760720" cy="3239669"/>
                    </a:xfrm>
                    <a:prstGeom prst="rect"/>
                  </pic:spPr>
                </pic:pic>
              </a:graphicData>
            </a:graphic>
          </wp:inline>
        </w:drawing>
      </w:r>
    </w:p>
    <w:p>
      <w:pPr>
        <w:spacing w:after="160"/>
        <w:jc w:val="center"/>
      </w:pPr>
      <w:r>
        <w:rPr>
          <w:i/>
          <w:color w:val="5B5B5B"/>
          <w:sz w:val="17"/>
        </w:rPr>
        <w:t>Gambar 3. Hasil uji model dan confusion matrix</w:t>
      </w:r>
    </w:p>
    <w:p>
      <w:pPr>
        <w:pStyle w:val="Heading2"/>
      </w:pPr>
      <w:r>
        <w:rPr>
          <w:color w:val="1B2A4A"/>
        </w:rPr>
        <w:t>4.2 Kuantisasi untuk ESP32-S3</w:t>
      </w:r>
    </w:p>
    <w:tbl>
      <w:tblPr>
        <w:tblStyle w:val="TableGrid"/>
        <w:tblW w:type="auto" w:w="0"/>
        <w:tblLook w:firstColumn="1" w:firstRow="1" w:lastColumn="0" w:lastRow="0" w:noHBand="0" w:noVBand="1" w:val="04A0"/>
        <w:tblLayout w:type="fixed"/>
      </w:tblPr>
      <w:tblGrid>
        <w:gridCol w:w="4320"/>
        <w:gridCol w:w="2736"/>
        <w:gridCol w:w="2880"/>
      </w:tblGrid>
      <w:tr>
        <w:tc>
          <w:tcPr>
            <w:tcW w:type="dxa" w:w="4320"/>
            <w:shd w:val="clear" w:color="auto" w:fill="1B2A4A"/>
          </w:tcPr>
          <w:p>
            <w:pPr>
              <w:spacing w:after="20"/>
            </w:pPr>
            <w:r>
              <w:rPr>
                <w:b/>
                <w:color w:val="FFFFFF"/>
                <w:sz w:val="18"/>
              </w:rPr>
              <w:t>Versi model</w:t>
            </w:r>
          </w:p>
        </w:tc>
        <w:tc>
          <w:tcPr>
            <w:tcW w:type="dxa" w:w="2736"/>
            <w:shd w:val="clear" w:color="auto" w:fill="1B2A4A"/>
          </w:tcPr>
          <w:p>
            <w:pPr>
              <w:spacing w:after="20"/>
            </w:pPr>
            <w:r>
              <w:rPr>
                <w:b/>
                <w:color w:val="FFFFFF"/>
                <w:sz w:val="18"/>
              </w:rPr>
              <w:t>Ukuran</w:t>
            </w:r>
          </w:p>
        </w:tc>
        <w:tc>
          <w:tcPr>
            <w:tcW w:type="dxa" w:w="2880"/>
            <w:shd w:val="clear" w:color="auto" w:fill="1B2A4A"/>
          </w:tcPr>
          <w:p>
            <w:pPr>
              <w:spacing w:after="20"/>
            </w:pPr>
            <w:r>
              <w:rPr>
                <w:b/>
                <w:color w:val="FFFFFF"/>
                <w:sz w:val="18"/>
              </w:rPr>
              <w:t>Akurasi</w:t>
            </w:r>
          </w:p>
        </w:tc>
      </w:tr>
      <w:tr>
        <w:tc>
          <w:tcPr>
            <w:tcW w:type="dxa" w:w="4320"/>
          </w:tcPr>
          <w:p>
            <w:pPr>
              <w:spacing w:after="20"/>
            </w:pPr>
            <w:r>
              <w:rPr>
                <w:b w:val="0"/>
                <w:i w:val="0"/>
                <w:sz w:val="18"/>
              </w:rPr>
              <w:t>Keras (asli)</w:t>
            </w:r>
          </w:p>
        </w:tc>
        <w:tc>
          <w:tcPr>
            <w:tcW w:type="dxa" w:w="2736"/>
          </w:tcPr>
          <w:p>
            <w:pPr>
              <w:spacing w:after="20"/>
            </w:pPr>
            <w:r>
              <w:rPr>
                <w:b w:val="0"/>
                <w:i w:val="0"/>
                <w:sz w:val="18"/>
              </w:rPr>
              <w:t>57,95 KB</w:t>
            </w:r>
          </w:p>
        </w:tc>
        <w:tc>
          <w:tcPr>
            <w:tcW w:type="dxa" w:w="2880"/>
          </w:tcPr>
          <w:p>
            <w:pPr>
              <w:spacing w:after="20"/>
            </w:pPr>
            <w:r>
              <w:rPr>
                <w:b w:val="0"/>
                <w:i w:val="0"/>
                <w:sz w:val="18"/>
              </w:rPr>
              <w:t>99,73%</w:t>
            </w:r>
          </w:p>
        </w:tc>
      </w:tr>
      <w:tr>
        <w:tc>
          <w:tcPr>
            <w:tcW w:type="dxa" w:w="4320"/>
            <w:shd w:val="clear" w:color="auto" w:fill="FAFAF8"/>
          </w:tcPr>
          <w:p>
            <w:pPr>
              <w:spacing w:after="20"/>
            </w:pPr>
            <w:r>
              <w:rPr>
                <w:b w:val="0"/>
                <w:i w:val="0"/>
                <w:sz w:val="18"/>
              </w:rPr>
              <w:t>TFLite float32</w:t>
            </w:r>
          </w:p>
        </w:tc>
        <w:tc>
          <w:tcPr>
            <w:tcW w:type="dxa" w:w="2736"/>
            <w:shd w:val="clear" w:color="auto" w:fill="FAFAF8"/>
          </w:tcPr>
          <w:p>
            <w:pPr>
              <w:spacing w:after="20"/>
            </w:pPr>
            <w:r>
              <w:rPr>
                <w:b w:val="0"/>
                <w:i w:val="0"/>
                <w:sz w:val="18"/>
              </w:rPr>
              <w:t>11,29 KB</w:t>
            </w:r>
          </w:p>
        </w:tc>
        <w:tc>
          <w:tcPr>
            <w:tcW w:type="dxa" w:w="2880"/>
            <w:shd w:val="clear" w:color="auto" w:fill="FAFAF8"/>
          </w:tcPr>
          <w:p>
            <w:pPr>
              <w:spacing w:after="20"/>
            </w:pPr>
            <w:r>
              <w:rPr>
                <w:b w:val="0"/>
                <w:i w:val="0"/>
                <w:sz w:val="18"/>
              </w:rPr>
              <w:t>99,73%</w:t>
            </w:r>
          </w:p>
        </w:tc>
      </w:tr>
      <w:tr>
        <w:tc>
          <w:tcPr>
            <w:tcW w:type="dxa" w:w="4320"/>
          </w:tcPr>
          <w:p>
            <w:pPr>
              <w:spacing w:after="20"/>
            </w:pPr>
            <w:r>
              <w:rPr>
                <w:b w:val="0"/>
                <w:i w:val="0"/>
                <w:sz w:val="18"/>
              </w:rPr>
              <w:t>TFLite INT8 (format yang ditanam di perangkat)</w:t>
            </w:r>
          </w:p>
        </w:tc>
        <w:tc>
          <w:tcPr>
            <w:tcW w:type="dxa" w:w="2736"/>
          </w:tcPr>
          <w:p>
            <w:pPr>
              <w:spacing w:after="20"/>
            </w:pPr>
            <w:r>
              <w:rPr>
                <w:b w:val="0"/>
                <w:i w:val="0"/>
                <w:sz w:val="18"/>
              </w:rPr>
              <w:t>9,14 KB</w:t>
            </w:r>
          </w:p>
        </w:tc>
        <w:tc>
          <w:tcPr>
            <w:tcW w:type="dxa" w:w="2880"/>
          </w:tcPr>
          <w:p>
            <w:pPr>
              <w:spacing w:after="20"/>
            </w:pPr>
            <w:r>
              <w:rPr>
                <w:b w:val="0"/>
                <w:i w:val="0"/>
                <w:sz w:val="18"/>
              </w:rPr>
              <w:t>99,20%</w:t>
            </w:r>
          </w:p>
        </w:tc>
      </w:tr>
    </w:tbl>
    <w:p>
      <w:pPr>
        <w:spacing w:after="40"/>
      </w:pPr>
    </w:p>
    <w:p>
      <w:pPr>
        <w:spacing w:after="120"/>
      </w:pPr>
      <w:r>
        <w:rPr>
          <w:b w:val="0"/>
          <w:i w:val="0"/>
          <w:sz w:val="19"/>
        </w:rPr>
        <w:t>Model diperkecil 84% dengan penurunan akurasi hanya 0,53 poin persen.</w:t>
      </w:r>
    </w:p>
    <w:p>
      <w:pPr>
        <w:pStyle w:val="Heading2"/>
      </w:pPr>
      <w:r>
        <w:rPr>
          <w:color w:val="1B2A4A"/>
        </w:rPr>
        <w:t>4.3 Uji real-time di perangkat (label Clean Air, LPG, H2)</w:t>
      </w:r>
    </w:p>
    <w:tbl>
      <w:tblPr>
        <w:tblStyle w:val="TableGrid"/>
        <w:tblW w:type="auto" w:w="0"/>
        <w:tblLook w:firstColumn="1" w:firstRow="1" w:lastColumn="0" w:lastRow="0" w:noHBand="0" w:noVBand="1" w:val="04A0"/>
        <w:tblLayout w:type="fixed"/>
      </w:tblPr>
      <w:tblGrid>
        <w:gridCol w:w="4320"/>
        <w:gridCol w:w="5616"/>
      </w:tblGrid>
      <w:tr>
        <w:tc>
          <w:tcPr>
            <w:tcW w:type="dxa" w:w="4320"/>
            <w:shd w:val="clear" w:color="auto" w:fill="1B2A4A"/>
          </w:tcPr>
          <w:p>
            <w:pPr>
              <w:spacing w:after="20"/>
            </w:pPr>
            <w:r>
              <w:rPr>
                <w:b/>
                <w:color w:val="FFFFFF"/>
                <w:sz w:val="18"/>
              </w:rPr>
              <w:t>Parameter</w:t>
            </w:r>
          </w:p>
        </w:tc>
        <w:tc>
          <w:tcPr>
            <w:tcW w:type="dxa" w:w="5616"/>
            <w:shd w:val="clear" w:color="auto" w:fill="1B2A4A"/>
          </w:tcPr>
          <w:p>
            <w:pPr>
              <w:spacing w:after="20"/>
            </w:pPr>
            <w:r>
              <w:rPr>
                <w:b/>
                <w:color w:val="FFFFFF"/>
                <w:sz w:val="18"/>
              </w:rPr>
              <w:t>Hasil</w:t>
            </w:r>
          </w:p>
        </w:tc>
      </w:tr>
      <w:tr>
        <w:tc>
          <w:tcPr>
            <w:tcW w:type="dxa" w:w="4320"/>
          </w:tcPr>
          <w:p>
            <w:pPr>
              <w:spacing w:after="20"/>
            </w:pPr>
            <w:r>
              <w:rPr>
                <w:b w:val="0"/>
                <w:i w:val="0"/>
                <w:sz w:val="18"/>
              </w:rPr>
              <w:t>Perangkat</w:t>
            </w:r>
          </w:p>
        </w:tc>
        <w:tc>
          <w:tcPr>
            <w:tcW w:type="dxa" w:w="5616"/>
          </w:tcPr>
          <w:p>
            <w:pPr>
              <w:spacing w:after="20"/>
            </w:pPr>
            <w:r>
              <w:rPr>
                <w:b w:val="0"/>
                <w:i w:val="0"/>
                <w:sz w:val="18"/>
              </w:rPr>
              <w:t>Board ESP32-S3 GLD, device 1001</w:t>
            </w:r>
          </w:p>
        </w:tc>
      </w:tr>
      <w:tr>
        <w:tc>
          <w:tcPr>
            <w:tcW w:type="dxa" w:w="4320"/>
            <w:shd w:val="clear" w:color="auto" w:fill="FAFAF8"/>
          </w:tcPr>
          <w:p>
            <w:pPr>
              <w:spacing w:after="20"/>
            </w:pPr>
            <w:r>
              <w:rPr>
                <w:b w:val="0"/>
                <w:i w:val="0"/>
                <w:sz w:val="18"/>
              </w:rPr>
              <w:t>Durasi</w:t>
            </w:r>
          </w:p>
        </w:tc>
        <w:tc>
          <w:tcPr>
            <w:tcW w:type="dxa" w:w="5616"/>
            <w:shd w:val="clear" w:color="auto" w:fill="FAFAF8"/>
          </w:tcPr>
          <w:p>
            <w:pPr>
              <w:spacing w:after="20"/>
            </w:pPr>
            <w:r>
              <w:rPr>
                <w:b w:val="0"/>
                <w:i w:val="0"/>
                <w:sz w:val="18"/>
              </w:rPr>
              <w:t>±11,7 menit nonstop</w:t>
            </w:r>
          </w:p>
        </w:tc>
      </w:tr>
      <w:tr>
        <w:tc>
          <w:tcPr>
            <w:tcW w:type="dxa" w:w="4320"/>
          </w:tcPr>
          <w:p>
            <w:pPr>
              <w:spacing w:after="20"/>
            </w:pPr>
            <w:r>
              <w:rPr>
                <w:b w:val="0"/>
                <w:i w:val="0"/>
                <w:sz w:val="18"/>
              </w:rPr>
              <w:t>Jumlah pembacaan</w:t>
            </w:r>
          </w:p>
        </w:tc>
        <w:tc>
          <w:tcPr>
            <w:tcW w:type="dxa" w:w="5616"/>
          </w:tcPr>
          <w:p>
            <w:pPr>
              <w:spacing w:after="20"/>
            </w:pPr>
            <w:r>
              <w:rPr>
                <w:b w:val="0"/>
                <w:i w:val="0"/>
                <w:sz w:val="18"/>
              </w:rPr>
              <w:t>1.176</w:t>
            </w:r>
          </w:p>
        </w:tc>
      </w:tr>
      <w:tr>
        <w:tc>
          <w:tcPr>
            <w:tcW w:type="dxa" w:w="4320"/>
            <w:shd w:val="clear" w:color="auto" w:fill="FAFAF8"/>
          </w:tcPr>
          <w:p>
            <w:pPr>
              <w:spacing w:after="20"/>
            </w:pPr>
            <w:r>
              <w:rPr>
                <w:b w:val="0"/>
                <w:i w:val="0"/>
                <w:sz w:val="18"/>
              </w:rPr>
              <w:t>Gas yang dipaparkan</w:t>
            </w:r>
          </w:p>
        </w:tc>
        <w:tc>
          <w:tcPr>
            <w:tcW w:type="dxa" w:w="5616"/>
            <w:shd w:val="clear" w:color="auto" w:fill="FAFAF8"/>
          </w:tcPr>
          <w:p>
            <w:pPr>
              <w:spacing w:after="20"/>
            </w:pPr>
            <w:r>
              <w:rPr>
                <w:b w:val="0"/>
                <w:i w:val="0"/>
                <w:sz w:val="18"/>
              </w:rPr>
              <w:t>H2 dan udara bersih</w:t>
            </w:r>
          </w:p>
        </w:tc>
      </w:tr>
      <w:tr>
        <w:tc>
          <w:tcPr>
            <w:tcW w:type="dxa" w:w="4320"/>
          </w:tcPr>
          <w:p>
            <w:pPr>
              <w:spacing w:after="20"/>
            </w:pPr>
            <w:r>
              <w:rPr>
                <w:b w:val="0"/>
                <w:i w:val="0"/>
                <w:sz w:val="18"/>
              </w:rPr>
              <w:t>Akurasi real-time</w:t>
            </w:r>
          </w:p>
        </w:tc>
        <w:tc>
          <w:tcPr>
            <w:tcW w:type="dxa" w:w="5616"/>
          </w:tcPr>
          <w:p>
            <w:pPr>
              <w:spacing w:after="20"/>
            </w:pPr>
            <w:r>
              <w:rPr>
                <w:b w:val="0"/>
                <w:i w:val="0"/>
                <w:sz w:val="18"/>
              </w:rPr>
              <w:t>97,65%</w:t>
            </w:r>
          </w:p>
        </w:tc>
      </w:tr>
      <w:tr>
        <w:tc>
          <w:tcPr>
            <w:tcW w:type="dxa" w:w="4320"/>
            <w:shd w:val="clear" w:color="auto" w:fill="FAFAF8"/>
          </w:tcPr>
          <w:p>
            <w:pPr>
              <w:spacing w:after="20"/>
            </w:pPr>
            <w:r>
              <w:rPr>
                <w:b w:val="0"/>
                <w:i w:val="0"/>
                <w:sz w:val="18"/>
              </w:rPr>
              <w:t>H2</w:t>
            </w:r>
          </w:p>
        </w:tc>
        <w:tc>
          <w:tcPr>
            <w:tcW w:type="dxa" w:w="5616"/>
            <w:shd w:val="clear" w:color="auto" w:fill="FAFAF8"/>
          </w:tcPr>
          <w:p>
            <w:pPr>
              <w:spacing w:after="20"/>
            </w:pPr>
            <w:r>
              <w:rPr>
                <w:b w:val="0"/>
                <w:i w:val="0"/>
                <w:sz w:val="18"/>
              </w:rPr>
              <w:t>Presisi 98,4% (676 benar dari 687)</w:t>
            </w:r>
          </w:p>
        </w:tc>
      </w:tr>
      <w:tr>
        <w:tc>
          <w:tcPr>
            <w:tcW w:type="dxa" w:w="4320"/>
          </w:tcPr>
          <w:p>
            <w:pPr>
              <w:spacing w:after="20"/>
            </w:pPr>
            <w:r>
              <w:rPr>
                <w:b w:val="0"/>
                <w:i w:val="0"/>
                <w:sz w:val="18"/>
              </w:rPr>
              <w:t>Udara bersih</w:t>
            </w:r>
          </w:p>
        </w:tc>
        <w:tc>
          <w:tcPr>
            <w:tcW w:type="dxa" w:w="5616"/>
          </w:tcPr>
          <w:p>
            <w:pPr>
              <w:spacing w:after="20"/>
            </w:pPr>
            <w:r>
              <w:rPr>
                <w:b w:val="0"/>
                <w:i w:val="0"/>
                <w:sz w:val="18"/>
              </w:rPr>
              <w:t>Presisi 96,9% (474 benar dari 489)</w:t>
            </w:r>
          </w:p>
        </w:tc>
      </w:tr>
    </w:tbl>
    <w:p>
      <w:pPr>
        <w:spacing w:after="40"/>
      </w:pPr>
    </w:p>
    <w:p>
      <w:pPr>
        <w:spacing w:after="40"/>
        <w:jc w:val="center"/>
      </w:pPr>
      <w:r>
        <w:drawing>
          <wp:inline xmlns:a="http://schemas.openxmlformats.org/drawingml/2006/main" xmlns:pic="http://schemas.openxmlformats.org/drawingml/2006/picture">
            <wp:extent cx="5760720" cy="3239669"/>
            <wp:docPr id="113" name="Picture 4"/>
            <wp:cNvGraphicFramePr>
              <a:graphicFrameLocks noChangeAspect="1"/>
            </wp:cNvGraphicFramePr>
            <a:graphic>
              <a:graphicData uri="http://schemas.openxmlformats.org/drawingml/2006/picture">
                <pic:pic>
                  <pic:nvPicPr>
                    <pic:cNvPr id="113" name="ai_realtime.png"/>
                    <pic:cNvPicPr/>
                  </pic:nvPicPr>
                  <pic:blipFill>
                    <a:blip r:embed="rId121"/>
                    <a:stretch>
                      <a:fillRect/>
                    </a:stretch>
                  </pic:blipFill>
                  <pic:spPr>
                    <a:xfrm>
                      <a:off x="0" y="0"/>
                      <a:ext cx="5760720" cy="3239669"/>
                    </a:xfrm>
                    <a:prstGeom prst="rect"/>
                  </pic:spPr>
                </pic:pic>
              </a:graphicData>
            </a:graphic>
          </wp:inline>
        </w:drawing>
      </w:r>
    </w:p>
    <w:p>
      <w:pPr>
        <w:spacing w:after="160"/>
        <w:jc w:val="center"/>
      </w:pPr>
      <w:r>
        <w:rPr>
          <w:i/>
          <w:color w:val="5B5B5B"/>
          <w:sz w:val="17"/>
        </w:rPr>
        <w:t>Gambar 4. Hasil uji real-time di perangkat (device 1001)</w:t>
      </w:r>
    </w:p>
    <w:p>
      <w:pPr>
        <w:pStyle w:val="Heading1"/>
      </w:pPr>
      <w:r>
        <w:rPr>
          <w:color w:val="1B2A4A"/>
        </w:rPr>
        <w:t>5. Kesimpulan</w:t>
      </w:r>
    </w:p>
    <w:p>
      <w:pPr>
        <w:pStyle w:val="ListBullet"/>
        <w:spacing w:after="60"/>
      </w:pPr>
      <w:r>
        <w:rPr>
          <w:b w:val="0"/>
          <w:i w:val="0"/>
          <w:sz w:val="20"/>
        </w:rPr>
        <w:t>Kedelapan sensor menghasilkan data valid; dataset pengembangan 1.870 pembacaan berhasil disusun (FAT-01 lulus).</w:t>
      </w:r>
    </w:p>
    <w:p>
      <w:pPr>
        <w:pStyle w:val="ListBullet"/>
        <w:spacing w:after="60"/>
      </w:pPr>
      <w:r>
        <w:rPr>
          <w:b w:val="0"/>
          <w:i w:val="0"/>
          <w:sz w:val="20"/>
        </w:rPr>
        <w:t>Pada dataset pengembangan, model mencapai akurasi 99,73% pada data uji dan 99,20% setelah kuantisasi INT8 berukuran 9,14 KB.</w:t>
      </w:r>
    </w:p>
    <w:p>
      <w:pPr>
        <w:pStyle w:val="ListBullet"/>
        <w:spacing w:after="60"/>
      </w:pPr>
      <w:r>
        <w:rPr>
          <w:b w:val="0"/>
          <w:i w:val="0"/>
          <w:sz w:val="20"/>
        </w:rPr>
        <w:t>Di perangkat (label Clean Air, LPG, H2), model berjalan langsung di ESP32-S3 dengan akurasi real-time 97,65% pada paparan H2 dan udara bersih; keputusan alarm diambil di node tanpa menunggu server (FAT-02 lulus). Deteksi LPG di perangkat dibuktikan pada uji alarm otomatis (FAT-06).</w:t>
      </w:r>
    </w:p>
    <w:p>
      <w:pPr>
        <w:pStyle w:val="Heading1"/>
      </w:pPr>
      <w:r>
        <w:rPr>
          <w:color w:val="1B2A4A"/>
        </w:rPr>
        <w:t>6. Lembar pengesahan</w:t>
      </w:r>
    </w:p>
    <w:tbl>
      <w:tblPr>
        <w:tblStyle w:val="TableGrid"/>
        <w:tblW w:type="auto" w:w="0"/>
        <w:tblLook w:firstColumn="1" w:firstRow="1" w:lastColumn="0" w:lastRow="0" w:noHBand="0" w:noVBand="1" w:val="04A0"/>
        <w:tblLayout w:type="fixed"/>
      </w:tblPr>
      <w:tblGrid>
        <w:gridCol w:w="3311"/>
        <w:gridCol w:w="3311"/>
        <w:gridCol w:w="3311"/>
      </w:tblGrid>
      <w:tr>
        <w:trPr>
          <w:cantSplit/>
        </w:trPr>
        <w:tc>
          <w:tcPr>
            <w:tcW w:type="dxa" w:w="3312"/>
            <w:shd w:val="clear" w:color="auto" w:fill="EFEFEC"/>
          </w:tcPr>
          <w:p>
            <w:pPr>
              <w:keepNext/>
            </w:pPr>
            <w:r>
              <w:rPr>
                <w:b/>
                <w:sz w:val="18"/>
              </w:rPr>
              <w:t>Dilaksanakan oleh</w:t>
              <w:br/>
              <w:t>Lab IoT ITB</w:t>
            </w:r>
          </w:p>
        </w:tc>
        <w:tc>
          <w:tcPr>
            <w:tcW w:type="dxa" w:w="3312"/>
            <w:shd w:val="clear" w:color="auto" w:fill="EFEFEC"/>
          </w:tcPr>
          <w:p>
            <w:pPr>
              <w:keepNext/>
            </w:pPr>
            <w:r>
              <w:rPr>
                <w:b/>
                <w:sz w:val="18"/>
              </w:rPr>
              <w:t>Diperiksa oleh</w:t>
              <w:br/>
              <w:t>PT LAPI Ganesha Utama</w:t>
            </w:r>
          </w:p>
        </w:tc>
        <w:tc>
          <w:tcPr>
            <w:tcW w:type="dxa" w:w="3312"/>
            <w:shd w:val="clear" w:color="auto" w:fill="EFEFEC"/>
          </w:tcPr>
          <w:p>
            <w:pPr>
              <w:keepNext/>
            </w:pPr>
            <w:r>
              <w:rPr>
                <w:b/>
                <w:sz w:val="18"/>
              </w:rPr>
              <w:t>Mengetahui</w:t>
              <w:br/>
              <w:t>PT Pertamina Patra Niaga</w:t>
            </w:r>
          </w:p>
        </w:tc>
      </w:tr>
      <w:tr>
        <w:trPr>
          <w:cantSplit/>
        </w:trPr>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r>
    </w:tbl>
    <w:p>
      <w:pPr>
        <w:spacing w:after="0"/>
        <w:jc w:val="center"/>
      </w:pPr>
      <w:r>
        <w:drawing>
          <wp:inline xmlns:a="http://schemas.openxmlformats.org/drawingml/2006/main" xmlns:pic="http://schemas.openxmlformats.org/drawingml/2006/picture">
            <wp:extent cx="6984000" cy="9883240"/>
            <wp:docPr id="114" name="Picture 1"/>
            <wp:cNvGraphicFramePr>
              <a:graphicFrameLocks noChangeAspect="1"/>
            </wp:cNvGraphicFramePr>
            <a:graphic>
              <a:graphicData uri="http://schemas.openxmlformats.org/drawingml/2006/picture">
                <pic:pic>
                  <pic:nvPicPr>
                    <pic:cNvPr id="114" name="img_s8_118.jpg"/>
                    <pic:cNvPicPr/>
                  </pic:nvPicPr>
                  <pic:blipFill>
                    <a:blip r:embed="rId122"/>
                    <a:stretch>
                      <a:fillRect/>
                    </a:stretch>
                  </pic:blipFill>
                  <pic:spPr>
                    <a:xfrm>
                      <a:off x="0" y="0"/>
                      <a:ext cx="6984000" cy="9883240"/>
                    </a:xfrm>
                    <a:prstGeom prst="rect"/>
                  </pic:spPr>
                </pic:pic>
              </a:graphicData>
            </a:graphic>
          </wp:inline>
        </w:drawing>
      </w:r>
    </w:p>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Laporan Uji Laboratorium 02 — Komunikasi Radio LoRa</w:t>
      </w:r>
    </w:p>
    <w:p>
      <w:pPr>
        <w:spacing w:after="200"/>
      </w:pPr>
      <w:r>
        <w:rPr>
          <w:b w:val="0"/>
          <w:i w:val="0"/>
          <w:color w:val="5B5B5B"/>
          <w:sz w:val="21"/>
        </w:rPr>
        <w:t>Pengujian jarak dan keandalan komunikasi LoRa antara node GLD dan Cluster Head di lingkungan kampus ITB: kuat sinyal (RSSI), SNR, dan persentase paket sampai (PDR) pada berbagai jarak dan halangan.</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LGU/GLD/UJI-LAB/2026-002</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1.1</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5 Oktober 2026</w:t>
            </w:r>
          </w:p>
        </w:tc>
      </w:tr>
      <w:tr>
        <w:tc>
          <w:tcPr>
            <w:tcW w:type="dxa" w:w="2736"/>
            <w:shd w:val="clear" w:color="auto" w:fill="EFEFEC"/>
          </w:tcPr>
          <w:p>
            <w:pPr>
              <w:spacing w:after="40"/>
            </w:pPr>
            <w:r>
              <w:rPr>
                <w:b/>
                <w:color w:val="5B5B5B"/>
                <w:sz w:val="18"/>
              </w:rPr>
              <w:t>Periode uji</w:t>
            </w:r>
          </w:p>
        </w:tc>
        <w:tc>
          <w:tcPr>
            <w:tcW w:type="dxa" w:w="7200"/>
          </w:tcPr>
          <w:p>
            <w:pPr>
              <w:spacing w:after="40"/>
            </w:pPr>
            <w:r>
              <w:rPr>
                <w:sz w:val="19"/>
              </w:rPr>
              <w:t>Mei – Juli 2026</w:t>
            </w:r>
          </w:p>
        </w:tc>
      </w:tr>
      <w:tr>
        <w:tc>
          <w:tcPr>
            <w:tcW w:type="dxa" w:w="2736"/>
            <w:shd w:val="clear" w:color="auto" w:fill="EFEFEC"/>
          </w:tcPr>
          <w:p>
            <w:pPr>
              <w:spacing w:after="40"/>
            </w:pPr>
            <w:r>
              <w:rPr>
                <w:b/>
                <w:color w:val="5B5B5B"/>
                <w:sz w:val="18"/>
              </w:rPr>
              <w:t>Item FAT terkait</w:t>
            </w:r>
          </w:p>
        </w:tc>
        <w:tc>
          <w:tcPr>
            <w:tcW w:type="dxa" w:w="7200"/>
          </w:tcPr>
          <w:p>
            <w:pPr>
              <w:spacing w:after="40"/>
            </w:pPr>
            <w:r>
              <w:rPr>
                <w:sz w:val="19"/>
              </w:rPr>
              <w:t>FAT-03 (komunikasi radio GLD ke Cluster Head)</w:t>
            </w:r>
          </w:p>
        </w:tc>
      </w:tr>
      <w:tr>
        <w:tc>
          <w:tcPr>
            <w:tcW w:type="dxa" w:w="2736"/>
            <w:shd w:val="clear" w:color="auto" w:fill="EFEFEC"/>
          </w:tcPr>
          <w:p>
            <w:pPr>
              <w:spacing w:after="40"/>
            </w:pPr>
            <w:r>
              <w:rPr>
                <w:b/>
                <w:color w:val="5B5B5B"/>
                <w:sz w:val="18"/>
              </w:rPr>
              <w:t>Lokasi uji</w:t>
            </w:r>
          </w:p>
        </w:tc>
        <w:tc>
          <w:tcPr>
            <w:tcW w:type="dxa" w:w="7200"/>
          </w:tcPr>
          <w:p>
            <w:pPr>
              <w:spacing w:after="40"/>
            </w:pPr>
            <w:r>
              <w:rPr>
                <w:sz w:val="19"/>
              </w:rPr>
              <w:t>Lab IoT, Instrumentation and Computations, Gedung Laboratorium Fisika Terpadu, dan area kampus Institut Teknologi Bandung</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w:t>
            </w:r>
          </w:p>
        </w:tc>
      </w:tr>
      <w:tr>
        <w:tc>
          <w:tcPr>
            <w:tcW w:type="dxa" w:w="2736"/>
            <w:shd w:val="clear" w:color="auto" w:fill="EFEFEC"/>
          </w:tcPr>
          <w:p>
            <w:pPr>
              <w:spacing w:after="40"/>
            </w:pPr>
            <w:r>
              <w:rPr>
                <w:b/>
                <w:color w:val="5B5B5B"/>
                <w:sz w:val="18"/>
              </w:rPr>
              <w:t>Dokumen terkait</w:t>
            </w:r>
          </w:p>
        </w:tc>
        <w:tc>
          <w:tcPr>
            <w:tcW w:type="dxa" w:w="7200"/>
          </w:tcPr>
          <w:p>
            <w:pPr>
              <w:spacing w:after="40"/>
            </w:pPr>
            <w:r>
              <w:rPr>
                <w:sz w:val="19"/>
              </w:rPr>
              <w:t>Laporan Factory Acceptance Test (FAT) Sistem GLD Tahap 2, LGU/GLD/FAT/2026-001</w:t>
            </w:r>
          </w:p>
        </w:tc>
      </w:tr>
    </w:tbl>
    <w:p>
      <w:r>
        <w:br w:type="page"/>
      </w:r>
    </w:p>
    <w:p>
      <w:pPr>
        <w:pStyle w:val="Heading1"/>
      </w:pPr>
      <w:r>
        <w:rPr>
          <w:color w:val="1B2A4A"/>
        </w:rPr>
        <w:t>1. Tujuan</w:t>
      </w:r>
    </w:p>
    <w:p>
      <w:pPr>
        <w:spacing w:after="120"/>
      </w:pPr>
      <w:r>
        <w:rPr>
          <w:b w:val="0"/>
          <w:i w:val="0"/>
          <w:sz w:val="19"/>
        </w:rPr>
        <w:t>Mencari jarak terjauh yang masih menjaga PDR 100% dengan RSSI/SNR yang punya margin aman, sambil mencatat halangan (gedung, pepohonan), sebagai dasar penempatan GLD dan Cluster Head di lokasi RU.</w:t>
      </w:r>
    </w:p>
    <w:p>
      <w:pPr>
        <w:pStyle w:val="Heading1"/>
      </w:pPr>
      <w:r>
        <w:rPr>
          <w:color w:val="1B2A4A"/>
        </w:rPr>
        <w:t>2. Perangkat dan konfigurasi</w:t>
      </w:r>
    </w:p>
    <w:tbl>
      <w:tblPr>
        <w:tblStyle w:val="TableGrid"/>
        <w:tblW w:type="auto" w:w="0"/>
        <w:tblLook w:firstColumn="1" w:firstRow="1" w:lastColumn="0" w:lastRow="0" w:noHBand="0" w:noVBand="1" w:val="04A0"/>
        <w:tblLayout w:type="fixed"/>
      </w:tblPr>
      <w:tblGrid>
        <w:gridCol w:w="2304"/>
        <w:gridCol w:w="7632"/>
      </w:tblGrid>
      <w:tr>
        <w:tc>
          <w:tcPr>
            <w:tcW w:type="dxa" w:w="2304"/>
            <w:shd w:val="clear" w:color="auto" w:fill="1B2A4A"/>
          </w:tcPr>
          <w:p>
            <w:pPr>
              <w:spacing w:after="20"/>
            </w:pPr>
            <w:r>
              <w:rPr>
                <w:b/>
                <w:color w:val="FFFFFF"/>
                <w:sz w:val="18"/>
              </w:rPr>
              <w:t>Komponen</w:t>
            </w:r>
          </w:p>
        </w:tc>
        <w:tc>
          <w:tcPr>
            <w:tcW w:type="dxa" w:w="7632"/>
            <w:shd w:val="clear" w:color="auto" w:fill="1B2A4A"/>
          </w:tcPr>
          <w:p>
            <w:pPr>
              <w:spacing w:after="20"/>
            </w:pPr>
            <w:r>
              <w:rPr>
                <w:b/>
                <w:color w:val="FFFFFF"/>
                <w:sz w:val="18"/>
              </w:rPr>
              <w:t>Keterangan</w:t>
            </w:r>
          </w:p>
        </w:tc>
      </w:tr>
      <w:tr>
        <w:tc>
          <w:tcPr>
            <w:tcW w:type="dxa" w:w="2304"/>
          </w:tcPr>
          <w:p>
            <w:pPr>
              <w:spacing w:after="20"/>
            </w:pPr>
            <w:r>
              <w:rPr>
                <w:b w:val="0"/>
                <w:i w:val="0"/>
                <w:sz w:val="18"/>
              </w:rPr>
              <w:t>Pengirim</w:t>
            </w:r>
          </w:p>
        </w:tc>
        <w:tc>
          <w:tcPr>
            <w:tcW w:type="dxa" w:w="7632"/>
          </w:tcPr>
          <w:p>
            <w:pPr>
              <w:spacing w:after="20"/>
            </w:pPr>
            <w:r>
              <w:rPr>
                <w:b w:val="0"/>
                <w:i w:val="0"/>
                <w:sz w:val="18"/>
              </w:rPr>
              <w:t>Node GLD / modul LoRa E22-900MM22S</w:t>
            </w:r>
          </w:p>
        </w:tc>
      </w:tr>
      <w:tr>
        <w:tc>
          <w:tcPr>
            <w:tcW w:type="dxa" w:w="2304"/>
            <w:shd w:val="clear" w:color="auto" w:fill="FAFAF8"/>
          </w:tcPr>
          <w:p>
            <w:pPr>
              <w:spacing w:after="20"/>
            </w:pPr>
            <w:r>
              <w:rPr>
                <w:b w:val="0"/>
                <w:i w:val="0"/>
                <w:sz w:val="18"/>
              </w:rPr>
              <w:t>Penerima</w:t>
            </w:r>
          </w:p>
        </w:tc>
        <w:tc>
          <w:tcPr>
            <w:tcW w:type="dxa" w:w="7632"/>
            <w:shd w:val="clear" w:color="auto" w:fill="FAFAF8"/>
          </w:tcPr>
          <w:p>
            <w:pPr>
              <w:spacing w:after="20"/>
            </w:pPr>
            <w:r>
              <w:rPr>
                <w:b w:val="0"/>
                <w:i w:val="0"/>
                <w:sz w:val="18"/>
              </w:rPr>
              <w:t>Cluster Head (receiver di Labtek XV untuk uji acak)</w:t>
            </w:r>
          </w:p>
        </w:tc>
      </w:tr>
      <w:tr>
        <w:tc>
          <w:tcPr>
            <w:tcW w:type="dxa" w:w="2304"/>
          </w:tcPr>
          <w:p>
            <w:pPr>
              <w:spacing w:after="20"/>
            </w:pPr>
            <w:r>
              <w:rPr>
                <w:b w:val="0"/>
                <w:i w:val="0"/>
                <w:sz w:val="18"/>
              </w:rPr>
              <w:t>Frekuensi</w:t>
            </w:r>
          </w:p>
        </w:tc>
        <w:tc>
          <w:tcPr>
            <w:tcW w:type="dxa" w:w="7632"/>
          </w:tcPr>
          <w:p>
            <w:pPr>
              <w:spacing w:after="20"/>
            </w:pPr>
            <w:r>
              <w:rPr>
                <w:b w:val="0"/>
                <w:i w:val="0"/>
                <w:sz w:val="18"/>
              </w:rPr>
              <w:t>920–923 MHz (STAR 920 MHz, MESH 921 MHz)</w:t>
            </w:r>
          </w:p>
        </w:tc>
      </w:tr>
      <w:tr>
        <w:tc>
          <w:tcPr>
            <w:tcW w:type="dxa" w:w="2304"/>
            <w:shd w:val="clear" w:color="auto" w:fill="FAFAF8"/>
          </w:tcPr>
          <w:p>
            <w:pPr>
              <w:spacing w:after="20"/>
            </w:pPr>
            <w:r>
              <w:rPr>
                <w:b w:val="0"/>
                <w:i w:val="0"/>
                <w:sz w:val="18"/>
              </w:rPr>
              <w:t>Antena</w:t>
            </w:r>
          </w:p>
        </w:tc>
        <w:tc>
          <w:tcPr>
            <w:tcW w:type="dxa" w:w="7632"/>
            <w:shd w:val="clear" w:color="auto" w:fill="FAFAF8"/>
          </w:tcPr>
          <w:p>
            <w:pPr>
              <w:spacing w:after="20"/>
            </w:pPr>
            <w:r>
              <w:rPr>
                <w:b w:val="0"/>
                <w:i w:val="0"/>
                <w:sz w:val="18"/>
              </w:rPr>
              <w:t>Omni 3 dBi; tinggi antena divariasikan 2–6 m</w:t>
            </w:r>
          </w:p>
        </w:tc>
      </w:tr>
      <w:tr>
        <w:tc>
          <w:tcPr>
            <w:tcW w:type="dxa" w:w="2304"/>
          </w:tcPr>
          <w:p>
            <w:pPr>
              <w:spacing w:after="20"/>
            </w:pPr>
            <w:r>
              <w:rPr>
                <w:b w:val="0"/>
                <w:i w:val="0"/>
                <w:sz w:val="18"/>
              </w:rPr>
              <w:t>Parameter dicatat</w:t>
            </w:r>
          </w:p>
        </w:tc>
        <w:tc>
          <w:tcPr>
            <w:tcW w:type="dxa" w:w="7632"/>
          </w:tcPr>
          <w:p>
            <w:pPr>
              <w:spacing w:after="20"/>
            </w:pPr>
            <w:r>
              <w:rPr>
                <w:b w:val="0"/>
                <w:i w:val="0"/>
                <w:sz w:val="18"/>
              </w:rPr>
              <w:t>Jarak, koordinat, RSSI (min/avg/maks), SNR (min/avg/maks), paket terkirim/diterima, PDR</w:t>
            </w:r>
          </w:p>
        </w:tc>
      </w:tr>
    </w:tbl>
    <w:p>
      <w:pPr>
        <w:spacing w:after="40"/>
      </w:pPr>
    </w:p>
    <w:p>
      <w:pPr>
        <w:pStyle w:val="Heading1"/>
      </w:pPr>
      <w:r>
        <w:rPr>
          <w:color w:val="1B2A4A"/>
        </w:rPr>
        <w:t>3. Metode</w:t>
      </w:r>
    </w:p>
    <w:p>
      <w:pPr>
        <w:pStyle w:val="ListBullet"/>
        <w:spacing w:after="60"/>
      </w:pPr>
      <w:r>
        <w:rPr>
          <w:b w:val="0"/>
          <w:i w:val="0"/>
          <w:sz w:val="20"/>
        </w:rPr>
        <w:t>Node GLD mengirim N paket per titik (100 paket pada uji acak) ke penerima.</w:t>
      </w:r>
    </w:p>
    <w:p>
      <w:pPr>
        <w:pStyle w:val="ListBullet"/>
        <w:spacing w:after="60"/>
      </w:pPr>
      <w:r>
        <w:rPr>
          <w:b w:val="0"/>
          <w:i w:val="0"/>
          <w:sz w:val="20"/>
        </w:rPr>
        <w:t>Titik dipindah bertahap; jarak, koordinat GPS, dan halangan dicatat.</w:t>
      </w:r>
    </w:p>
    <w:p>
      <w:pPr>
        <w:pStyle w:val="ListBullet"/>
        <w:spacing w:after="60"/>
      </w:pPr>
      <w:r>
        <w:rPr>
          <w:b w:val="0"/>
          <w:i w:val="0"/>
          <w:sz w:val="20"/>
        </w:rPr>
        <w:t>Batas link aman = jarak terjauh dengan PDR 100% dan RSSI/SNR masih punya margin.</w:t>
      </w:r>
    </w:p>
    <w:p>
      <w:pPr>
        <w:spacing w:after="40"/>
        <w:jc w:val="center"/>
      </w:pPr>
      <w:r>
        <w:drawing>
          <wp:inline xmlns:a="http://schemas.openxmlformats.org/drawingml/2006/main" xmlns:pic="http://schemas.openxmlformats.org/drawingml/2006/picture">
            <wp:extent cx="5760720" cy="3241714"/>
            <wp:docPr id="115" name="Picture 1"/>
            <wp:cNvGraphicFramePr>
              <a:graphicFrameLocks noChangeAspect="1"/>
            </wp:cNvGraphicFramePr>
            <a:graphic>
              <a:graphicData uri="http://schemas.openxmlformats.org/drawingml/2006/picture">
                <pic:pic>
                  <pic:nvPicPr>
                    <pic:cNvPr id="115" name="lora_simulasi.png"/>
                    <pic:cNvPicPr/>
                  </pic:nvPicPr>
                  <pic:blipFill>
                    <a:blip r:embed="rId123"/>
                    <a:stretch>
                      <a:fillRect/>
                    </a:stretch>
                  </pic:blipFill>
                  <pic:spPr>
                    <a:xfrm>
                      <a:off x="0" y="0"/>
                      <a:ext cx="5760720" cy="3241714"/>
                    </a:xfrm>
                    <a:prstGeom prst="rect"/>
                  </pic:spPr>
                </pic:pic>
              </a:graphicData>
            </a:graphic>
          </wp:inline>
        </w:drawing>
      </w:r>
    </w:p>
    <w:p>
      <w:pPr>
        <w:spacing w:after="160"/>
        <w:jc w:val="center"/>
      </w:pPr>
      <w:r>
        <w:rPr>
          <w:i/>
          <w:color w:val="5B5B5B"/>
          <w:sz w:val="17"/>
        </w:rPr>
        <w:t>Gambar 1. Skema pengujian simulasi komunikasi LoRa di sekitar ITB</w:t>
      </w:r>
    </w:p>
    <w:p>
      <w:pPr>
        <w:pStyle w:val="Heading1"/>
      </w:pPr>
      <w:r>
        <w:rPr>
          <w:color w:val="1B2A4A"/>
        </w:rPr>
        <w:t>4. Hasil</w:t>
      </w:r>
    </w:p>
    <w:p>
      <w:pPr>
        <w:pStyle w:val="Heading2"/>
      </w:pPr>
      <w:r>
        <w:rPr>
          <w:color w:val="1B2A4A"/>
        </w:rPr>
        <w:t>4.1 Uji baseline berdasarkan kondisi lingkungan</w:t>
      </w:r>
    </w:p>
    <w:tbl>
      <w:tblPr>
        <w:tblStyle w:val="TableGrid"/>
        <w:tblW w:type="auto" w:w="0"/>
        <w:tblLook w:firstColumn="1" w:firstRow="1" w:lastColumn="0" w:lastRow="0" w:noHBand="0" w:noVBand="1" w:val="04A0"/>
        <w:tblLayout w:type="fixed"/>
      </w:tblPr>
      <w:tblGrid>
        <w:gridCol w:w="576"/>
        <w:gridCol w:w="3311"/>
        <w:gridCol w:w="1296"/>
        <w:gridCol w:w="1872"/>
        <w:gridCol w:w="1296"/>
        <w:gridCol w:w="1007"/>
      </w:tblGrid>
      <w:tr>
        <w:tc>
          <w:tcPr>
            <w:tcW w:type="dxa" w:w="576"/>
            <w:shd w:val="clear" w:color="auto" w:fill="1B2A4A"/>
          </w:tcPr>
          <w:p>
            <w:pPr>
              <w:spacing w:after="20"/>
            </w:pPr>
            <w:r>
              <w:rPr>
                <w:b/>
                <w:color w:val="FFFFFF"/>
                <w:sz w:val="17"/>
              </w:rPr>
              <w:t>No</w:t>
            </w:r>
          </w:p>
        </w:tc>
        <w:tc>
          <w:tcPr>
            <w:tcW w:type="dxa" w:w="3312"/>
            <w:shd w:val="clear" w:color="auto" w:fill="1B2A4A"/>
          </w:tcPr>
          <w:p>
            <w:pPr>
              <w:spacing w:after="20"/>
            </w:pPr>
            <w:r>
              <w:rPr>
                <w:b/>
                <w:color w:val="FFFFFF"/>
                <w:sz w:val="17"/>
              </w:rPr>
              <w:t>Kondisi</w:t>
            </w:r>
          </w:p>
        </w:tc>
        <w:tc>
          <w:tcPr>
            <w:tcW w:type="dxa" w:w="1296"/>
            <w:shd w:val="clear" w:color="auto" w:fill="1B2A4A"/>
          </w:tcPr>
          <w:p>
            <w:pPr>
              <w:spacing w:after="20"/>
            </w:pPr>
            <w:r>
              <w:rPr>
                <w:b/>
                <w:color w:val="FFFFFF"/>
                <w:sz w:val="17"/>
              </w:rPr>
              <w:t>Jarak (m)</w:t>
            </w:r>
          </w:p>
        </w:tc>
        <w:tc>
          <w:tcPr>
            <w:tcW w:type="dxa" w:w="1872"/>
            <w:shd w:val="clear" w:color="auto" w:fill="1B2A4A"/>
          </w:tcPr>
          <w:p>
            <w:pPr>
              <w:spacing w:after="20"/>
            </w:pPr>
            <w:r>
              <w:rPr>
                <w:b/>
                <w:color w:val="FFFFFF"/>
                <w:sz w:val="17"/>
              </w:rPr>
              <w:t>Tinggi antena Tx / Rx (m)</w:t>
            </w:r>
          </w:p>
        </w:tc>
        <w:tc>
          <w:tcPr>
            <w:tcW w:type="dxa" w:w="1296"/>
            <w:shd w:val="clear" w:color="auto" w:fill="1B2A4A"/>
          </w:tcPr>
          <w:p>
            <w:pPr>
              <w:spacing w:after="20"/>
            </w:pPr>
            <w:r>
              <w:rPr>
                <w:b/>
                <w:color w:val="FFFFFF"/>
                <w:sz w:val="17"/>
              </w:rPr>
              <w:t>RSSI (dBm)</w:t>
            </w:r>
          </w:p>
        </w:tc>
        <w:tc>
          <w:tcPr>
            <w:tcW w:type="dxa" w:w="1008"/>
            <w:shd w:val="clear" w:color="auto" w:fill="1B2A4A"/>
          </w:tcPr>
          <w:p>
            <w:pPr>
              <w:spacing w:after="20"/>
            </w:pPr>
            <w:r>
              <w:rPr>
                <w:b/>
                <w:color w:val="FFFFFF"/>
                <w:sz w:val="17"/>
              </w:rPr>
              <w:t>PDR</w:t>
            </w:r>
          </w:p>
        </w:tc>
      </w:tr>
      <w:tr>
        <w:tc>
          <w:tcPr>
            <w:tcW w:type="dxa" w:w="576"/>
          </w:tcPr>
          <w:p>
            <w:pPr>
              <w:spacing w:after="20"/>
            </w:pPr>
            <w:r>
              <w:rPr>
                <w:b w:val="0"/>
                <w:i w:val="0"/>
                <w:sz w:val="17"/>
              </w:rPr>
              <w:t>1</w:t>
            </w:r>
          </w:p>
        </w:tc>
        <w:tc>
          <w:tcPr>
            <w:tcW w:type="dxa" w:w="3312"/>
          </w:tcPr>
          <w:p>
            <w:pPr>
              <w:spacing w:after="20"/>
            </w:pPr>
            <w:r>
              <w:rPr>
                <w:b w:val="0"/>
                <w:i w:val="0"/>
                <w:sz w:val="17"/>
              </w:rPr>
              <w:t>Area terbuka</w:t>
            </w:r>
          </w:p>
        </w:tc>
        <w:tc>
          <w:tcPr>
            <w:tcW w:type="dxa" w:w="1296"/>
          </w:tcPr>
          <w:p>
            <w:pPr>
              <w:spacing w:after="20"/>
            </w:pPr>
            <w:r>
              <w:rPr>
                <w:b w:val="0"/>
                <w:i w:val="0"/>
                <w:sz w:val="17"/>
              </w:rPr>
              <w:t>10</w:t>
            </w:r>
          </w:p>
        </w:tc>
        <w:tc>
          <w:tcPr>
            <w:tcW w:type="dxa" w:w="1872"/>
          </w:tcPr>
          <w:p>
            <w:pPr>
              <w:spacing w:after="20"/>
            </w:pPr>
            <w:r>
              <w:rPr>
                <w:b w:val="0"/>
                <w:i w:val="0"/>
                <w:sz w:val="17"/>
              </w:rPr>
              <w:t>3 / 3</w:t>
            </w:r>
          </w:p>
        </w:tc>
        <w:tc>
          <w:tcPr>
            <w:tcW w:type="dxa" w:w="1296"/>
          </w:tcPr>
          <w:p>
            <w:pPr>
              <w:spacing w:after="20"/>
            </w:pPr>
            <w:r>
              <w:rPr>
                <w:b w:val="0"/>
                <w:i w:val="0"/>
                <w:sz w:val="17"/>
              </w:rPr>
              <w:t>−47</w:t>
            </w:r>
          </w:p>
        </w:tc>
        <w:tc>
          <w:tcPr>
            <w:tcW w:type="dxa" w:w="1008"/>
          </w:tcPr>
          <w:p>
            <w:pPr>
              <w:spacing w:after="20"/>
            </w:pPr>
            <w:r>
              <w:rPr>
                <w:b w:val="0"/>
                <w:i w:val="0"/>
                <w:sz w:val="17"/>
              </w:rPr>
              <w:t>100%</w:t>
            </w:r>
          </w:p>
        </w:tc>
      </w:tr>
      <w:tr>
        <w:tc>
          <w:tcPr>
            <w:tcW w:type="dxa" w:w="576"/>
            <w:shd w:val="clear" w:color="auto" w:fill="FAFAF8"/>
          </w:tcPr>
          <w:p>
            <w:pPr>
              <w:spacing w:after="20"/>
            </w:pPr>
            <w:r>
              <w:rPr>
                <w:b w:val="0"/>
                <w:i w:val="0"/>
                <w:sz w:val="17"/>
              </w:rPr>
              <w:t>2</w:t>
            </w:r>
          </w:p>
        </w:tc>
        <w:tc>
          <w:tcPr>
            <w:tcW w:type="dxa" w:w="3312"/>
            <w:shd w:val="clear" w:color="auto" w:fill="FAFAF8"/>
          </w:tcPr>
          <w:p>
            <w:pPr>
              <w:spacing w:after="20"/>
            </w:pPr>
            <w:r>
              <w:rPr>
                <w:b w:val="0"/>
                <w:i w:val="0"/>
                <w:sz w:val="17"/>
              </w:rPr>
              <w:t>Area terbuka</w:t>
            </w:r>
          </w:p>
        </w:tc>
        <w:tc>
          <w:tcPr>
            <w:tcW w:type="dxa" w:w="1296"/>
            <w:shd w:val="clear" w:color="auto" w:fill="FAFAF8"/>
          </w:tcPr>
          <w:p>
            <w:pPr>
              <w:spacing w:after="20"/>
            </w:pPr>
            <w:r>
              <w:rPr>
                <w:b w:val="0"/>
                <w:i w:val="0"/>
                <w:sz w:val="17"/>
              </w:rPr>
              <w:t>30</w:t>
            </w:r>
          </w:p>
        </w:tc>
        <w:tc>
          <w:tcPr>
            <w:tcW w:type="dxa" w:w="1872"/>
            <w:shd w:val="clear" w:color="auto" w:fill="FAFAF8"/>
          </w:tcPr>
          <w:p>
            <w:pPr>
              <w:spacing w:after="20"/>
            </w:pPr>
            <w:r>
              <w:rPr>
                <w:b w:val="0"/>
                <w:i w:val="0"/>
                <w:sz w:val="17"/>
              </w:rPr>
              <w:t>3 / 3</w:t>
            </w:r>
          </w:p>
        </w:tc>
        <w:tc>
          <w:tcPr>
            <w:tcW w:type="dxa" w:w="1296"/>
            <w:shd w:val="clear" w:color="auto" w:fill="FAFAF8"/>
          </w:tcPr>
          <w:p>
            <w:pPr>
              <w:spacing w:after="20"/>
            </w:pPr>
            <w:r>
              <w:rPr>
                <w:b w:val="0"/>
                <w:i w:val="0"/>
                <w:sz w:val="17"/>
              </w:rPr>
              <w:t>−57</w:t>
            </w:r>
          </w:p>
        </w:tc>
        <w:tc>
          <w:tcPr>
            <w:tcW w:type="dxa" w:w="1008"/>
            <w:shd w:val="clear" w:color="auto" w:fill="FAFAF8"/>
          </w:tcPr>
          <w:p>
            <w:pPr>
              <w:spacing w:after="20"/>
            </w:pPr>
            <w:r>
              <w:rPr>
                <w:b w:val="0"/>
                <w:i w:val="0"/>
                <w:sz w:val="17"/>
              </w:rPr>
              <w:t>100%</w:t>
            </w:r>
          </w:p>
        </w:tc>
      </w:tr>
      <w:tr>
        <w:tc>
          <w:tcPr>
            <w:tcW w:type="dxa" w:w="576"/>
          </w:tcPr>
          <w:p>
            <w:pPr>
              <w:spacing w:after="20"/>
            </w:pPr>
            <w:r>
              <w:rPr>
                <w:b w:val="0"/>
                <w:i w:val="0"/>
                <w:sz w:val="17"/>
              </w:rPr>
              <w:t>3</w:t>
            </w:r>
          </w:p>
        </w:tc>
        <w:tc>
          <w:tcPr>
            <w:tcW w:type="dxa" w:w="3312"/>
          </w:tcPr>
          <w:p>
            <w:pPr>
              <w:spacing w:after="20"/>
            </w:pPr>
            <w:r>
              <w:rPr>
                <w:b w:val="0"/>
                <w:i w:val="0"/>
                <w:sz w:val="17"/>
              </w:rPr>
              <w:t>Area terbuka</w:t>
            </w:r>
          </w:p>
        </w:tc>
        <w:tc>
          <w:tcPr>
            <w:tcW w:type="dxa" w:w="1296"/>
          </w:tcPr>
          <w:p>
            <w:pPr>
              <w:spacing w:after="20"/>
            </w:pPr>
            <w:r>
              <w:rPr>
                <w:b w:val="0"/>
                <w:i w:val="0"/>
                <w:sz w:val="17"/>
              </w:rPr>
              <w:t>100</w:t>
            </w:r>
          </w:p>
        </w:tc>
        <w:tc>
          <w:tcPr>
            <w:tcW w:type="dxa" w:w="1872"/>
          </w:tcPr>
          <w:p>
            <w:pPr>
              <w:spacing w:after="20"/>
            </w:pPr>
            <w:r>
              <w:rPr>
                <w:b w:val="0"/>
                <w:i w:val="0"/>
                <w:sz w:val="17"/>
              </w:rPr>
              <w:t>3 / 3</w:t>
            </w:r>
          </w:p>
        </w:tc>
        <w:tc>
          <w:tcPr>
            <w:tcW w:type="dxa" w:w="1296"/>
          </w:tcPr>
          <w:p>
            <w:pPr>
              <w:spacing w:after="20"/>
            </w:pPr>
            <w:r>
              <w:rPr>
                <w:b w:val="0"/>
                <w:i w:val="0"/>
                <w:sz w:val="17"/>
              </w:rPr>
              <w:t>−71</w:t>
            </w:r>
          </w:p>
        </w:tc>
        <w:tc>
          <w:tcPr>
            <w:tcW w:type="dxa" w:w="1008"/>
          </w:tcPr>
          <w:p>
            <w:pPr>
              <w:spacing w:after="20"/>
            </w:pPr>
            <w:r>
              <w:rPr>
                <w:b w:val="0"/>
                <w:i w:val="0"/>
                <w:sz w:val="17"/>
              </w:rPr>
              <w:t>100%</w:t>
            </w:r>
          </w:p>
        </w:tc>
      </w:tr>
      <w:tr>
        <w:tc>
          <w:tcPr>
            <w:tcW w:type="dxa" w:w="576"/>
            <w:shd w:val="clear" w:color="auto" w:fill="FAFAF8"/>
          </w:tcPr>
          <w:p>
            <w:pPr>
              <w:spacing w:after="20"/>
            </w:pPr>
            <w:r>
              <w:rPr>
                <w:b w:val="0"/>
                <w:i w:val="0"/>
                <w:sz w:val="17"/>
              </w:rPr>
              <w:t>4</w:t>
            </w:r>
          </w:p>
        </w:tc>
        <w:tc>
          <w:tcPr>
            <w:tcW w:type="dxa" w:w="3312"/>
            <w:shd w:val="clear" w:color="auto" w:fill="FAFAF8"/>
          </w:tcPr>
          <w:p>
            <w:pPr>
              <w:spacing w:after="20"/>
            </w:pPr>
            <w:r>
              <w:rPr>
                <w:b w:val="0"/>
                <w:i w:val="0"/>
                <w:sz w:val="17"/>
              </w:rPr>
              <w:t>Bawah pepohonan</w:t>
            </w:r>
          </w:p>
        </w:tc>
        <w:tc>
          <w:tcPr>
            <w:tcW w:type="dxa" w:w="1296"/>
            <w:shd w:val="clear" w:color="auto" w:fill="FAFAF8"/>
          </w:tcPr>
          <w:p>
            <w:pPr>
              <w:spacing w:after="20"/>
            </w:pPr>
            <w:r>
              <w:rPr>
                <w:b w:val="0"/>
                <w:i w:val="0"/>
                <w:sz w:val="17"/>
              </w:rPr>
              <w:t>80</w:t>
            </w:r>
          </w:p>
        </w:tc>
        <w:tc>
          <w:tcPr>
            <w:tcW w:type="dxa" w:w="1872"/>
            <w:shd w:val="clear" w:color="auto" w:fill="FAFAF8"/>
          </w:tcPr>
          <w:p>
            <w:pPr>
              <w:spacing w:after="20"/>
            </w:pPr>
            <w:r>
              <w:rPr>
                <w:b w:val="0"/>
                <w:i w:val="0"/>
                <w:sz w:val="17"/>
              </w:rPr>
              <w:t>3 / 3</w:t>
            </w:r>
          </w:p>
        </w:tc>
        <w:tc>
          <w:tcPr>
            <w:tcW w:type="dxa" w:w="1296"/>
            <w:shd w:val="clear" w:color="auto" w:fill="FAFAF8"/>
          </w:tcPr>
          <w:p>
            <w:pPr>
              <w:spacing w:after="20"/>
            </w:pPr>
            <w:r>
              <w:rPr>
                <w:b w:val="0"/>
                <w:i w:val="0"/>
                <w:sz w:val="17"/>
              </w:rPr>
              <w:t>−78</w:t>
            </w:r>
          </w:p>
        </w:tc>
        <w:tc>
          <w:tcPr>
            <w:tcW w:type="dxa" w:w="1008"/>
            <w:shd w:val="clear" w:color="auto" w:fill="FAFAF8"/>
          </w:tcPr>
          <w:p>
            <w:pPr>
              <w:spacing w:after="20"/>
            </w:pPr>
            <w:r>
              <w:rPr>
                <w:b w:val="0"/>
                <w:i w:val="0"/>
                <w:sz w:val="17"/>
              </w:rPr>
              <w:t>100%</w:t>
            </w:r>
          </w:p>
        </w:tc>
      </w:tr>
      <w:tr>
        <w:tc>
          <w:tcPr>
            <w:tcW w:type="dxa" w:w="576"/>
          </w:tcPr>
          <w:p>
            <w:pPr>
              <w:spacing w:after="20"/>
            </w:pPr>
            <w:r>
              <w:rPr>
                <w:b w:val="0"/>
                <w:i w:val="0"/>
                <w:sz w:val="17"/>
              </w:rPr>
              <w:t>5</w:t>
            </w:r>
          </w:p>
        </w:tc>
        <w:tc>
          <w:tcPr>
            <w:tcW w:type="dxa" w:w="3312"/>
          </w:tcPr>
          <w:p>
            <w:pPr>
              <w:spacing w:after="20"/>
            </w:pPr>
            <w:r>
              <w:rPr>
                <w:b w:val="0"/>
                <w:i w:val="0"/>
                <w:sz w:val="17"/>
              </w:rPr>
              <w:t>Bawah pepohonan</w:t>
            </w:r>
          </w:p>
        </w:tc>
        <w:tc>
          <w:tcPr>
            <w:tcW w:type="dxa" w:w="1296"/>
          </w:tcPr>
          <w:p>
            <w:pPr>
              <w:spacing w:after="20"/>
            </w:pPr>
            <w:r>
              <w:rPr>
                <w:b w:val="0"/>
                <w:i w:val="0"/>
                <w:sz w:val="17"/>
              </w:rPr>
              <w:t>80</w:t>
            </w:r>
          </w:p>
        </w:tc>
        <w:tc>
          <w:tcPr>
            <w:tcW w:type="dxa" w:w="1872"/>
          </w:tcPr>
          <w:p>
            <w:pPr>
              <w:spacing w:after="20"/>
            </w:pPr>
            <w:r>
              <w:rPr>
                <w:b w:val="0"/>
                <w:i w:val="0"/>
                <w:sz w:val="17"/>
              </w:rPr>
              <w:t>4 / 4</w:t>
            </w:r>
          </w:p>
        </w:tc>
        <w:tc>
          <w:tcPr>
            <w:tcW w:type="dxa" w:w="1296"/>
          </w:tcPr>
          <w:p>
            <w:pPr>
              <w:spacing w:after="20"/>
            </w:pPr>
            <w:r>
              <w:rPr>
                <w:b w:val="0"/>
                <w:i w:val="0"/>
                <w:sz w:val="17"/>
              </w:rPr>
              <w:t>−84</w:t>
            </w:r>
          </w:p>
        </w:tc>
        <w:tc>
          <w:tcPr>
            <w:tcW w:type="dxa" w:w="1008"/>
          </w:tcPr>
          <w:p>
            <w:pPr>
              <w:spacing w:after="20"/>
            </w:pPr>
            <w:r>
              <w:rPr>
                <w:b w:val="0"/>
                <w:i w:val="0"/>
                <w:sz w:val="17"/>
              </w:rPr>
              <w:t>100%</w:t>
            </w:r>
          </w:p>
        </w:tc>
      </w:tr>
      <w:tr>
        <w:tc>
          <w:tcPr>
            <w:tcW w:type="dxa" w:w="576"/>
            <w:shd w:val="clear" w:color="auto" w:fill="FAFAF8"/>
          </w:tcPr>
          <w:p>
            <w:pPr>
              <w:spacing w:after="20"/>
            </w:pPr>
            <w:r>
              <w:rPr>
                <w:b w:val="0"/>
                <w:i w:val="0"/>
                <w:sz w:val="17"/>
              </w:rPr>
              <w:t>6</w:t>
            </w:r>
          </w:p>
        </w:tc>
        <w:tc>
          <w:tcPr>
            <w:tcW w:type="dxa" w:w="3312"/>
            <w:shd w:val="clear" w:color="auto" w:fill="FAFAF8"/>
          </w:tcPr>
          <w:p>
            <w:pPr>
              <w:spacing w:after="20"/>
            </w:pPr>
            <w:r>
              <w:rPr>
                <w:b w:val="0"/>
                <w:i w:val="0"/>
                <w:sz w:val="17"/>
              </w:rPr>
              <w:t>Belakang gedung + pepohonan</w:t>
            </w:r>
          </w:p>
        </w:tc>
        <w:tc>
          <w:tcPr>
            <w:tcW w:type="dxa" w:w="1296"/>
            <w:shd w:val="clear" w:color="auto" w:fill="FAFAF8"/>
          </w:tcPr>
          <w:p>
            <w:pPr>
              <w:spacing w:after="20"/>
            </w:pPr>
            <w:r>
              <w:rPr>
                <w:b w:val="0"/>
                <w:i w:val="0"/>
                <w:sz w:val="17"/>
              </w:rPr>
              <w:t>tidak dicatat</w:t>
            </w:r>
          </w:p>
        </w:tc>
        <w:tc>
          <w:tcPr>
            <w:tcW w:type="dxa" w:w="1872"/>
            <w:shd w:val="clear" w:color="auto" w:fill="FAFAF8"/>
          </w:tcPr>
          <w:p>
            <w:pPr>
              <w:spacing w:after="20"/>
            </w:pPr>
            <w:r>
              <w:rPr>
                <w:b w:val="0"/>
                <w:i w:val="0"/>
                <w:sz w:val="17"/>
              </w:rPr>
              <w:t>3 / 3</w:t>
            </w:r>
          </w:p>
        </w:tc>
        <w:tc>
          <w:tcPr>
            <w:tcW w:type="dxa" w:w="1296"/>
            <w:shd w:val="clear" w:color="auto" w:fill="FAFAF8"/>
          </w:tcPr>
          <w:p>
            <w:pPr>
              <w:spacing w:after="20"/>
            </w:pPr>
            <w:r>
              <w:rPr>
                <w:b w:val="0"/>
                <w:i w:val="0"/>
                <w:sz w:val="17"/>
              </w:rPr>
              <w:t>−93</w:t>
            </w:r>
          </w:p>
        </w:tc>
        <w:tc>
          <w:tcPr>
            <w:tcW w:type="dxa" w:w="1008"/>
            <w:shd w:val="clear" w:color="auto" w:fill="FAFAF8"/>
          </w:tcPr>
          <w:p>
            <w:pPr>
              <w:spacing w:after="20"/>
            </w:pPr>
            <w:r>
              <w:rPr>
                <w:b w:val="0"/>
                <w:i w:val="0"/>
                <w:sz w:val="17"/>
              </w:rPr>
              <w:t>98%</w:t>
            </w:r>
          </w:p>
        </w:tc>
      </w:tr>
      <w:tr>
        <w:tc>
          <w:tcPr>
            <w:tcW w:type="dxa" w:w="576"/>
          </w:tcPr>
          <w:p>
            <w:pPr>
              <w:spacing w:after="20"/>
            </w:pPr>
            <w:r>
              <w:rPr>
                <w:b w:val="0"/>
                <w:i w:val="0"/>
                <w:sz w:val="17"/>
              </w:rPr>
              <w:t>7</w:t>
            </w:r>
          </w:p>
        </w:tc>
        <w:tc>
          <w:tcPr>
            <w:tcW w:type="dxa" w:w="3312"/>
          </w:tcPr>
          <w:p>
            <w:pPr>
              <w:spacing w:after="20"/>
            </w:pPr>
            <w:r>
              <w:rPr>
                <w:b w:val="0"/>
                <w:i w:val="0"/>
                <w:sz w:val="17"/>
              </w:rPr>
              <w:t>Belakang gedung + pepohonan (antena diubah)</w:t>
            </w:r>
          </w:p>
        </w:tc>
        <w:tc>
          <w:tcPr>
            <w:tcW w:type="dxa" w:w="1296"/>
          </w:tcPr>
          <w:p>
            <w:pPr>
              <w:spacing w:after="20"/>
            </w:pPr>
            <w:r>
              <w:rPr>
                <w:b w:val="0"/>
                <w:i w:val="0"/>
                <w:sz w:val="17"/>
              </w:rPr>
              <w:t>tidak dicatat</w:t>
            </w:r>
          </w:p>
        </w:tc>
        <w:tc>
          <w:tcPr>
            <w:tcW w:type="dxa" w:w="1872"/>
          </w:tcPr>
          <w:p>
            <w:pPr>
              <w:spacing w:after="20"/>
            </w:pPr>
            <w:r>
              <w:rPr>
                <w:b w:val="0"/>
                <w:i w:val="0"/>
                <w:sz w:val="17"/>
              </w:rPr>
              <w:t>2 / 6</w:t>
            </w:r>
          </w:p>
        </w:tc>
        <w:tc>
          <w:tcPr>
            <w:tcW w:type="dxa" w:w="1296"/>
          </w:tcPr>
          <w:p>
            <w:pPr>
              <w:spacing w:after="20"/>
            </w:pPr>
            <w:r>
              <w:rPr>
                <w:b w:val="0"/>
                <w:i w:val="0"/>
                <w:sz w:val="17"/>
              </w:rPr>
              <w:t>−81</w:t>
            </w:r>
          </w:p>
        </w:tc>
        <w:tc>
          <w:tcPr>
            <w:tcW w:type="dxa" w:w="1008"/>
          </w:tcPr>
          <w:p>
            <w:pPr>
              <w:spacing w:after="20"/>
            </w:pPr>
            <w:r>
              <w:rPr>
                <w:b w:val="0"/>
                <w:i w:val="0"/>
                <w:sz w:val="17"/>
              </w:rPr>
              <w:t>100%</w:t>
            </w:r>
          </w:p>
        </w:tc>
      </w:tr>
      <w:tr>
        <w:tc>
          <w:tcPr>
            <w:tcW w:type="dxa" w:w="576"/>
            <w:shd w:val="clear" w:color="auto" w:fill="FAFAF8"/>
          </w:tcPr>
          <w:p>
            <w:pPr>
              <w:spacing w:after="20"/>
            </w:pPr>
            <w:r>
              <w:rPr>
                <w:b w:val="0"/>
                <w:i w:val="0"/>
                <w:sz w:val="17"/>
              </w:rPr>
              <w:t>8</w:t>
            </w:r>
          </w:p>
        </w:tc>
        <w:tc>
          <w:tcPr>
            <w:tcW w:type="dxa" w:w="3312"/>
            <w:shd w:val="clear" w:color="auto" w:fill="FAFAF8"/>
          </w:tcPr>
          <w:p>
            <w:pPr>
              <w:spacing w:after="20"/>
            </w:pPr>
            <w:r>
              <w:rPr>
                <w:b w:val="0"/>
                <w:i w:val="0"/>
                <w:sz w:val="17"/>
              </w:rPr>
              <w:t>Area Indomaret</w:t>
            </w:r>
          </w:p>
        </w:tc>
        <w:tc>
          <w:tcPr>
            <w:tcW w:type="dxa" w:w="1296"/>
            <w:shd w:val="clear" w:color="auto" w:fill="FAFAF8"/>
          </w:tcPr>
          <w:p>
            <w:pPr>
              <w:spacing w:after="20"/>
            </w:pPr>
            <w:r>
              <w:rPr>
                <w:b w:val="0"/>
                <w:i w:val="0"/>
                <w:sz w:val="17"/>
              </w:rPr>
              <w:t>tidak dicatat</w:t>
            </w:r>
          </w:p>
        </w:tc>
        <w:tc>
          <w:tcPr>
            <w:tcW w:type="dxa" w:w="1872"/>
            <w:shd w:val="clear" w:color="auto" w:fill="FAFAF8"/>
          </w:tcPr>
          <w:p>
            <w:pPr>
              <w:spacing w:after="20"/>
            </w:pPr>
            <w:r>
              <w:rPr>
                <w:b w:val="0"/>
                <w:i w:val="0"/>
                <w:sz w:val="17"/>
              </w:rPr>
              <w:t>2 / 6</w:t>
            </w:r>
          </w:p>
        </w:tc>
        <w:tc>
          <w:tcPr>
            <w:tcW w:type="dxa" w:w="1296"/>
            <w:shd w:val="clear" w:color="auto" w:fill="FAFAF8"/>
          </w:tcPr>
          <w:p>
            <w:pPr>
              <w:spacing w:after="20"/>
            </w:pPr>
            <w:r>
              <w:rPr>
                <w:b w:val="0"/>
                <w:i w:val="0"/>
                <w:sz w:val="17"/>
              </w:rPr>
              <w:t>−104</w:t>
            </w:r>
          </w:p>
        </w:tc>
        <w:tc>
          <w:tcPr>
            <w:tcW w:type="dxa" w:w="1008"/>
            <w:shd w:val="clear" w:color="auto" w:fill="FAFAF8"/>
          </w:tcPr>
          <w:p>
            <w:pPr>
              <w:spacing w:after="20"/>
            </w:pPr>
            <w:r>
              <w:rPr>
                <w:b w:val="0"/>
                <w:i w:val="0"/>
                <w:sz w:val="17"/>
              </w:rPr>
              <w:t>68%</w:t>
            </w:r>
          </w:p>
        </w:tc>
      </w:tr>
      <w:tr>
        <w:tc>
          <w:tcPr>
            <w:tcW w:type="dxa" w:w="576"/>
          </w:tcPr>
          <w:p>
            <w:pPr>
              <w:spacing w:after="20"/>
            </w:pPr>
            <w:r>
              <w:rPr>
                <w:b w:val="0"/>
                <w:i w:val="0"/>
                <w:sz w:val="17"/>
              </w:rPr>
              <w:t>9</w:t>
            </w:r>
          </w:p>
        </w:tc>
        <w:tc>
          <w:tcPr>
            <w:tcW w:type="dxa" w:w="3312"/>
          </w:tcPr>
          <w:p>
            <w:pPr>
              <w:spacing w:after="20"/>
            </w:pPr>
            <w:r>
              <w:rPr>
                <w:b w:val="0"/>
                <w:i w:val="0"/>
                <w:sz w:val="17"/>
              </w:rPr>
              <w:t>Area Fisika (batas jangkauan)</w:t>
            </w:r>
          </w:p>
        </w:tc>
        <w:tc>
          <w:tcPr>
            <w:tcW w:type="dxa" w:w="1296"/>
          </w:tcPr>
          <w:p>
            <w:pPr>
              <w:spacing w:after="20"/>
            </w:pPr>
            <w:r>
              <w:rPr>
                <w:b w:val="0"/>
                <w:i w:val="0"/>
                <w:sz w:val="17"/>
              </w:rPr>
              <w:t>tidak dicatat</w:t>
            </w:r>
          </w:p>
        </w:tc>
        <w:tc>
          <w:tcPr>
            <w:tcW w:type="dxa" w:w="1872"/>
          </w:tcPr>
          <w:p>
            <w:pPr>
              <w:spacing w:after="20"/>
            </w:pPr>
            <w:r>
              <w:rPr>
                <w:b w:val="0"/>
                <w:i w:val="0"/>
                <w:sz w:val="17"/>
              </w:rPr>
              <w:t>2 / 6</w:t>
            </w:r>
          </w:p>
        </w:tc>
        <w:tc>
          <w:tcPr>
            <w:tcW w:type="dxa" w:w="1296"/>
          </w:tcPr>
          <w:p>
            <w:pPr>
              <w:spacing w:after="20"/>
            </w:pPr>
            <w:r>
              <w:rPr>
                <w:b w:val="0"/>
                <w:i w:val="0"/>
                <w:sz w:val="17"/>
              </w:rPr>
              <w:t>−112</w:t>
            </w:r>
          </w:p>
        </w:tc>
        <w:tc>
          <w:tcPr>
            <w:tcW w:type="dxa" w:w="1008"/>
          </w:tcPr>
          <w:p>
            <w:pPr>
              <w:spacing w:after="20"/>
            </w:pPr>
            <w:r>
              <w:rPr>
                <w:b w:val="0"/>
                <w:i w:val="0"/>
                <w:sz w:val="17"/>
              </w:rPr>
              <w:t>26%</w:t>
            </w:r>
          </w:p>
        </w:tc>
      </w:tr>
    </w:tbl>
    <w:p>
      <w:pPr>
        <w:spacing w:after="40"/>
      </w:pPr>
    </w:p>
    <w:p>
      <w:pPr>
        <w:spacing w:after="120"/>
      </w:pPr>
      <w:r>
        <w:rPr>
          <w:b w:val="0"/>
          <w:i w:val="0"/>
          <w:color w:val="5B5B5B"/>
          <w:sz w:val="18"/>
        </w:rPr>
        <w:t>Baris 6–9 diukur berdasarkan kondisi halangan; jarak tidak dicatat pada lembar uji.</w:t>
      </w:r>
    </w:p>
    <w:p>
      <w:pPr>
        <w:pStyle w:val="Heading2"/>
      </w:pPr>
      <w:r>
        <w:rPr>
          <w:color w:val="1B2A4A"/>
        </w:rPr>
        <w:t>4.2 Uji acak di kampus (receiver di Labtek XV, 100 paket per titik)</w:t>
      </w:r>
    </w:p>
    <w:tbl>
      <w:tblPr>
        <w:tblStyle w:val="TableGrid"/>
        <w:tblW w:type="auto" w:w="0"/>
        <w:tblLook w:firstColumn="1" w:firstRow="1" w:lastColumn="0" w:lastRow="0" w:noHBand="0" w:noVBand="1" w:val="04A0"/>
        <w:tblLayout w:type="fixed"/>
      </w:tblPr>
      <w:tblGrid>
        <w:gridCol w:w="720"/>
        <w:gridCol w:w="2304"/>
        <w:gridCol w:w="1152"/>
        <w:gridCol w:w="2304"/>
        <w:gridCol w:w="1440"/>
        <w:gridCol w:w="2015"/>
      </w:tblGrid>
      <w:tr>
        <w:tc>
          <w:tcPr>
            <w:tcW w:type="dxa" w:w="720"/>
            <w:shd w:val="clear" w:color="auto" w:fill="1B2A4A"/>
          </w:tcPr>
          <w:p>
            <w:pPr>
              <w:spacing w:after="20"/>
            </w:pPr>
            <w:r>
              <w:rPr>
                <w:b/>
                <w:color w:val="FFFFFF"/>
                <w:sz w:val="17"/>
              </w:rPr>
              <w:t>Titik</w:t>
            </w:r>
          </w:p>
        </w:tc>
        <w:tc>
          <w:tcPr>
            <w:tcW w:type="dxa" w:w="2304"/>
            <w:shd w:val="clear" w:color="auto" w:fill="1B2A4A"/>
          </w:tcPr>
          <w:p>
            <w:pPr>
              <w:spacing w:after="20"/>
            </w:pPr>
            <w:r>
              <w:rPr>
                <w:b/>
                <w:color w:val="FFFFFF"/>
                <w:sz w:val="17"/>
              </w:rPr>
              <w:t>Lokasi</w:t>
            </w:r>
          </w:p>
        </w:tc>
        <w:tc>
          <w:tcPr>
            <w:tcW w:type="dxa" w:w="1152"/>
            <w:shd w:val="clear" w:color="auto" w:fill="1B2A4A"/>
          </w:tcPr>
          <w:p>
            <w:pPr>
              <w:spacing w:after="20"/>
            </w:pPr>
            <w:r>
              <w:rPr>
                <w:b/>
                <w:color w:val="FFFFFF"/>
                <w:sz w:val="17"/>
              </w:rPr>
              <w:t>Jarak (m)</w:t>
            </w:r>
          </w:p>
        </w:tc>
        <w:tc>
          <w:tcPr>
            <w:tcW w:type="dxa" w:w="2304"/>
            <w:shd w:val="clear" w:color="auto" w:fill="1B2A4A"/>
          </w:tcPr>
          <w:p>
            <w:pPr>
              <w:spacing w:after="20"/>
            </w:pPr>
            <w:r>
              <w:rPr>
                <w:b/>
                <w:color w:val="FFFFFF"/>
                <w:sz w:val="17"/>
              </w:rPr>
              <w:t>RSSI avg (dBm)</w:t>
            </w:r>
          </w:p>
        </w:tc>
        <w:tc>
          <w:tcPr>
            <w:tcW w:type="dxa" w:w="1440"/>
            <w:shd w:val="clear" w:color="auto" w:fill="1B2A4A"/>
          </w:tcPr>
          <w:p>
            <w:pPr>
              <w:spacing w:after="20"/>
            </w:pPr>
            <w:r>
              <w:rPr>
                <w:b/>
                <w:color w:val="FFFFFF"/>
                <w:sz w:val="17"/>
              </w:rPr>
              <w:t>SNR avg (dB)</w:t>
            </w:r>
          </w:p>
        </w:tc>
        <w:tc>
          <w:tcPr>
            <w:tcW w:type="dxa" w:w="2016"/>
            <w:shd w:val="clear" w:color="auto" w:fill="1B2A4A"/>
          </w:tcPr>
          <w:p>
            <w:pPr>
              <w:spacing w:after="20"/>
            </w:pPr>
            <w:r>
              <w:rPr>
                <w:b/>
                <w:color w:val="FFFFFF"/>
                <w:sz w:val="17"/>
              </w:rPr>
              <w:t>PDR</w:t>
            </w:r>
          </w:p>
        </w:tc>
      </w:tr>
      <w:tr>
        <w:tc>
          <w:tcPr>
            <w:tcW w:type="dxa" w:w="720"/>
          </w:tcPr>
          <w:p>
            <w:pPr>
              <w:spacing w:after="20"/>
            </w:pPr>
            <w:r>
              <w:rPr>
                <w:b w:val="0"/>
                <w:i w:val="0"/>
                <w:sz w:val="17"/>
              </w:rPr>
              <w:t>Tx 1</w:t>
            </w:r>
          </w:p>
        </w:tc>
        <w:tc>
          <w:tcPr>
            <w:tcW w:type="dxa" w:w="2304"/>
          </w:tcPr>
          <w:p>
            <w:pPr>
              <w:spacing w:after="20"/>
            </w:pPr>
            <w:r>
              <w:rPr>
                <w:b w:val="0"/>
                <w:i w:val="0"/>
                <w:sz w:val="17"/>
              </w:rPr>
              <w:t>Depan Gedung Minyak</w:t>
            </w:r>
          </w:p>
        </w:tc>
        <w:tc>
          <w:tcPr>
            <w:tcW w:type="dxa" w:w="1152"/>
          </w:tcPr>
          <w:p>
            <w:pPr>
              <w:spacing w:after="20"/>
            </w:pPr>
            <w:r>
              <w:rPr>
                <w:b w:val="0"/>
                <w:i w:val="0"/>
                <w:sz w:val="17"/>
              </w:rPr>
              <w:t>87</w:t>
            </w:r>
          </w:p>
        </w:tc>
        <w:tc>
          <w:tcPr>
            <w:tcW w:type="dxa" w:w="2304"/>
          </w:tcPr>
          <w:p>
            <w:pPr>
              <w:spacing w:after="20"/>
            </w:pPr>
            <w:r>
              <w:rPr>
                <w:b w:val="0"/>
                <w:i w:val="0"/>
                <w:sz w:val="17"/>
              </w:rPr>
              <w:t>−94 (uji real-time singkat)</w:t>
            </w:r>
          </w:p>
        </w:tc>
        <w:tc>
          <w:tcPr>
            <w:tcW w:type="dxa" w:w="1440"/>
          </w:tcPr>
          <w:p>
            <w:pPr>
              <w:spacing w:after="20"/>
            </w:pPr>
            <w:r>
              <w:rPr>
                <w:b w:val="0"/>
                <w:i w:val="0"/>
                <w:sz w:val="17"/>
              </w:rPr>
              <w:t>8,8</w:t>
            </w:r>
          </w:p>
        </w:tc>
        <w:tc>
          <w:tcPr>
            <w:tcW w:type="dxa" w:w="2016"/>
          </w:tcPr>
          <w:p>
            <w:pPr>
              <w:spacing w:after="20"/>
            </w:pPr>
            <w:r>
              <w:rPr>
                <w:b w:val="0"/>
                <w:i w:val="0"/>
                <w:sz w:val="17"/>
              </w:rPr>
              <w:t>tidak diukur (uji singkat)</w:t>
            </w:r>
          </w:p>
        </w:tc>
      </w:tr>
      <w:tr>
        <w:tc>
          <w:tcPr>
            <w:tcW w:type="dxa" w:w="720"/>
            <w:shd w:val="clear" w:color="auto" w:fill="FAFAF8"/>
          </w:tcPr>
          <w:p>
            <w:pPr>
              <w:spacing w:after="20"/>
            </w:pPr>
            <w:r>
              <w:rPr>
                <w:b w:val="0"/>
                <w:i w:val="0"/>
                <w:sz w:val="17"/>
              </w:rPr>
              <w:t>Tx 2</w:t>
            </w:r>
          </w:p>
        </w:tc>
        <w:tc>
          <w:tcPr>
            <w:tcW w:type="dxa" w:w="2304"/>
            <w:shd w:val="clear" w:color="auto" w:fill="FAFAF8"/>
          </w:tcPr>
          <w:p>
            <w:pPr>
              <w:spacing w:after="20"/>
            </w:pPr>
            <w:r>
              <w:rPr>
                <w:b w:val="0"/>
                <w:i w:val="0"/>
                <w:sz w:val="17"/>
              </w:rPr>
              <w:t>Gerbang Utara</w:t>
            </w:r>
          </w:p>
        </w:tc>
        <w:tc>
          <w:tcPr>
            <w:tcW w:type="dxa" w:w="1152"/>
            <w:shd w:val="clear" w:color="auto" w:fill="FAFAF8"/>
          </w:tcPr>
          <w:p>
            <w:pPr>
              <w:spacing w:after="20"/>
            </w:pPr>
            <w:r>
              <w:rPr>
                <w:b w:val="0"/>
                <w:i w:val="0"/>
                <w:sz w:val="17"/>
              </w:rPr>
              <w:t>243</w:t>
            </w:r>
          </w:p>
        </w:tc>
        <w:tc>
          <w:tcPr>
            <w:tcW w:type="dxa" w:w="2304"/>
            <w:shd w:val="clear" w:color="auto" w:fill="FAFAF8"/>
          </w:tcPr>
          <w:p>
            <w:pPr>
              <w:spacing w:after="20"/>
            </w:pPr>
            <w:r>
              <w:rPr>
                <w:b w:val="0"/>
                <w:i w:val="0"/>
                <w:sz w:val="17"/>
              </w:rPr>
              <w:t>−101</w:t>
            </w:r>
          </w:p>
        </w:tc>
        <w:tc>
          <w:tcPr>
            <w:tcW w:type="dxa" w:w="1440"/>
            <w:shd w:val="clear" w:color="auto" w:fill="FAFAF8"/>
          </w:tcPr>
          <w:p>
            <w:pPr>
              <w:spacing w:after="20"/>
            </w:pPr>
            <w:r>
              <w:rPr>
                <w:b w:val="0"/>
                <w:i w:val="0"/>
                <w:sz w:val="17"/>
              </w:rPr>
              <w:t>6,5</w:t>
            </w:r>
          </w:p>
        </w:tc>
        <w:tc>
          <w:tcPr>
            <w:tcW w:type="dxa" w:w="2016"/>
            <w:shd w:val="clear" w:color="auto" w:fill="FAFAF8"/>
          </w:tcPr>
          <w:p>
            <w:pPr>
              <w:spacing w:after="20"/>
            </w:pPr>
            <w:r>
              <w:rPr>
                <w:b w:val="0"/>
                <w:i w:val="0"/>
                <w:sz w:val="17"/>
              </w:rPr>
              <w:t>100% (100/100)</w:t>
            </w:r>
          </w:p>
        </w:tc>
      </w:tr>
      <w:tr>
        <w:tc>
          <w:tcPr>
            <w:tcW w:type="dxa" w:w="720"/>
          </w:tcPr>
          <w:p>
            <w:pPr>
              <w:spacing w:after="20"/>
            </w:pPr>
            <w:r>
              <w:rPr>
                <w:b w:val="0"/>
                <w:i w:val="0"/>
                <w:sz w:val="17"/>
              </w:rPr>
              <w:t>Tx 3</w:t>
            </w:r>
          </w:p>
        </w:tc>
        <w:tc>
          <w:tcPr>
            <w:tcW w:type="dxa" w:w="2304"/>
          </w:tcPr>
          <w:p>
            <w:pPr>
              <w:spacing w:after="20"/>
            </w:pPr>
            <w:r>
              <w:rPr>
                <w:b w:val="0"/>
                <w:i w:val="0"/>
                <w:sz w:val="17"/>
              </w:rPr>
              <w:t>Depan LFT</w:t>
            </w:r>
          </w:p>
        </w:tc>
        <w:tc>
          <w:tcPr>
            <w:tcW w:type="dxa" w:w="1152"/>
          </w:tcPr>
          <w:p>
            <w:pPr>
              <w:spacing w:after="20"/>
            </w:pPr>
            <w:r>
              <w:rPr>
                <w:b w:val="0"/>
                <w:i w:val="0"/>
                <w:sz w:val="17"/>
              </w:rPr>
              <w:t>177</w:t>
            </w:r>
          </w:p>
        </w:tc>
        <w:tc>
          <w:tcPr>
            <w:tcW w:type="dxa" w:w="2304"/>
          </w:tcPr>
          <w:p>
            <w:pPr>
              <w:spacing w:after="20"/>
            </w:pPr>
            <w:r>
              <w:rPr>
                <w:b w:val="0"/>
                <w:i w:val="0"/>
                <w:sz w:val="17"/>
              </w:rPr>
              <w:t>−94</w:t>
            </w:r>
          </w:p>
        </w:tc>
        <w:tc>
          <w:tcPr>
            <w:tcW w:type="dxa" w:w="1440"/>
          </w:tcPr>
          <w:p>
            <w:pPr>
              <w:spacing w:after="20"/>
            </w:pPr>
            <w:r>
              <w:rPr>
                <w:b w:val="0"/>
                <w:i w:val="0"/>
                <w:sz w:val="17"/>
              </w:rPr>
              <w:t>9,3</w:t>
            </w:r>
          </w:p>
        </w:tc>
        <w:tc>
          <w:tcPr>
            <w:tcW w:type="dxa" w:w="2016"/>
          </w:tcPr>
          <w:p>
            <w:pPr>
              <w:spacing w:after="20"/>
            </w:pPr>
            <w:r>
              <w:rPr>
                <w:b w:val="0"/>
                <w:i w:val="0"/>
                <w:sz w:val="17"/>
              </w:rPr>
              <w:t>100% (100/100)</w:t>
            </w:r>
          </w:p>
        </w:tc>
      </w:tr>
      <w:tr>
        <w:tc>
          <w:tcPr>
            <w:tcW w:type="dxa" w:w="720"/>
            <w:shd w:val="clear" w:color="auto" w:fill="FAFAF8"/>
          </w:tcPr>
          <w:p>
            <w:pPr>
              <w:spacing w:after="20"/>
            </w:pPr>
            <w:r>
              <w:rPr>
                <w:b w:val="0"/>
                <w:i w:val="0"/>
                <w:sz w:val="17"/>
              </w:rPr>
              <w:t>Tx 4</w:t>
            </w:r>
          </w:p>
        </w:tc>
        <w:tc>
          <w:tcPr>
            <w:tcW w:type="dxa" w:w="2304"/>
            <w:shd w:val="clear" w:color="auto" w:fill="FAFAF8"/>
          </w:tcPr>
          <w:p>
            <w:pPr>
              <w:spacing w:after="20"/>
            </w:pPr>
            <w:r>
              <w:rPr>
                <w:b w:val="0"/>
                <w:i w:val="0"/>
                <w:sz w:val="17"/>
              </w:rPr>
              <w:t>STEI Lt.2 (Labtek V)</w:t>
            </w:r>
          </w:p>
        </w:tc>
        <w:tc>
          <w:tcPr>
            <w:tcW w:type="dxa" w:w="1152"/>
            <w:shd w:val="clear" w:color="auto" w:fill="FAFAF8"/>
          </w:tcPr>
          <w:p>
            <w:pPr>
              <w:spacing w:after="20"/>
            </w:pPr>
            <w:r>
              <w:rPr>
                <w:b w:val="0"/>
                <w:i w:val="0"/>
                <w:sz w:val="17"/>
              </w:rPr>
              <w:t>201</w:t>
            </w:r>
          </w:p>
        </w:tc>
        <w:tc>
          <w:tcPr>
            <w:tcW w:type="dxa" w:w="2304"/>
            <w:shd w:val="clear" w:color="auto" w:fill="FAFAF8"/>
          </w:tcPr>
          <w:p>
            <w:pPr>
              <w:spacing w:after="20"/>
            </w:pPr>
            <w:r>
              <w:rPr>
                <w:b w:val="0"/>
                <w:i w:val="0"/>
                <w:sz w:val="17"/>
              </w:rPr>
              <w:t>−115</w:t>
            </w:r>
          </w:p>
        </w:tc>
        <w:tc>
          <w:tcPr>
            <w:tcW w:type="dxa" w:w="1440"/>
            <w:shd w:val="clear" w:color="auto" w:fill="FAFAF8"/>
          </w:tcPr>
          <w:p>
            <w:pPr>
              <w:spacing w:after="20"/>
            </w:pPr>
            <w:r>
              <w:rPr>
                <w:b w:val="0"/>
                <w:i w:val="0"/>
                <w:sz w:val="17"/>
              </w:rPr>
              <w:t>−5,2</w:t>
            </w:r>
          </w:p>
        </w:tc>
        <w:tc>
          <w:tcPr>
            <w:tcW w:type="dxa" w:w="2016"/>
            <w:shd w:val="clear" w:color="auto" w:fill="FAFAF8"/>
          </w:tcPr>
          <w:p>
            <w:pPr>
              <w:spacing w:after="20"/>
            </w:pPr>
            <w:r>
              <w:rPr>
                <w:b w:val="0"/>
                <w:i w:val="0"/>
                <w:sz w:val="17"/>
              </w:rPr>
              <w:t>87% (87/100)</w:t>
            </w:r>
          </w:p>
        </w:tc>
      </w:tr>
      <w:tr>
        <w:tc>
          <w:tcPr>
            <w:tcW w:type="dxa" w:w="720"/>
          </w:tcPr>
          <w:p>
            <w:pPr>
              <w:spacing w:after="20"/>
            </w:pPr>
            <w:r>
              <w:rPr>
                <w:b w:val="0"/>
                <w:i w:val="0"/>
                <w:sz w:val="17"/>
              </w:rPr>
              <w:t>Tx 5</w:t>
            </w:r>
          </w:p>
        </w:tc>
        <w:tc>
          <w:tcPr>
            <w:tcW w:type="dxa" w:w="2304"/>
          </w:tcPr>
          <w:p>
            <w:pPr>
              <w:spacing w:after="20"/>
            </w:pPr>
            <w:r>
              <w:rPr>
                <w:b w:val="0"/>
                <w:i w:val="0"/>
                <w:sz w:val="17"/>
              </w:rPr>
              <w:t>Depan Gedung Fisika</w:t>
            </w:r>
          </w:p>
        </w:tc>
        <w:tc>
          <w:tcPr>
            <w:tcW w:type="dxa" w:w="1152"/>
          </w:tcPr>
          <w:p>
            <w:pPr>
              <w:spacing w:after="20"/>
            </w:pPr>
            <w:r>
              <w:rPr>
                <w:b w:val="0"/>
                <w:i w:val="0"/>
                <w:sz w:val="17"/>
              </w:rPr>
              <w:t>342</w:t>
            </w:r>
          </w:p>
        </w:tc>
        <w:tc>
          <w:tcPr>
            <w:tcW w:type="dxa" w:w="2304"/>
          </w:tcPr>
          <w:p>
            <w:pPr>
              <w:spacing w:after="20"/>
            </w:pPr>
            <w:r>
              <w:rPr>
                <w:b w:val="0"/>
                <w:i w:val="0"/>
                <w:sz w:val="17"/>
              </w:rPr>
              <w:t>−120 (sesaat)</w:t>
            </w:r>
          </w:p>
        </w:tc>
        <w:tc>
          <w:tcPr>
            <w:tcW w:type="dxa" w:w="1440"/>
          </w:tcPr>
          <w:p>
            <w:pPr>
              <w:spacing w:after="20"/>
            </w:pPr>
            <w:r>
              <w:rPr>
                <w:b w:val="0"/>
                <w:i w:val="0"/>
                <w:sz w:val="17"/>
              </w:rPr>
              <w:t>−14,8</w:t>
            </w:r>
          </w:p>
        </w:tc>
        <w:tc>
          <w:tcPr>
            <w:tcW w:type="dxa" w:w="2016"/>
          </w:tcPr>
          <w:p>
            <w:pPr>
              <w:spacing w:after="20"/>
            </w:pPr>
            <w:r>
              <w:rPr>
                <w:b w:val="0"/>
                <w:i w:val="0"/>
                <w:sz w:val="17"/>
              </w:rPr>
              <w:t>0%</w:t>
            </w:r>
          </w:p>
        </w:tc>
      </w:tr>
      <w:tr>
        <w:tc>
          <w:tcPr>
            <w:tcW w:type="dxa" w:w="720"/>
            <w:shd w:val="clear" w:color="auto" w:fill="FAFAF8"/>
          </w:tcPr>
          <w:p>
            <w:pPr>
              <w:spacing w:after="20"/>
            </w:pPr>
            <w:r>
              <w:rPr>
                <w:b w:val="0"/>
                <w:i w:val="0"/>
                <w:sz w:val="17"/>
              </w:rPr>
              <w:t>Tx 6</w:t>
            </w:r>
          </w:p>
        </w:tc>
        <w:tc>
          <w:tcPr>
            <w:tcW w:type="dxa" w:w="2304"/>
            <w:shd w:val="clear" w:color="auto" w:fill="FAFAF8"/>
          </w:tcPr>
          <w:p>
            <w:pPr>
              <w:spacing w:after="20"/>
            </w:pPr>
            <w:r>
              <w:rPr>
                <w:b w:val="0"/>
                <w:i w:val="0"/>
                <w:sz w:val="17"/>
              </w:rPr>
              <w:t>SAPPK</w:t>
            </w:r>
          </w:p>
        </w:tc>
        <w:tc>
          <w:tcPr>
            <w:tcW w:type="dxa" w:w="1152"/>
            <w:shd w:val="clear" w:color="auto" w:fill="FAFAF8"/>
          </w:tcPr>
          <w:p>
            <w:pPr>
              <w:spacing w:after="20"/>
            </w:pPr>
            <w:r>
              <w:rPr>
                <w:b w:val="0"/>
                <w:i w:val="0"/>
                <w:sz w:val="17"/>
              </w:rPr>
              <w:t>141</w:t>
            </w:r>
          </w:p>
        </w:tc>
        <w:tc>
          <w:tcPr>
            <w:tcW w:type="dxa" w:w="2304"/>
            <w:shd w:val="clear" w:color="auto" w:fill="FAFAF8"/>
          </w:tcPr>
          <w:p>
            <w:pPr>
              <w:spacing w:after="20"/>
            </w:pPr>
            <w:r>
              <w:rPr>
                <w:b w:val="0"/>
                <w:i w:val="0"/>
                <w:sz w:val="17"/>
              </w:rPr>
              <w:t>tidak terbaca</w:t>
            </w:r>
          </w:p>
        </w:tc>
        <w:tc>
          <w:tcPr>
            <w:tcW w:type="dxa" w:w="1440"/>
            <w:shd w:val="clear" w:color="auto" w:fill="FAFAF8"/>
          </w:tcPr>
          <w:p>
            <w:pPr>
              <w:spacing w:after="20"/>
            </w:pPr>
            <w:r>
              <w:rPr>
                <w:b w:val="0"/>
                <w:i w:val="0"/>
                <w:sz w:val="17"/>
              </w:rPr>
              <w:t>tidak terbaca</w:t>
            </w:r>
          </w:p>
        </w:tc>
        <w:tc>
          <w:tcPr>
            <w:tcW w:type="dxa" w:w="2016"/>
            <w:shd w:val="clear" w:color="auto" w:fill="FAFAF8"/>
          </w:tcPr>
          <w:p>
            <w:pPr>
              <w:spacing w:after="20"/>
            </w:pPr>
            <w:r>
              <w:rPr>
                <w:b w:val="0"/>
                <w:i w:val="0"/>
                <w:sz w:val="17"/>
              </w:rPr>
              <w:t>0% (data tidak sampai, terhalang gedung)</w:t>
            </w:r>
          </w:p>
        </w:tc>
      </w:tr>
    </w:tbl>
    <w:p>
      <w:pPr>
        <w:spacing w:after="40"/>
      </w:pPr>
    </w:p>
    <w:p>
      <w:pPr>
        <w:pStyle w:val="Heading2"/>
      </w:pPr>
      <w:r>
        <w:rPr>
          <w:color w:val="1B2A4A"/>
        </w:rPr>
        <w:t>4.3 Uji orientasi antena 3 dBi (receiver arah selatan, 100 m)</w:t>
      </w:r>
    </w:p>
    <w:p>
      <w:pPr>
        <w:spacing w:after="120"/>
      </w:pPr>
      <w:r>
        <w:rPr>
          <w:b w:val="0"/>
          <w:i w:val="0"/>
          <w:sz w:val="19"/>
        </w:rPr>
        <w:t>Depan GKUT, arah selatan, 100 m: RSSI −89 / −72 / −60 dBm (min/avg/maks), SNR 9,2 / 10,4 / 11,5 dB, PDR 100%. Titik 200–300 m dan arah lain (barat daya, barat) mengalami timeout karena terhalang gedung. Uji orientasi dalam laporan ini memakai antena 3 dBi.</w:t>
      </w:r>
    </w:p>
    <w:p>
      <w:pPr>
        <w:spacing w:after="40"/>
        <w:jc w:val="center"/>
      </w:pPr>
      <w:r>
        <w:drawing>
          <wp:inline xmlns:a="http://schemas.openxmlformats.org/drawingml/2006/main" xmlns:pic="http://schemas.openxmlformats.org/drawingml/2006/picture">
            <wp:extent cx="5760720" cy="3241714"/>
            <wp:docPr id="116" name="Picture 2"/>
            <wp:cNvGraphicFramePr>
              <a:graphicFrameLocks noChangeAspect="1"/>
            </wp:cNvGraphicFramePr>
            <a:graphic>
              <a:graphicData uri="http://schemas.openxmlformats.org/drawingml/2006/picture">
                <pic:pic>
                  <pic:nvPicPr>
                    <pic:cNvPr id="116" name="lora_baseline.png"/>
                    <pic:cNvPicPr/>
                  </pic:nvPicPr>
                  <pic:blipFill>
                    <a:blip r:embed="rId124"/>
                    <a:stretch>
                      <a:fillRect/>
                    </a:stretch>
                  </pic:blipFill>
                  <pic:spPr>
                    <a:xfrm>
                      <a:off x="0" y="0"/>
                      <a:ext cx="5760720" cy="3241714"/>
                    </a:xfrm>
                    <a:prstGeom prst="rect"/>
                  </pic:spPr>
                </pic:pic>
              </a:graphicData>
            </a:graphic>
          </wp:inline>
        </w:drawing>
      </w:r>
    </w:p>
    <w:p>
      <w:pPr>
        <w:spacing w:after="160"/>
        <w:jc w:val="center"/>
      </w:pPr>
      <w:r>
        <w:rPr>
          <w:i/>
          <w:color w:val="5B5B5B"/>
          <w:sz w:val="17"/>
        </w:rPr>
        <w:t>Gambar 2. Rekap uji baseline komunikasi LoRa per kondisi lingkungan</w:t>
      </w:r>
    </w:p>
    <w:p>
      <w:pPr>
        <w:pStyle w:val="Heading1"/>
      </w:pPr>
      <w:r>
        <w:rPr>
          <w:color w:val="1B2A4A"/>
        </w:rPr>
        <w:t>5. Kesimpulan</w:t>
      </w:r>
    </w:p>
    <w:p>
      <w:pPr>
        <w:pStyle w:val="ListBullet"/>
        <w:spacing w:after="60"/>
      </w:pPr>
      <w:r>
        <w:rPr>
          <w:b w:val="0"/>
          <w:i w:val="0"/>
          <w:sz w:val="20"/>
        </w:rPr>
        <w:t>Di area terbuka, PDR 100% tercapai hingga 100 m (RSSI −71 dBm); pada jalur pandang bebas di kampus, PDR 100% tercapai pada 177 m dan 243 m (FAT-03 lulus: PDR 100% pada link jalur pandang bebas).</w:t>
      </w:r>
    </w:p>
    <w:p>
      <w:pPr>
        <w:pStyle w:val="ListBullet"/>
        <w:spacing w:after="60"/>
      </w:pPr>
      <w:r>
        <w:rPr>
          <w:b w:val="0"/>
          <w:i w:val="0"/>
          <w:sz w:val="20"/>
        </w:rPr>
        <w:t>Batas jangkauan per hop teridentifikasi: gedung dan pepohonan menurunkan kualitas link (PDR 87% pada 201 m terhalang gedung; putus di atas ±340 m). Jarak antar-hop di lokasi ditetapkan di bawah batas ini.</w:t>
      </w:r>
    </w:p>
    <w:p>
      <w:pPr>
        <w:pStyle w:val="ListBullet"/>
        <w:spacing w:after="60"/>
      </w:pPr>
      <w:r>
        <w:rPr>
          <w:b w:val="0"/>
          <w:i w:val="0"/>
          <w:sz w:val="20"/>
        </w:rPr>
        <w:t>Menaikkan antena penerima ke 6 m memperbaiki link di area gedung dan pepohonan (−93 dBm/98% menjadi −81 dBm/100%).</w:t>
      </w:r>
    </w:p>
    <w:p>
      <w:pPr>
        <w:pStyle w:val="ListBullet"/>
        <w:spacing w:after="60"/>
      </w:pPr>
      <w:r>
        <w:rPr>
          <w:b w:val="0"/>
          <w:i w:val="0"/>
          <w:sz w:val="20"/>
        </w:rPr>
        <w:t>Keterbatasan jarak per hop diatasi dengan jaringan mesh multi-hop Cluster Head (lihat Laporan Uji Lab 03) dan penempatan antena Cluster Head/Gateway yang tinggi.</w:t>
      </w:r>
    </w:p>
    <w:p>
      <w:pPr>
        <w:pStyle w:val="Heading1"/>
      </w:pPr>
      <w:r>
        <w:rPr>
          <w:color w:val="1B2A4A"/>
        </w:rPr>
        <w:t>6. Lembar pengesahan</w:t>
      </w:r>
    </w:p>
    <w:tbl>
      <w:tblPr>
        <w:tblStyle w:val="TableGrid"/>
        <w:tblW w:type="auto" w:w="0"/>
        <w:tblLook w:firstColumn="1" w:firstRow="1" w:lastColumn="0" w:lastRow="0" w:noHBand="0" w:noVBand="1" w:val="04A0"/>
        <w:tblLayout w:type="fixed"/>
      </w:tblPr>
      <w:tblGrid>
        <w:gridCol w:w="3311"/>
        <w:gridCol w:w="3311"/>
        <w:gridCol w:w="3311"/>
      </w:tblGrid>
      <w:tr>
        <w:trPr>
          <w:cantSplit/>
        </w:trPr>
        <w:tc>
          <w:tcPr>
            <w:tcW w:type="dxa" w:w="3312"/>
            <w:shd w:val="clear" w:color="auto" w:fill="EFEFEC"/>
          </w:tcPr>
          <w:p>
            <w:pPr>
              <w:keepNext/>
            </w:pPr>
            <w:r>
              <w:rPr>
                <w:b/>
                <w:sz w:val="18"/>
              </w:rPr>
              <w:t>Dilaksanakan oleh</w:t>
              <w:br/>
              <w:t>Lab IoT ITB</w:t>
            </w:r>
          </w:p>
        </w:tc>
        <w:tc>
          <w:tcPr>
            <w:tcW w:type="dxa" w:w="3312"/>
            <w:shd w:val="clear" w:color="auto" w:fill="EFEFEC"/>
          </w:tcPr>
          <w:p>
            <w:pPr>
              <w:keepNext/>
            </w:pPr>
            <w:r>
              <w:rPr>
                <w:b/>
                <w:sz w:val="18"/>
              </w:rPr>
              <w:t>Diperiksa oleh</w:t>
              <w:br/>
              <w:t>PT LAPI Ganesha Utama</w:t>
            </w:r>
          </w:p>
        </w:tc>
        <w:tc>
          <w:tcPr>
            <w:tcW w:type="dxa" w:w="3312"/>
            <w:shd w:val="clear" w:color="auto" w:fill="EFEFEC"/>
          </w:tcPr>
          <w:p>
            <w:pPr>
              <w:keepNext/>
            </w:pPr>
            <w:r>
              <w:rPr>
                <w:b/>
                <w:sz w:val="18"/>
              </w:rPr>
              <w:t>Mengetahui</w:t>
              <w:br/>
              <w:t>PT Pertamina Patra Niaga</w:t>
            </w:r>
          </w:p>
        </w:tc>
      </w:tr>
      <w:tr>
        <w:trPr>
          <w:cantSplit/>
        </w:trPr>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r>
    </w:tbl>
    <w:p>
      <w:pPr>
        <w:spacing w:after="0"/>
        <w:jc w:val="center"/>
      </w:pPr>
      <w:r>
        <w:drawing>
          <wp:inline xmlns:a="http://schemas.openxmlformats.org/drawingml/2006/main" xmlns:pic="http://schemas.openxmlformats.org/drawingml/2006/picture">
            <wp:extent cx="6984000" cy="9883240"/>
            <wp:docPr id="117" name="Picture 1"/>
            <wp:cNvGraphicFramePr>
              <a:graphicFrameLocks noChangeAspect="1"/>
            </wp:cNvGraphicFramePr>
            <a:graphic>
              <a:graphicData uri="http://schemas.openxmlformats.org/drawingml/2006/picture">
                <pic:pic>
                  <pic:nvPicPr>
                    <pic:cNvPr id="117" name="img_s9_123.jpg"/>
                    <pic:cNvPicPr/>
                  </pic:nvPicPr>
                  <pic:blipFill>
                    <a:blip r:embed="rId125"/>
                    <a:stretch>
                      <a:fillRect/>
                    </a:stretch>
                  </pic:blipFill>
                  <pic:spPr>
                    <a:xfrm>
                      <a:off x="0" y="0"/>
                      <a:ext cx="6984000" cy="9883240"/>
                    </a:xfrm>
                    <a:prstGeom prst="rect"/>
                  </pic:spPr>
                </pic:pic>
              </a:graphicData>
            </a:graphic>
          </wp:inline>
        </w:drawing>
      </w:r>
    </w:p>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Laporan Uji Laboratorium 03 — Jaringan Mesh, Failover, Downlink, dan Integrasi Sistem</w:t>
      </w:r>
    </w:p>
    <w:p>
      <w:pPr>
        <w:spacing w:after="200"/>
      </w:pPr>
      <w:r>
        <w:rPr>
          <w:b w:val="0"/>
          <w:i w:val="0"/>
          <w:color w:val="5B5B5B"/>
          <w:sz w:val="21"/>
        </w:rPr>
        <w:t>Pengujian pembentukan jaringan mesh Cluster Head secara otomatis, pemulihan saat satu Cluster Head mati, jaringan mesh 8 Cluster Head se-kampus ITB, perintah balik (downlink) ke GLD, serta integrasi GLD – Cluster Head – Gateway – Server dan alarm otomatis.</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LGU/GLD/UJI-LAB/2026-003</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1.1</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5 Oktober 2026</w:t>
            </w:r>
          </w:p>
        </w:tc>
      </w:tr>
      <w:tr>
        <w:tc>
          <w:tcPr>
            <w:tcW w:type="dxa" w:w="2736"/>
            <w:shd w:val="clear" w:color="auto" w:fill="EFEFEC"/>
          </w:tcPr>
          <w:p>
            <w:pPr>
              <w:spacing w:after="40"/>
            </w:pPr>
            <w:r>
              <w:rPr>
                <w:b/>
                <w:color w:val="5B5B5B"/>
                <w:sz w:val="18"/>
              </w:rPr>
              <w:t>Periode uji</w:t>
            </w:r>
          </w:p>
        </w:tc>
        <w:tc>
          <w:tcPr>
            <w:tcW w:type="dxa" w:w="7200"/>
          </w:tcPr>
          <w:p>
            <w:pPr>
              <w:spacing w:after="40"/>
            </w:pPr>
            <w:r>
              <w:rPr>
                <w:sz w:val="19"/>
              </w:rPr>
              <w:t>20 April – 8 Agustus 2026</w:t>
            </w:r>
          </w:p>
        </w:tc>
      </w:tr>
      <w:tr>
        <w:tc>
          <w:tcPr>
            <w:tcW w:type="dxa" w:w="2736"/>
            <w:shd w:val="clear" w:color="auto" w:fill="EFEFEC"/>
          </w:tcPr>
          <w:p>
            <w:pPr>
              <w:spacing w:after="40"/>
            </w:pPr>
            <w:r>
              <w:rPr>
                <w:b/>
                <w:color w:val="5B5B5B"/>
                <w:sz w:val="18"/>
              </w:rPr>
              <w:t>Item FAT terkait</w:t>
            </w:r>
          </w:p>
        </w:tc>
        <w:tc>
          <w:tcPr>
            <w:tcW w:type="dxa" w:w="7200"/>
          </w:tcPr>
          <w:p>
            <w:pPr>
              <w:spacing w:after="40"/>
            </w:pPr>
            <w:r>
              <w:rPr>
                <w:sz w:val="19"/>
              </w:rPr>
              <w:t>FAT-04 (mesh &amp; failover), FAT-05 (end-to-end), FAT-06 (alarm otomatis), FAT-07 (dashboard)</w:t>
            </w:r>
          </w:p>
        </w:tc>
      </w:tr>
      <w:tr>
        <w:tc>
          <w:tcPr>
            <w:tcW w:type="dxa" w:w="2736"/>
            <w:shd w:val="clear" w:color="auto" w:fill="EFEFEC"/>
          </w:tcPr>
          <w:p>
            <w:pPr>
              <w:spacing w:after="40"/>
            </w:pPr>
            <w:r>
              <w:rPr>
                <w:b/>
                <w:color w:val="5B5B5B"/>
                <w:sz w:val="18"/>
              </w:rPr>
              <w:t>Lokasi uji</w:t>
            </w:r>
          </w:p>
        </w:tc>
        <w:tc>
          <w:tcPr>
            <w:tcW w:type="dxa" w:w="7200"/>
          </w:tcPr>
          <w:p>
            <w:pPr>
              <w:spacing w:after="40"/>
            </w:pPr>
            <w:r>
              <w:rPr>
                <w:sz w:val="19"/>
              </w:rPr>
              <w:t>Lab IoT, Instrumentation and Computations, Gedung Laboratorium Fisika Terpadu, dan area kampus Institut Teknologi Bandung</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w:t>
            </w:r>
          </w:p>
        </w:tc>
      </w:tr>
      <w:tr>
        <w:tc>
          <w:tcPr>
            <w:tcW w:type="dxa" w:w="2736"/>
            <w:shd w:val="clear" w:color="auto" w:fill="EFEFEC"/>
          </w:tcPr>
          <w:p>
            <w:pPr>
              <w:spacing w:after="40"/>
            </w:pPr>
            <w:r>
              <w:rPr>
                <w:b/>
                <w:color w:val="5B5B5B"/>
                <w:sz w:val="18"/>
              </w:rPr>
              <w:t>Dokumen terkait</w:t>
            </w:r>
          </w:p>
        </w:tc>
        <w:tc>
          <w:tcPr>
            <w:tcW w:type="dxa" w:w="7200"/>
          </w:tcPr>
          <w:p>
            <w:pPr>
              <w:spacing w:after="40"/>
            </w:pPr>
            <w:r>
              <w:rPr>
                <w:sz w:val="19"/>
              </w:rPr>
              <w:t>Laporan Factory Acceptance Test (FAT) Sistem GLD Tahap 2, LGU/GLD/FAT/2026-001</w:t>
            </w:r>
          </w:p>
        </w:tc>
      </w:tr>
    </w:tbl>
    <w:p>
      <w:r>
        <w:br w:type="page"/>
      </w:r>
    </w:p>
    <w:p>
      <w:pPr>
        <w:pStyle w:val="Heading1"/>
      </w:pPr>
      <w:r>
        <w:rPr>
          <w:color w:val="1B2A4A"/>
        </w:rPr>
        <w:t>1. Tujuan</w:t>
      </w:r>
    </w:p>
    <w:p>
      <w:pPr>
        <w:pStyle w:val="ListBullet"/>
        <w:spacing w:after="60"/>
      </w:pPr>
      <w:r>
        <w:rPr>
          <w:b w:val="0"/>
          <w:i w:val="0"/>
          <w:sz w:val="20"/>
        </w:rPr>
        <w:t>Memastikan Cluster Head (CH) membentuk jaringan mesh secara otomatis dan memilih parent terbaik.</w:t>
      </w:r>
    </w:p>
    <w:p>
      <w:pPr>
        <w:pStyle w:val="ListBullet"/>
        <w:spacing w:after="60"/>
      </w:pPr>
      <w:r>
        <w:rPr>
          <w:b w:val="0"/>
          <w:i w:val="0"/>
          <w:sz w:val="20"/>
        </w:rPr>
        <w:t>Memastikan jaringan pulih otomatis tanpa kehilangan data saat satu CH mati (failover).</w:t>
      </w:r>
    </w:p>
    <w:p>
      <w:pPr>
        <w:pStyle w:val="ListBullet"/>
        <w:spacing w:after="60"/>
      </w:pPr>
      <w:r>
        <w:rPr>
          <w:b w:val="0"/>
          <w:i w:val="0"/>
          <w:sz w:val="20"/>
        </w:rPr>
        <w:t>Memastikan jaringan mesh bekerja pada skala 8 CH dengan beberapa lapis (multi-hop).</w:t>
      </w:r>
    </w:p>
    <w:p>
      <w:pPr>
        <w:pStyle w:val="ListBullet"/>
        <w:spacing w:after="60"/>
      </w:pPr>
      <w:r>
        <w:rPr>
          <w:b w:val="0"/>
          <w:i w:val="0"/>
          <w:sz w:val="20"/>
        </w:rPr>
        <w:t>Memastikan perintah dari Gateway sampai ke GLD melalui mesh (downlink).</w:t>
      </w:r>
    </w:p>
    <w:p>
      <w:pPr>
        <w:pStyle w:val="ListBullet"/>
        <w:spacing w:after="60"/>
      </w:pPr>
      <w:r>
        <w:rPr>
          <w:b w:val="0"/>
          <w:i w:val="0"/>
          <w:sz w:val="20"/>
        </w:rPr>
        <w:t>Memastikan data dan alarm mengalir dari GLD sampai server dan dashboard.</w:t>
      </w:r>
    </w:p>
    <w:p>
      <w:pPr>
        <w:pStyle w:val="Heading1"/>
      </w:pPr>
      <w:r>
        <w:rPr>
          <w:color w:val="1B2A4A"/>
        </w:rPr>
        <w:t>2. Perangkat dan konfigurasi</w:t>
      </w:r>
    </w:p>
    <w:tbl>
      <w:tblPr>
        <w:tblStyle w:val="TableGrid"/>
        <w:tblW w:type="auto" w:w="0"/>
        <w:tblLook w:firstColumn="1" w:firstRow="1" w:lastColumn="0" w:lastRow="0" w:noHBand="0" w:noVBand="1" w:val="04A0"/>
        <w:tblLayout w:type="fixed"/>
      </w:tblPr>
      <w:tblGrid>
        <w:gridCol w:w="2304"/>
        <w:gridCol w:w="7632"/>
      </w:tblGrid>
      <w:tr>
        <w:tc>
          <w:tcPr>
            <w:tcW w:type="dxa" w:w="2304"/>
            <w:shd w:val="clear" w:color="auto" w:fill="1B2A4A"/>
          </w:tcPr>
          <w:p>
            <w:pPr>
              <w:spacing w:after="20"/>
            </w:pPr>
            <w:r>
              <w:rPr>
                <w:b/>
                <w:color w:val="FFFFFF"/>
                <w:sz w:val="18"/>
              </w:rPr>
              <w:t>Komponen</w:t>
            </w:r>
          </w:p>
        </w:tc>
        <w:tc>
          <w:tcPr>
            <w:tcW w:type="dxa" w:w="7632"/>
            <w:shd w:val="clear" w:color="auto" w:fill="1B2A4A"/>
          </w:tcPr>
          <w:p>
            <w:pPr>
              <w:spacing w:after="20"/>
            </w:pPr>
            <w:r>
              <w:rPr>
                <w:b/>
                <w:color w:val="FFFFFF"/>
                <w:sz w:val="18"/>
              </w:rPr>
              <w:t>Keterangan</w:t>
            </w:r>
          </w:p>
        </w:tc>
      </w:tr>
      <w:tr>
        <w:tc>
          <w:tcPr>
            <w:tcW w:type="dxa" w:w="2304"/>
          </w:tcPr>
          <w:p>
            <w:pPr>
              <w:spacing w:after="20"/>
            </w:pPr>
            <w:r>
              <w:rPr>
                <w:b w:val="0"/>
                <w:i w:val="0"/>
                <w:sz w:val="18"/>
              </w:rPr>
              <w:t>Node GLD</w:t>
            </w:r>
          </w:p>
        </w:tc>
        <w:tc>
          <w:tcPr>
            <w:tcW w:type="dxa" w:w="7632"/>
          </w:tcPr>
          <w:p>
            <w:pPr>
              <w:spacing w:after="20"/>
            </w:pPr>
            <w:r>
              <w:rPr>
                <w:b w:val="0"/>
                <w:i w:val="0"/>
                <w:sz w:val="18"/>
              </w:rPr>
              <w:t>Alamat 0xAA01 (uji CH) dan 0xF020 (uji downlink)</w:t>
            </w:r>
          </w:p>
        </w:tc>
      </w:tr>
      <w:tr>
        <w:tc>
          <w:tcPr>
            <w:tcW w:type="dxa" w:w="2304"/>
            <w:shd w:val="clear" w:color="auto" w:fill="FAFAF8"/>
          </w:tcPr>
          <w:p>
            <w:pPr>
              <w:spacing w:after="20"/>
            </w:pPr>
            <w:r>
              <w:rPr>
                <w:b w:val="0"/>
                <w:i w:val="0"/>
                <w:sz w:val="18"/>
              </w:rPr>
              <w:t>Cluster Head</w:t>
            </w:r>
          </w:p>
        </w:tc>
        <w:tc>
          <w:tcPr>
            <w:tcW w:type="dxa" w:w="7632"/>
            <w:shd w:val="clear" w:color="auto" w:fill="FAFAF8"/>
          </w:tcPr>
          <w:p>
            <w:pPr>
              <w:spacing w:after="20"/>
            </w:pPr>
            <w:r>
              <w:rPr>
                <w:b w:val="0"/>
                <w:i w:val="0"/>
                <w:sz w:val="18"/>
              </w:rPr>
              <w:t>ESP32-S3 + 2 radio LoRa: STAR 920 MHz (ke GLD) dan MESH 921 MHz (antar-CH); panel surya + baterai</w:t>
            </w:r>
          </w:p>
        </w:tc>
      </w:tr>
      <w:tr>
        <w:tc>
          <w:tcPr>
            <w:tcW w:type="dxa" w:w="2304"/>
          </w:tcPr>
          <w:p>
            <w:pPr>
              <w:spacing w:after="20"/>
            </w:pPr>
            <w:r>
              <w:rPr>
                <w:b w:val="0"/>
                <w:i w:val="0"/>
                <w:sz w:val="18"/>
              </w:rPr>
              <w:t>Gateway</w:t>
            </w:r>
          </w:p>
        </w:tc>
        <w:tc>
          <w:tcPr>
            <w:tcW w:type="dxa" w:w="7632"/>
          </w:tcPr>
          <w:p>
            <w:pPr>
              <w:spacing w:after="20"/>
            </w:pPr>
            <w:r>
              <w:rPr>
                <w:b w:val="0"/>
                <w:i w:val="0"/>
                <w:sz w:val="18"/>
              </w:rPr>
              <w:t>Radio MESH → Wi-Fi → MQTT</w:t>
            </w:r>
          </w:p>
        </w:tc>
      </w:tr>
      <w:tr>
        <w:tc>
          <w:tcPr>
            <w:tcW w:type="dxa" w:w="2304"/>
            <w:shd w:val="clear" w:color="auto" w:fill="FAFAF8"/>
          </w:tcPr>
          <w:p>
            <w:pPr>
              <w:spacing w:after="20"/>
            </w:pPr>
            <w:r>
              <w:rPr>
                <w:b w:val="0"/>
                <w:i w:val="0"/>
                <w:sz w:val="18"/>
              </w:rPr>
              <w:t>Server</w:t>
            </w:r>
          </w:p>
        </w:tc>
        <w:tc>
          <w:tcPr>
            <w:tcW w:type="dxa" w:w="7632"/>
            <w:shd w:val="clear" w:color="auto" w:fill="FAFAF8"/>
          </w:tcPr>
          <w:p>
            <w:pPr>
              <w:spacing w:after="20"/>
            </w:pPr>
            <w:r>
              <w:rPr>
                <w:b w:val="0"/>
                <w:i w:val="0"/>
                <w:sz w:val="18"/>
              </w:rPr>
              <w:t>MQTT broker, backend, dan dashboard di laboratorium</w:t>
            </w:r>
          </w:p>
        </w:tc>
      </w:tr>
    </w:tbl>
    <w:p>
      <w:pPr>
        <w:spacing w:after="40"/>
      </w:pPr>
    </w:p>
    <w:p>
      <w:pPr>
        <w:pStyle w:val="Heading1"/>
      </w:pPr>
      <w:r>
        <w:rPr>
          <w:color w:val="1B2A4A"/>
        </w:rPr>
        <w:t>3. Hasil uji</w:t>
      </w:r>
    </w:p>
    <w:p>
      <w:pPr>
        <w:pStyle w:val="Heading2"/>
      </w:pPr>
      <w:r>
        <w:rPr>
          <w:color w:val="1B2A4A"/>
        </w:rPr>
        <w:t>3.1 Pembentukan mesh otomatis (20–26 April 2026)</w:t>
      </w:r>
    </w:p>
    <w:p>
      <w:pPr>
        <w:spacing w:after="120"/>
      </w:pPr>
      <w:r>
        <w:rPr>
          <w:b w:val="0"/>
          <w:i w:val="0"/>
          <w:sz w:val="19"/>
        </w:rPr>
        <w:t>CH3/Gateway aktif pertama, disusul CH2 dan CH1. Setiap CH mengirim permintaan konfigurasi, menerima respons, lalu memilih parent berdasarkan RSSI terbaik. Topologi terbentuk: Node 0xAA01 → CH1 → CH2 → CH3/Gateway → server MQTT, dengan konfirmasi (ACK) di setiap hop.</w:t>
      </w:r>
    </w:p>
    <w:p>
      <w:pPr>
        <w:spacing w:after="40"/>
        <w:jc w:val="center"/>
      </w:pPr>
      <w:r>
        <w:drawing>
          <wp:inline xmlns:a="http://schemas.openxmlformats.org/drawingml/2006/main" xmlns:pic="http://schemas.openxmlformats.org/drawingml/2006/picture">
            <wp:extent cx="5760720" cy="3241714"/>
            <wp:docPr id="118" name="Picture 1"/>
            <wp:cNvGraphicFramePr>
              <a:graphicFrameLocks noChangeAspect="1"/>
            </wp:cNvGraphicFramePr>
            <a:graphic>
              <a:graphicData uri="http://schemas.openxmlformats.org/drawingml/2006/picture">
                <pic:pic>
                  <pic:nvPicPr>
                    <pic:cNvPr id="118" name="mesh_topologi_normal.png"/>
                    <pic:cNvPicPr/>
                  </pic:nvPicPr>
                  <pic:blipFill>
                    <a:blip r:embed="rId126"/>
                    <a:stretch>
                      <a:fillRect/>
                    </a:stretch>
                  </pic:blipFill>
                  <pic:spPr>
                    <a:xfrm>
                      <a:off x="0" y="0"/>
                      <a:ext cx="5760720" cy="3241714"/>
                    </a:xfrm>
                    <a:prstGeom prst="rect"/>
                  </pic:spPr>
                </pic:pic>
              </a:graphicData>
            </a:graphic>
          </wp:inline>
        </w:drawing>
      </w:r>
    </w:p>
    <w:p>
      <w:pPr>
        <w:spacing w:after="160"/>
        <w:jc w:val="center"/>
      </w:pPr>
      <w:r>
        <w:rPr>
          <w:i/>
          <w:color w:val="5B5B5B"/>
          <w:sz w:val="17"/>
        </w:rPr>
        <w:t>Gambar 1. Topologi normal — aliran data berhasil</w:t>
      </w:r>
    </w:p>
    <w:p>
      <w:pPr>
        <w:pStyle w:val="Heading2"/>
      </w:pPr>
      <w:r>
        <w:rPr>
          <w:color w:val="1B2A4A"/>
        </w:rPr>
        <w:t>3.2 Failover saat CH mati</w:t>
      </w:r>
    </w:p>
    <w:tbl>
      <w:tblPr>
        <w:tblStyle w:val="TableGrid"/>
        <w:tblW w:type="auto" w:w="0"/>
        <w:tblLook w:firstColumn="1" w:firstRow="1" w:lastColumn="0" w:lastRow="0" w:noHBand="0" w:noVBand="1" w:val="04A0"/>
        <w:tblLayout w:type="fixed"/>
      </w:tblPr>
      <w:tblGrid>
        <w:gridCol w:w="2304"/>
        <w:gridCol w:w="7632"/>
      </w:tblGrid>
      <w:tr>
        <w:tc>
          <w:tcPr>
            <w:tcW w:type="dxa" w:w="2304"/>
            <w:shd w:val="clear" w:color="auto" w:fill="1B2A4A"/>
          </w:tcPr>
          <w:p>
            <w:pPr>
              <w:spacing w:after="20"/>
            </w:pPr>
            <w:r>
              <w:rPr>
                <w:b/>
                <w:color w:val="FFFFFF"/>
                <w:sz w:val="18"/>
              </w:rPr>
              <w:t>Langkah</w:t>
            </w:r>
          </w:p>
        </w:tc>
        <w:tc>
          <w:tcPr>
            <w:tcW w:type="dxa" w:w="7632"/>
            <w:shd w:val="clear" w:color="auto" w:fill="1B2A4A"/>
          </w:tcPr>
          <w:p>
            <w:pPr>
              <w:spacing w:after="20"/>
            </w:pPr>
            <w:r>
              <w:rPr>
                <w:b/>
                <w:color w:val="FFFFFF"/>
                <w:sz w:val="18"/>
              </w:rPr>
              <w:t>Hasil</w:t>
            </w:r>
          </w:p>
        </w:tc>
      </w:tr>
      <w:tr>
        <w:tc>
          <w:tcPr>
            <w:tcW w:type="dxa" w:w="2304"/>
          </w:tcPr>
          <w:p>
            <w:pPr>
              <w:spacing w:after="20"/>
            </w:pPr>
            <w:r>
              <w:rPr>
                <w:b w:val="0"/>
                <w:i w:val="0"/>
                <w:sz w:val="18"/>
              </w:rPr>
              <w:t>CH2 dimatikan</w:t>
            </w:r>
          </w:p>
        </w:tc>
        <w:tc>
          <w:tcPr>
            <w:tcW w:type="dxa" w:w="7632"/>
          </w:tcPr>
          <w:p>
            <w:pPr>
              <w:spacing w:after="20"/>
            </w:pPr>
            <w:r>
              <w:rPr>
                <w:b w:val="0"/>
                <w:i w:val="0"/>
                <w:sz w:val="18"/>
              </w:rPr>
              <w:t>CH1 mengirim ke CH2 tiga kali tanpa ACK (backoff 100/200/400 ms) → failover dimulai</w:t>
            </w:r>
          </w:p>
        </w:tc>
      </w:tr>
      <w:tr>
        <w:tc>
          <w:tcPr>
            <w:tcW w:type="dxa" w:w="2304"/>
            <w:shd w:val="clear" w:color="auto" w:fill="FAFAF8"/>
          </w:tcPr>
          <w:p>
            <w:pPr>
              <w:spacing w:after="20"/>
            </w:pPr>
            <w:r>
              <w:rPr>
                <w:b w:val="0"/>
                <w:i w:val="0"/>
                <w:sz w:val="18"/>
              </w:rPr>
              <w:t>Mencari parent baru</w:t>
            </w:r>
          </w:p>
        </w:tc>
        <w:tc>
          <w:tcPr>
            <w:tcW w:type="dxa" w:w="7632"/>
            <w:shd w:val="clear" w:color="auto" w:fill="FAFAF8"/>
          </w:tcPr>
          <w:p>
            <w:pPr>
              <w:spacing w:after="20"/>
            </w:pPr>
            <w:r>
              <w:rPr>
                <w:b w:val="0"/>
                <w:i w:val="0"/>
                <w:sz w:val="18"/>
              </w:rPr>
              <w:t>CH1 menyiarkan permintaan konfigurasi; CH3/Gateway merespons (RSSI −105 dBm)</w:t>
            </w:r>
          </w:p>
        </w:tc>
      </w:tr>
      <w:tr>
        <w:tc>
          <w:tcPr>
            <w:tcW w:type="dxa" w:w="2304"/>
          </w:tcPr>
          <w:p>
            <w:pPr>
              <w:spacing w:after="20"/>
            </w:pPr>
            <w:r>
              <w:rPr>
                <w:b w:val="0"/>
                <w:i w:val="0"/>
                <w:sz w:val="18"/>
              </w:rPr>
              <w:t>Parent berubah</w:t>
            </w:r>
          </w:p>
        </w:tc>
        <w:tc>
          <w:tcPr>
            <w:tcW w:type="dxa" w:w="7632"/>
          </w:tcPr>
          <w:p>
            <w:pPr>
              <w:spacing w:after="20"/>
            </w:pPr>
            <w:r>
              <w:rPr>
                <w:b w:val="0"/>
                <w:i w:val="0"/>
                <w:sz w:val="18"/>
              </w:rPr>
              <w:t>CH2 (0x0002) → CH3/Gateway (0x0003); ACK OK</w:t>
            </w:r>
          </w:p>
        </w:tc>
      </w:tr>
      <w:tr>
        <w:tc>
          <w:tcPr>
            <w:tcW w:type="dxa" w:w="2304"/>
            <w:shd w:val="clear" w:color="auto" w:fill="FAFAF8"/>
          </w:tcPr>
          <w:p>
            <w:pPr>
              <w:spacing w:after="20"/>
            </w:pPr>
            <w:r>
              <w:rPr>
                <w:b w:val="0"/>
                <w:i w:val="0"/>
                <w:sz w:val="18"/>
              </w:rPr>
              <w:t>Topologi baru</w:t>
            </w:r>
          </w:p>
        </w:tc>
        <w:tc>
          <w:tcPr>
            <w:tcW w:type="dxa" w:w="7632"/>
            <w:shd w:val="clear" w:color="auto" w:fill="FAFAF8"/>
          </w:tcPr>
          <w:p>
            <w:pPr>
              <w:spacing w:after="20"/>
            </w:pPr>
            <w:r>
              <w:rPr>
                <w:b w:val="0"/>
                <w:i w:val="0"/>
                <w:sz w:val="18"/>
              </w:rPr>
              <w:t>Node → CH1 → CH3/Gateway (melewati CH2)</w:t>
            </w:r>
          </w:p>
        </w:tc>
      </w:tr>
      <w:tr>
        <w:tc>
          <w:tcPr>
            <w:tcW w:type="dxa" w:w="2304"/>
          </w:tcPr>
          <w:p>
            <w:pPr>
              <w:spacing w:after="20"/>
            </w:pPr>
            <w:r>
              <w:rPr>
                <w:b w:val="0"/>
                <w:i w:val="0"/>
                <w:sz w:val="18"/>
              </w:rPr>
              <w:t>Data</w:t>
            </w:r>
          </w:p>
        </w:tc>
        <w:tc>
          <w:tcPr>
            <w:tcW w:type="dxa" w:w="7632"/>
          </w:tcPr>
          <w:p>
            <w:pPr>
              <w:spacing w:after="20"/>
            </w:pPr>
            <w:r>
              <w:rPr>
                <w:b w:val="0"/>
                <w:i w:val="0"/>
                <w:sz w:val="18"/>
              </w:rPr>
              <w:t>Tetap terkirim, tidak ada data hilang, tanpa intervensi manual</w:t>
            </w:r>
          </w:p>
        </w:tc>
      </w:tr>
    </w:tbl>
    <w:p>
      <w:pPr>
        <w:spacing w:after="40"/>
      </w:pPr>
    </w:p>
    <w:p>
      <w:pPr>
        <w:spacing w:after="40"/>
        <w:jc w:val="center"/>
      </w:pPr>
      <w:r>
        <w:drawing>
          <wp:inline xmlns:a="http://schemas.openxmlformats.org/drawingml/2006/main" xmlns:pic="http://schemas.openxmlformats.org/drawingml/2006/picture">
            <wp:extent cx="5760720" cy="3241714"/>
            <wp:docPr id="119" name="Picture 2"/>
            <wp:cNvGraphicFramePr>
              <a:graphicFrameLocks noChangeAspect="1"/>
            </wp:cNvGraphicFramePr>
            <a:graphic>
              <a:graphicData uri="http://schemas.openxmlformats.org/drawingml/2006/picture">
                <pic:pic>
                  <pic:nvPicPr>
                    <pic:cNvPr id="119" name="failover_log.png"/>
                    <pic:cNvPicPr/>
                  </pic:nvPicPr>
                  <pic:blipFill>
                    <a:blip r:embed="rId127"/>
                    <a:stretch>
                      <a:fillRect/>
                    </a:stretch>
                  </pic:blipFill>
                  <pic:spPr>
                    <a:xfrm>
                      <a:off x="0" y="0"/>
                      <a:ext cx="5760720" cy="3241714"/>
                    </a:xfrm>
                    <a:prstGeom prst="rect"/>
                  </pic:spPr>
                </pic:pic>
              </a:graphicData>
            </a:graphic>
          </wp:inline>
        </w:drawing>
      </w:r>
    </w:p>
    <w:p>
      <w:pPr>
        <w:spacing w:after="160"/>
        <w:jc w:val="center"/>
      </w:pPr>
      <w:r>
        <w:rPr>
          <w:i/>
          <w:color w:val="5B5B5B"/>
          <w:sz w:val="17"/>
        </w:rPr>
        <w:t>Gambar 2. Log failover CH1: parent berpindah dari CH2 ke CH3/Gateway</w:t>
      </w:r>
    </w:p>
    <w:p>
      <w:pPr>
        <w:pStyle w:val="Heading2"/>
      </w:pPr>
      <w:r>
        <w:rPr>
          <w:color w:val="1B2A4A"/>
        </w:rPr>
        <w:t>3.3 Mesh 8 Cluster Head se-kampus ITB (16 Juli 2026)</w:t>
      </w:r>
    </w:p>
    <w:p>
      <w:pPr>
        <w:spacing w:after="120"/>
      </w:pPr>
      <w:r>
        <w:rPr>
          <w:b w:val="0"/>
          <w:i w:val="0"/>
          <w:sz w:val="19"/>
        </w:rPr>
        <w:t>8 CH ditempatkan di beberapa gedung kampus ITB dan membentuk jaringan 3 lapis menuju Gateway: lapis 1 CH3, CH5, CH8; lapis 2 CH1, CH4; lapis 3 CH2 (kedalaman rute 1–3). Semua CH berstatus terpasang dan terhubung ke Gateway.</w:t>
      </w:r>
    </w:p>
    <w:p>
      <w:pPr>
        <w:spacing w:after="40"/>
        <w:jc w:val="center"/>
      </w:pPr>
      <w:r>
        <w:drawing>
          <wp:inline xmlns:a="http://schemas.openxmlformats.org/drawingml/2006/main" xmlns:pic="http://schemas.openxmlformats.org/drawingml/2006/picture">
            <wp:extent cx="5524807" cy="3108959"/>
            <wp:docPr id="120" name="Picture 3"/>
            <wp:cNvGraphicFramePr>
              <a:graphicFrameLocks noChangeAspect="1"/>
            </wp:cNvGraphicFramePr>
            <a:graphic>
              <a:graphicData uri="http://schemas.openxmlformats.org/drawingml/2006/picture">
                <pic:pic>
                  <pic:nvPicPr>
                    <pic:cNvPr id="120" name="mesh_8ch.png"/>
                    <pic:cNvPicPr/>
                  </pic:nvPicPr>
                  <pic:blipFill>
                    <a:blip r:embed="rId128"/>
                    <a:stretch>
                      <a:fillRect/>
                    </a:stretch>
                  </pic:blipFill>
                  <pic:spPr>
                    <a:xfrm>
                      <a:off x="0" y="0"/>
                      <a:ext cx="5524807" cy="3108959"/>
                    </a:xfrm>
                    <a:prstGeom prst="rect"/>
                  </pic:spPr>
                </pic:pic>
              </a:graphicData>
            </a:graphic>
          </wp:inline>
        </w:drawing>
      </w:r>
    </w:p>
    <w:p>
      <w:pPr>
        <w:spacing w:after="160"/>
        <w:jc w:val="center"/>
      </w:pPr>
      <w:r>
        <w:rPr>
          <w:i/>
          <w:color w:val="5B5B5B"/>
          <w:sz w:val="17"/>
        </w:rPr>
        <w:t>Gambar 3. Peta dan topologi uji mesh 8 Cluster Head, 16 Juli 2026</w:t>
      </w:r>
    </w:p>
    <w:p>
      <w:pPr>
        <w:pStyle w:val="Heading2"/>
      </w:pPr>
      <w:r>
        <w:rPr>
          <w:color w:val="1B2A4A"/>
        </w:rPr>
        <w:t>3.4 Downlink Gateway → CH → GLD</w:t>
      </w:r>
    </w:p>
    <w:p>
      <w:pPr>
        <w:spacing w:after="120"/>
      </w:pPr>
      <w:r>
        <w:rPr>
          <w:b w:val="0"/>
          <w:i w:val="0"/>
          <w:sz w:val="19"/>
        </w:rPr>
        <w:t>Perintah dari Gateway dikirim ke node GLD 0xF020 melalui jalur mesh. Setelah perbaikan firmware downlink, perintah sampai ke GLD melalui CH.</w:t>
      </w:r>
    </w:p>
    <w:p>
      <w:pPr>
        <w:spacing w:after="40"/>
        <w:jc w:val="center"/>
      </w:pPr>
      <w:r>
        <w:drawing>
          <wp:inline xmlns:a="http://schemas.openxmlformats.org/drawingml/2006/main" xmlns:pic="http://schemas.openxmlformats.org/drawingml/2006/picture">
            <wp:extent cx="5199819" cy="2926080"/>
            <wp:docPr id="121" name="Picture 4"/>
            <wp:cNvGraphicFramePr>
              <a:graphicFrameLocks noChangeAspect="1"/>
            </wp:cNvGraphicFramePr>
            <a:graphic>
              <a:graphicData uri="http://schemas.openxmlformats.org/drawingml/2006/picture">
                <pic:pic>
                  <pic:nvPicPr>
                    <pic:cNvPr id="121" name="downlink.png"/>
                    <pic:cNvPicPr/>
                  </pic:nvPicPr>
                  <pic:blipFill>
                    <a:blip r:embed="rId129"/>
                    <a:stretch>
                      <a:fillRect/>
                    </a:stretch>
                  </pic:blipFill>
                  <pic:spPr>
                    <a:xfrm>
                      <a:off x="0" y="0"/>
                      <a:ext cx="5199819" cy="2926080"/>
                    </a:xfrm>
                    <a:prstGeom prst="rect"/>
                  </pic:spPr>
                </pic:pic>
              </a:graphicData>
            </a:graphic>
          </wp:inline>
        </w:drawing>
      </w:r>
    </w:p>
    <w:p>
      <w:pPr>
        <w:spacing w:after="160"/>
        <w:jc w:val="center"/>
      </w:pPr>
      <w:r>
        <w:rPr>
          <w:i/>
          <w:color w:val="5B5B5B"/>
          <w:sz w:val="17"/>
        </w:rPr>
        <w:t>Gambar 4. Uji downlink ke GLD 0xF020 melalui mesh</w:t>
      </w:r>
    </w:p>
    <w:p>
      <w:pPr>
        <w:pStyle w:val="Heading2"/>
      </w:pPr>
      <w:r>
        <w:rPr>
          <w:color w:val="1B2A4A"/>
        </w:rPr>
        <w:t>3.5 Integrasi end-to-end dan alarm otomatis</w:t>
      </w:r>
    </w:p>
    <w:tbl>
      <w:tblPr>
        <w:tblStyle w:val="TableGrid"/>
        <w:tblW w:type="auto" w:w="0"/>
        <w:tblLook w:firstColumn="1" w:firstRow="1" w:lastColumn="0" w:lastRow="0" w:noHBand="0" w:noVBand="1" w:val="04A0"/>
        <w:tblLayout w:type="fixed"/>
      </w:tblPr>
      <w:tblGrid>
        <w:gridCol w:w="2880"/>
        <w:gridCol w:w="1872"/>
        <w:gridCol w:w="5184"/>
      </w:tblGrid>
      <w:tr>
        <w:tc>
          <w:tcPr>
            <w:tcW w:type="dxa" w:w="2880"/>
            <w:shd w:val="clear" w:color="auto" w:fill="1B2A4A"/>
          </w:tcPr>
          <w:p>
            <w:pPr>
              <w:spacing w:after="20"/>
            </w:pPr>
            <w:r>
              <w:rPr>
                <w:b/>
                <w:color w:val="FFFFFF"/>
                <w:sz w:val="18"/>
              </w:rPr>
              <w:t>Uji</w:t>
            </w:r>
          </w:p>
        </w:tc>
        <w:tc>
          <w:tcPr>
            <w:tcW w:type="dxa" w:w="1872"/>
            <w:shd w:val="clear" w:color="auto" w:fill="1B2A4A"/>
          </w:tcPr>
          <w:p>
            <w:pPr>
              <w:spacing w:after="20"/>
            </w:pPr>
            <w:r>
              <w:rPr>
                <w:b/>
                <w:color w:val="FFFFFF"/>
                <w:sz w:val="18"/>
              </w:rPr>
              <w:t>Tanggal</w:t>
            </w:r>
          </w:p>
        </w:tc>
        <w:tc>
          <w:tcPr>
            <w:tcW w:type="dxa" w:w="5184"/>
            <w:shd w:val="clear" w:color="auto" w:fill="1B2A4A"/>
          </w:tcPr>
          <w:p>
            <w:pPr>
              <w:spacing w:after="20"/>
            </w:pPr>
            <w:r>
              <w:rPr>
                <w:b/>
                <w:color w:val="FFFFFF"/>
                <w:sz w:val="18"/>
              </w:rPr>
              <w:t>Hasil</w:t>
            </w:r>
          </w:p>
        </w:tc>
      </w:tr>
      <w:tr>
        <w:tc>
          <w:tcPr>
            <w:tcW w:type="dxa" w:w="2880"/>
          </w:tcPr>
          <w:p>
            <w:pPr>
              <w:spacing w:after="20"/>
            </w:pPr>
            <w:r>
              <w:rPr>
                <w:b w:val="0"/>
                <w:i w:val="0"/>
                <w:sz w:val="18"/>
              </w:rPr>
              <w:t>Rantai GLD – CH – Gateway – Server</w:t>
            </w:r>
          </w:p>
        </w:tc>
        <w:tc>
          <w:tcPr>
            <w:tcW w:type="dxa" w:w="1872"/>
          </w:tcPr>
          <w:p>
            <w:pPr>
              <w:spacing w:after="20"/>
            </w:pPr>
            <w:r>
              <w:rPr>
                <w:b w:val="0"/>
                <w:i w:val="0"/>
                <w:sz w:val="18"/>
              </w:rPr>
              <w:t>16 Juli 2026</w:t>
            </w:r>
          </w:p>
        </w:tc>
        <w:tc>
          <w:tcPr>
            <w:tcW w:type="dxa" w:w="5184"/>
          </w:tcPr>
          <w:p>
            <w:pPr>
              <w:spacing w:after="20"/>
            </w:pPr>
            <w:r>
              <w:rPr>
                <w:b w:val="0"/>
                <w:i w:val="0"/>
                <w:sz w:val="18"/>
              </w:rPr>
              <w:t>Data mengalir end-to-end tanpa intervensi manual</w:t>
            </w:r>
          </w:p>
        </w:tc>
      </w:tr>
      <w:tr>
        <w:tc>
          <w:tcPr>
            <w:tcW w:type="dxa" w:w="2880"/>
            <w:shd w:val="clear" w:color="auto" w:fill="FAFAF8"/>
          </w:tcPr>
          <w:p>
            <w:pPr>
              <w:spacing w:after="20"/>
            </w:pPr>
            <w:r>
              <w:rPr>
                <w:b w:val="0"/>
                <w:i w:val="0"/>
                <w:sz w:val="18"/>
              </w:rPr>
              <w:t>Alarm otomatis (push alarm)</w:t>
            </w:r>
          </w:p>
        </w:tc>
        <w:tc>
          <w:tcPr>
            <w:tcW w:type="dxa" w:w="1872"/>
            <w:shd w:val="clear" w:color="auto" w:fill="FAFAF8"/>
          </w:tcPr>
          <w:p>
            <w:pPr>
              <w:spacing w:after="20"/>
            </w:pPr>
            <w:r>
              <w:rPr>
                <w:b w:val="0"/>
                <w:i w:val="0"/>
                <w:sz w:val="18"/>
              </w:rPr>
              <w:t>6–8 Agustus 2026</w:t>
            </w:r>
          </w:p>
        </w:tc>
        <w:tc>
          <w:tcPr>
            <w:tcW w:type="dxa" w:w="5184"/>
            <w:shd w:val="clear" w:color="auto" w:fill="FAFAF8"/>
          </w:tcPr>
          <w:p>
            <w:pPr>
              <w:spacing w:after="20"/>
            </w:pPr>
            <w:r>
              <w:rPr>
                <w:b w:val="0"/>
                <w:i w:val="0"/>
                <w:sz w:val="18"/>
              </w:rPr>
              <w:t>GLD disemprot LPG pada konfigurasi Gateway + 3 CH; status server berubah menjadi alarm otomatis tanpa permintaan data dari server; waktu respons tidak diukur dengan pencatat waktu (interval laporan radio sesuai desain 10 detik), pengukuran terhadap KPI ≤30 detik dilakukan pada Site Acceptance Test</w:t>
            </w:r>
          </w:p>
        </w:tc>
      </w:tr>
      <w:tr>
        <w:tc>
          <w:tcPr>
            <w:tcW w:type="dxa" w:w="2880"/>
          </w:tcPr>
          <w:p>
            <w:pPr>
              <w:spacing w:after="20"/>
            </w:pPr>
            <w:r>
              <w:rPr>
                <w:b w:val="0"/>
                <w:i w:val="0"/>
                <w:sz w:val="18"/>
              </w:rPr>
              <w:t>Monitoring dashboard</w:t>
            </w:r>
          </w:p>
        </w:tc>
        <w:tc>
          <w:tcPr>
            <w:tcW w:type="dxa" w:w="1872"/>
          </w:tcPr>
          <w:p>
            <w:pPr>
              <w:spacing w:after="20"/>
            </w:pPr>
            <w:r>
              <w:rPr>
                <w:b w:val="0"/>
                <w:i w:val="0"/>
                <w:sz w:val="18"/>
              </w:rPr>
              <w:t>6 Agustus 2026</w:t>
            </w:r>
          </w:p>
        </w:tc>
        <w:tc>
          <w:tcPr>
            <w:tcW w:type="dxa" w:w="5184"/>
          </w:tcPr>
          <w:p>
            <w:pPr>
              <w:spacing w:after="20"/>
            </w:pPr>
            <w:r>
              <w:rPr>
                <w:b w:val="0"/>
                <w:i w:val="0"/>
                <w:sz w:val="18"/>
              </w:rPr>
              <w:t>Data dan alarm tampil di dashboard; didemonstrasikan saat kunjungan Pertamina</w:t>
            </w:r>
          </w:p>
        </w:tc>
      </w:tr>
    </w:tbl>
    <w:p>
      <w:pPr>
        <w:spacing w:after="40"/>
      </w:pPr>
    </w:p>
    <w:p>
      <w:pPr>
        <w:pStyle w:val="Heading1"/>
      </w:pPr>
      <w:r>
        <w:rPr>
          <w:color w:val="1B2A4A"/>
        </w:rPr>
        <w:t>4. Kesimpulan</w:t>
      </w:r>
    </w:p>
    <w:p>
      <w:pPr>
        <w:pStyle w:val="ListBullet"/>
        <w:spacing w:after="60"/>
      </w:pPr>
      <w:r>
        <w:rPr>
          <w:b w:val="0"/>
          <w:i w:val="0"/>
          <w:sz w:val="20"/>
        </w:rPr>
        <w:t>CH membentuk mesh dan memilih parent secara otomatis (FAT-04).</w:t>
      </w:r>
    </w:p>
    <w:p>
      <w:pPr>
        <w:pStyle w:val="ListBullet"/>
        <w:spacing w:after="60"/>
      </w:pPr>
      <w:r>
        <w:rPr>
          <w:b w:val="0"/>
          <w:i w:val="0"/>
          <w:sz w:val="20"/>
        </w:rPr>
        <w:t>Saat satu CH mati, jaringan pulih otomatis tanpa kehilangan data (FAT-04).</w:t>
      </w:r>
    </w:p>
    <w:p>
      <w:pPr>
        <w:pStyle w:val="ListBullet"/>
        <w:spacing w:after="60"/>
      </w:pPr>
      <w:r>
        <w:rPr>
          <w:b w:val="0"/>
          <w:i w:val="0"/>
          <w:sz w:val="20"/>
        </w:rPr>
        <w:t>Mesh 8 CH dengan 3 lapis berfungsi di kampus ITB, dan downlink ke GLD berhasil (FAT-04).</w:t>
      </w:r>
    </w:p>
    <w:p>
      <w:pPr>
        <w:pStyle w:val="ListBullet"/>
        <w:spacing w:after="60"/>
      </w:pPr>
      <w:r>
        <w:rPr>
          <w:b w:val="0"/>
          <w:i w:val="0"/>
          <w:sz w:val="20"/>
        </w:rPr>
        <w:t>Data dan alarm mengalir dari GLD sampai server dan dashboard secara otomatis (FAT-05, FAT-06, FAT-07).</w:t>
      </w:r>
    </w:p>
    <w:p>
      <w:pPr>
        <w:pStyle w:val="Heading1"/>
      </w:pPr>
      <w:r>
        <w:rPr>
          <w:color w:val="1B2A4A"/>
        </w:rPr>
        <w:t>5. Lembar pengesahan</w:t>
      </w:r>
    </w:p>
    <w:tbl>
      <w:tblPr>
        <w:tblStyle w:val="TableGrid"/>
        <w:tblW w:type="auto" w:w="0"/>
        <w:tblLook w:firstColumn="1" w:firstRow="1" w:lastColumn="0" w:lastRow="0" w:noHBand="0" w:noVBand="1" w:val="04A0"/>
        <w:tblLayout w:type="fixed"/>
      </w:tblPr>
      <w:tblGrid>
        <w:gridCol w:w="3311"/>
        <w:gridCol w:w="3311"/>
        <w:gridCol w:w="3311"/>
      </w:tblGrid>
      <w:tr>
        <w:trPr>
          <w:cantSplit/>
        </w:trPr>
        <w:tc>
          <w:tcPr>
            <w:tcW w:type="dxa" w:w="3312"/>
            <w:shd w:val="clear" w:color="auto" w:fill="EFEFEC"/>
          </w:tcPr>
          <w:p>
            <w:pPr>
              <w:keepNext/>
            </w:pPr>
            <w:r>
              <w:rPr>
                <w:b/>
                <w:sz w:val="18"/>
              </w:rPr>
              <w:t>Dilaksanakan oleh</w:t>
              <w:br/>
              <w:t>Lab IoT ITB</w:t>
            </w:r>
          </w:p>
        </w:tc>
        <w:tc>
          <w:tcPr>
            <w:tcW w:type="dxa" w:w="3312"/>
            <w:shd w:val="clear" w:color="auto" w:fill="EFEFEC"/>
          </w:tcPr>
          <w:p>
            <w:pPr>
              <w:keepNext/>
            </w:pPr>
            <w:r>
              <w:rPr>
                <w:b/>
                <w:sz w:val="18"/>
              </w:rPr>
              <w:t>Diperiksa oleh</w:t>
              <w:br/>
              <w:t>PT LAPI Ganesha Utama</w:t>
            </w:r>
          </w:p>
        </w:tc>
        <w:tc>
          <w:tcPr>
            <w:tcW w:type="dxa" w:w="3312"/>
            <w:shd w:val="clear" w:color="auto" w:fill="EFEFEC"/>
          </w:tcPr>
          <w:p>
            <w:pPr>
              <w:keepNext/>
            </w:pPr>
            <w:r>
              <w:rPr>
                <w:b/>
                <w:sz w:val="18"/>
              </w:rPr>
              <w:t>Mengetahui</w:t>
              <w:br/>
              <w:t>PT Pertamina Patra Niaga</w:t>
            </w:r>
          </w:p>
        </w:tc>
      </w:tr>
      <w:tr>
        <w:trPr>
          <w:cantSplit/>
        </w:trPr>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r>
    </w:tbl>
    <w:sectPr w:rsidR="00FC693F" w:rsidRPr="0006063C" w:rsidSect="00034616">
      <w:pgSz w:w="11906" w:h="16838"/>
      <w:pgMar w:top="1440" w:right="1296" w:bottom="1440"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jp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jpg"/><Relationship Id="rId126" Type="http://schemas.openxmlformats.org/officeDocument/2006/relationships/image" Target="media/image118.png"/><Relationship Id="rId127" Type="http://schemas.openxmlformats.org/officeDocument/2006/relationships/image" Target="media/image119.png"/><Relationship Id="rId128" Type="http://schemas.openxmlformats.org/officeDocument/2006/relationships/image" Target="media/image120.png"/><Relationship Id="rId129" Type="http://schemas.openxmlformats.org/officeDocument/2006/relationships/image" Target="media/image1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