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TECHNICAL CERTIFICATION DOCUMENT</w:t>
      </w:r>
    </w:p>
    <w:p>
      <w:pPr>
        <w:pStyle w:val="Title"/>
        <w:spacing w:after="80"/>
      </w:pPr>
      <w:r>
        <w:rPr>
          <w:b/>
          <w:color w:val="1A2B3D"/>
          <w:sz w:val="44"/>
        </w:rPr>
        <w:t>IECEx/ATEX Certification Document</w:t>
      </w:r>
    </w:p>
    <w:p>
      <w:pPr>
        <w:spacing w:after="200"/>
      </w:pPr>
      <w:r>
        <w:rPr>
          <w:b/>
          <w:color w:val="4A4A4A"/>
          <w:sz w:val="32"/>
        </w:rPr>
        <w:t>Gas Leak Detector (GLD) V2</w:t>
      </w:r>
    </w:p>
    <w:p>
      <w:pPr>
        <w:spacing w:after="160"/>
      </w:pPr>
      <w:r>
        <w:rPr>
          <w:b w:val="0"/>
          <w:i w:val="0"/>
          <w:sz w:val="21"/>
        </w:rPr>
        <w:t>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Sample Information.</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2880"/>
            <w:shd w:val="clear" w:color="auto" w:fill="EFEFEF"/>
          </w:tcPr>
          <w:p>
            <w:pPr>
              <w:spacing w:after="40"/>
            </w:pPr>
            <w:r>
              <w:rPr>
                <w:b/>
                <w:color w:val="4A4A4A"/>
                <w:sz w:val="19"/>
              </w:rPr>
              <w:t>Document title</w:t>
            </w:r>
          </w:p>
        </w:tc>
        <w:tc>
          <w:tcPr>
            <w:tcW w:type="dxa" w:w="6480"/>
          </w:tcPr>
          <w:p>
            <w:pPr>
              <w:spacing w:after="40"/>
            </w:pPr>
            <w:r>
              <w:rPr>
                <w:sz w:val="20"/>
              </w:rPr>
              <w:t>IECEx/ATEX Certification Document — Gas Leak Detector (GLD) V2</w:t>
            </w:r>
          </w:p>
        </w:tc>
      </w:tr>
      <w:tr>
        <w:tc>
          <w:tcPr>
            <w:tcW w:type="dxa" w:w="2880"/>
            <w:shd w:val="clear" w:color="auto" w:fill="EFEFEF"/>
          </w:tcPr>
          <w:p>
            <w:pPr>
              <w:spacing w:after="40"/>
            </w:pPr>
            <w:r>
              <w:rPr>
                <w:b/>
                <w:color w:val="4A4A4A"/>
                <w:sz w:val="19"/>
              </w:rPr>
              <w:t>Document no.</w:t>
            </w:r>
          </w:p>
        </w:tc>
        <w:tc>
          <w:tcPr>
            <w:tcW w:type="dxa" w:w="6480"/>
          </w:tcPr>
          <w:p>
            <w:pPr>
              <w:spacing w:after="40"/>
            </w:pPr>
            <w:r>
              <w:rPr>
                <w:sz w:val="20"/>
              </w:rPr>
              <w:t>GMI/GLD/IECEX-TDF/2026-001</w:t>
            </w:r>
          </w:p>
        </w:tc>
      </w:tr>
      <w:tr>
        <w:tc>
          <w:tcPr>
            <w:tcW w:type="dxa" w:w="2880"/>
            <w:shd w:val="clear" w:color="auto" w:fill="EFEFEF"/>
          </w:tcPr>
          <w:p>
            <w:pPr>
              <w:spacing w:after="40"/>
            </w:pPr>
            <w:r>
              <w:rPr>
                <w:b/>
                <w:color w:val="4A4A4A"/>
                <w:sz w:val="19"/>
              </w:rPr>
              <w:t>Revision</w:t>
            </w:r>
          </w:p>
        </w:tc>
        <w:tc>
          <w:tcPr>
            <w:tcW w:type="dxa" w:w="6480"/>
          </w:tcPr>
          <w:p>
            <w:pPr>
              <w:spacing w:after="40"/>
            </w:pPr>
            <w:r>
              <w:rPr>
                <w:sz w:val="20"/>
              </w:rPr>
              <w:t>1.9</w:t>
            </w:r>
          </w:p>
        </w:tc>
      </w:tr>
      <w:tr>
        <w:tc>
          <w:tcPr>
            <w:tcW w:type="dxa" w:w="2880"/>
            <w:shd w:val="clear" w:color="auto" w:fill="EFEFEF"/>
          </w:tcPr>
          <w:p>
            <w:pPr>
              <w:spacing w:after="40"/>
            </w:pPr>
            <w:r>
              <w:rPr>
                <w:b/>
                <w:color w:val="4A4A4A"/>
                <w:sz w:val="19"/>
              </w:rPr>
              <w:t>Date</w:t>
            </w:r>
          </w:p>
        </w:tc>
        <w:tc>
          <w:tcPr>
            <w:tcW w:type="dxa" w:w="6480"/>
          </w:tcPr>
          <w:p>
            <w:pPr>
              <w:spacing w:after="40"/>
            </w:pPr>
            <w:r>
              <w:rPr>
                <w:sz w:val="20"/>
              </w:rPr>
              <w:t>7 October 2026</w:t>
            </w:r>
          </w:p>
        </w:tc>
      </w:tr>
      <w:tr>
        <w:tc>
          <w:tcPr>
            <w:tcW w:type="dxa" w:w="2880"/>
            <w:shd w:val="clear" w:color="auto" w:fill="EFEFEF"/>
          </w:tcPr>
          <w:p>
            <w:pPr>
              <w:spacing w:after="40"/>
            </w:pPr>
            <w:r>
              <w:rPr>
                <w:b/>
                <w:color w:val="4A4A4A"/>
                <w:sz w:val="19"/>
              </w:rPr>
              <w:t>Status</w:t>
            </w:r>
          </w:p>
        </w:tc>
        <w:tc>
          <w:tcPr>
            <w:tcW w:type="dxa" w:w="6480"/>
          </w:tcPr>
          <w:p>
            <w:pPr>
              <w:spacing w:after="40"/>
            </w:pPr>
            <w:r>
              <w:rPr>
                <w:sz w:val="20"/>
              </w:rPr>
              <w:t>Working Document — Draft for Internal Review</w:t>
            </w:r>
          </w:p>
        </w:tc>
      </w:tr>
      <w:tr>
        <w:tc>
          <w:tcPr>
            <w:tcW w:type="dxa" w:w="2880"/>
            <w:shd w:val="clear" w:color="auto" w:fill="EFEFEF"/>
          </w:tcPr>
          <w:p>
            <w:pPr>
              <w:spacing w:after="40"/>
            </w:pPr>
            <w:r>
              <w:rPr>
                <w:b/>
                <w:color w:val="4A4A4A"/>
                <w:sz w:val="19"/>
              </w:rPr>
              <w:t>Classification</w:t>
            </w:r>
          </w:p>
        </w:tc>
        <w:tc>
          <w:tcPr>
            <w:tcW w:type="dxa" w:w="6480"/>
          </w:tcPr>
          <w:p>
            <w:pPr>
              <w:spacing w:after="40"/>
            </w:pPr>
            <w:r>
              <w:rPr>
                <w:sz w:val="20"/>
              </w:rPr>
              <w:t>Confidential — prepared for ATEX/IECEx certification body (ExCB) submission</w:t>
            </w:r>
          </w:p>
        </w:tc>
      </w:tr>
      <w:tr>
        <w:tc>
          <w:tcPr>
            <w:tcW w:type="dxa" w:w="2880"/>
            <w:shd w:val="clear" w:color="auto" w:fill="EFEFEF"/>
          </w:tcPr>
          <w:p>
            <w:pPr>
              <w:spacing w:after="40"/>
            </w:pPr>
            <w:r>
              <w:rPr>
                <w:b/>
                <w:color w:val="4A4A4A"/>
                <w:sz w:val="19"/>
              </w:rPr>
              <w:t>Certification subject</w:t>
            </w:r>
          </w:p>
        </w:tc>
        <w:tc>
          <w:tcPr>
            <w:tcW w:type="dxa" w:w="6480"/>
          </w:tcPr>
          <w:p>
            <w:pPr>
              <w:spacing w:after="40"/>
            </w:pPr>
            <w:r>
              <w:rPr>
                <w:sz w:val="20"/>
              </w:rPr>
              <w:t>Node Sensor (GLD) — V2</w:t>
            </w:r>
          </w:p>
        </w:tc>
      </w:tr>
      <w:tr>
        <w:tc>
          <w:tcPr>
            <w:tcW w:type="dxa" w:w="2880"/>
            <w:shd w:val="clear" w:color="auto" w:fill="EFEFEF"/>
          </w:tcPr>
          <w:p>
            <w:pPr>
              <w:spacing w:after="40"/>
            </w:pPr>
            <w:r>
              <w:rPr>
                <w:b/>
                <w:color w:val="4A4A4A"/>
                <w:sz w:val="19"/>
              </w:rPr>
              <w:t>Applicant / Manufacturer</w:t>
            </w:r>
          </w:p>
        </w:tc>
        <w:tc>
          <w:tcPr>
            <w:tcW w:type="dxa" w:w="6480"/>
          </w:tcPr>
          <w:p>
            <w:pPr>
              <w:spacing w:after="40"/>
            </w:pPr>
            <w:r>
              <w:rPr>
                <w:sz w:val="20"/>
              </w:rPr>
              <w:t>PT Galaksi Megatama Indonesia</w:t>
            </w:r>
          </w:p>
        </w:tc>
      </w:tr>
      <w:tr>
        <w:tc>
          <w:tcPr>
            <w:tcW w:type="dxa" w:w="2880"/>
            <w:shd w:val="clear" w:color="auto" w:fill="EFEFEF"/>
          </w:tcPr>
          <w:p>
            <w:pPr>
              <w:spacing w:after="40"/>
            </w:pPr>
            <w:r>
              <w:rPr>
                <w:b/>
                <w:color w:val="4A4A4A"/>
                <w:sz w:val="19"/>
              </w:rPr>
              <w:t>Reference checklist</w:t>
            </w:r>
          </w:p>
        </w:tc>
        <w:tc>
          <w:tcPr>
            <w:tcW w:type="dxa" w:w="6480"/>
          </w:tcPr>
          <w:p>
            <w:pPr>
              <w:spacing w:after="40"/>
            </w:pPr>
            <w:r>
              <w:rPr>
                <w:sz w:val="20"/>
              </w:rPr>
              <w:t>IECEx/ATEX Certification Information Requirements</w:t>
            </w:r>
          </w:p>
        </w:tc>
      </w:tr>
    </w:tbl>
    <w:p>
      <w:pPr>
        <w:spacing w:after="20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11 September 2026</w:t>
            </w:r>
          </w:p>
        </w:tc>
        <w:tc>
          <w:tcPr>
            <w:tcW w:type="dxa" w:w="6192"/>
          </w:tcPr>
          <w:p>
            <w:pPr>
              <w:spacing w:after="40"/>
            </w:pPr>
            <w:r>
              <w:rPr>
                <w:sz w:val="19"/>
              </w:rPr>
              <w:t>Initial issue — Section 2 (Items 1–6) and Section 3.</w:t>
            </w:r>
          </w:p>
        </w:tc>
      </w:tr>
      <w:tr>
        <w:tc>
          <w:tcPr>
            <w:tcW w:type="dxa" w:w="1296"/>
          </w:tcPr>
          <w:p>
            <w:pPr>
              <w:spacing w:after="40"/>
            </w:pPr>
            <w:r>
              <w:rPr>
                <w:sz w:val="19"/>
              </w:rPr>
              <w:t>0.2</w:t>
            </w:r>
          </w:p>
        </w:tc>
        <w:tc>
          <w:tcPr>
            <w:tcW w:type="dxa" w:w="1872"/>
          </w:tcPr>
          <w:p>
            <w:pPr>
              <w:spacing w:after="40"/>
            </w:pPr>
            <w:r>
              <w:rPr>
                <w:sz w:val="19"/>
              </w:rPr>
              <w:t>17 September 2026</w:t>
            </w:r>
          </w:p>
        </w:tc>
        <w:tc>
          <w:tcPr>
            <w:tcW w:type="dxa" w:w="6192"/>
          </w:tcPr>
          <w:p>
            <w:pPr>
              <w:spacing w:after="40"/>
            </w:pPr>
            <w:r>
              <w:rPr>
                <w:sz w:val="19"/>
              </w:rPr>
              <w:t>Section 1, Basic Information (Application and Organization), added — Items 1.1–1.5. Document now covers all three sections of the checklist.</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Manufacturer-of-record for Section 1 changed to PT Galaksi Megatama Indonesia (legal documents on file). Section 2.6.g draft content (safety warnings, installation procedures, operating modes, commissioning equipment) added.</w:t>
            </w:r>
          </w:p>
        </w:tc>
      </w:tr>
      <w:tr>
        <w:tc>
          <w:tcPr>
            <w:tcW w:type="dxa" w:w="1296"/>
          </w:tcPr>
          <w:p>
            <w:pPr>
              <w:spacing w:after="40"/>
            </w:pPr>
            <w:r>
              <w:rPr>
                <w:sz w:val="19"/>
              </w:rPr>
              <w:t>0.4</w:t>
            </w:r>
          </w:p>
        </w:tc>
        <w:tc>
          <w:tcPr>
            <w:tcW w:type="dxa" w:w="1872"/>
          </w:tcPr>
          <w:p>
            <w:pPr>
              <w:spacing w:after="40"/>
            </w:pPr>
            <w:r>
              <w:rPr>
                <w:sz w:val="19"/>
              </w:rPr>
              <w:t>22 September 2026</w:t>
            </w:r>
          </w:p>
        </w:tc>
        <w:tc>
          <w:tcPr>
            <w:tcW w:type="dxa" w:w="6192"/>
          </w:tcPr>
          <w:p>
            <w:pPr>
              <w:spacing w:after="40"/>
            </w:pPr>
            <w:r>
              <w:rPr>
                <w:sz w:val="19"/>
              </w:rPr>
              <w:t>Candidate enclosure component data (ADC12 die-cast alloy, M20×1.5 cable entry, electrostatic-safety parameters) added to Sections 2.3.c, 2.6.a, and 2.6.c, sourced from a supplier reference drawing in the casing partner's supply chain.</w:t>
            </w:r>
          </w:p>
        </w:tc>
      </w:tr>
      <w:tr>
        <w:tc>
          <w:tcPr>
            <w:tcW w:type="dxa" w:w="1296"/>
          </w:tcPr>
          <w:p>
            <w:pPr>
              <w:spacing w:after="40"/>
            </w:pPr>
            <w:r>
              <w:rPr>
                <w:sz w:val="19"/>
              </w:rPr>
              <w:t>0.5</w:t>
            </w:r>
          </w:p>
        </w:tc>
        <w:tc>
          <w:tcPr>
            <w:tcW w:type="dxa" w:w="1872"/>
          </w:tcPr>
          <w:p>
            <w:pPr>
              <w:spacing w:after="40"/>
            </w:pPr>
            <w:r>
              <w:rPr>
                <w:sz w:val="19"/>
              </w:rPr>
              <w:t>22 September 2026</w:t>
            </w:r>
          </w:p>
        </w:tc>
        <w:tc>
          <w:tcPr>
            <w:tcW w:type="dxa" w:w="6192"/>
          </w:tcPr>
          <w:p>
            <w:pPr>
              <w:spacing w:after="40"/>
            </w:pPr>
            <w:r>
              <w:rPr>
                <w:sz w:val="19"/>
              </w:rPr>
              <w:t>Enclosure material grade confirmed as ADC12 (Section 2.3.c, status raised to Final with an explicit caveat that this extrapolates from the casing manufacturer's sub-component drawing, not a direct callout on the main enclosure drawing). Cable entry (Section 2.3.c) confirmed as a 2-conductor cable labeled L+/L−, each conductor ≈0.75 mm diameter.</w:t>
            </w:r>
          </w:p>
        </w:tc>
      </w:tr>
      <w:tr>
        <w:tc>
          <w:tcPr>
            <w:tcW w:type="dxa" w:w="1296"/>
          </w:tcPr>
          <w:p>
            <w:pPr>
              <w:spacing w:after="40"/>
            </w:pPr>
            <w:r>
              <w:rPr>
                <w:sz w:val="19"/>
              </w:rPr>
              <w:t>0.6</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(standard industrial rating, matched to a comparable certified product); cable gland confirmed as M20×1.5 (IP66-rated) — all raised to Final (Section 2.3.c). Removed the ambiguous “no plastic or PVC” parenthetical from the product description (Section 2.1) and generalized “L-bracket” to “bracket” in that same narrative sentence (the dimensioned bracket/U-bolt specification in Section 2.3.c is unaffected). “GLD V2 (Version 2)” simplified to “GLD V2”.</w:t>
            </w:r>
          </w:p>
        </w:tc>
      </w:tr>
      <w:tr>
        <w:tc>
          <w:tcPr>
            <w:tcW w:type="dxa" w:w="1296"/>
          </w:tcPr>
          <w:p>
            <w:pPr>
              <w:spacing w:after="40"/>
            </w:pPr>
            <w:r>
              <w:rPr>
                <w:sz w:val="19"/>
              </w:rPr>
              <w:t>0.7</w:t>
            </w:r>
          </w:p>
        </w:tc>
        <w:tc>
          <w:tcPr>
            <w:tcW w:type="dxa" w:w="1872"/>
          </w:tcPr>
          <w:p>
            <w:pPr>
              <w:spacing w:after="40"/>
            </w:pPr>
            <w:r>
              <w:rPr>
                <w:sz w:val="19"/>
              </w:rPr>
              <w:t>22 September 2026</w:t>
            </w:r>
          </w:p>
        </w:tc>
        <w:tc>
          <w:tcPr>
            <w:tcW w:type="dxa" w:w="6192"/>
          </w:tcPr>
          <w:p>
            <w:pPr>
              <w:spacing w:after="40"/>
            </w:pPr>
            <w:r>
              <w:rPr>
                <w:sz w:val="19"/>
              </w:rPr>
              <w:t>“L-bracket” terminology corrected throughout to “U-bolt mounting plate” (Sections 2.1, 2.3.c, 2.6.g), matching the actual CAD drawing (a flat 250×250 mm plate secured by 2× U-bolts — not an angled/L-shaped bracket).</w:t>
            </w:r>
          </w:p>
        </w:tc>
      </w:tr>
      <w:tr>
        <w:tc>
          <w:tcPr>
            <w:tcW w:type="dxa" w:w="1296"/>
          </w:tcPr>
          <w:p>
            <w:pPr>
              <w:spacing w:after="40"/>
            </w:pPr>
            <w:r>
              <w:rPr>
                <w:sz w:val="19"/>
              </w:rPr>
              <w:t>0.8</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(Sections 2.3.c, 2.5) updated to 2.378 kg, −20°C to +60°C, and 5–95% RH respectively, per current project specification data.</w:t>
            </w:r>
          </w:p>
        </w:tc>
      </w:tr>
      <w:tr>
        <w:tc>
          <w:tcPr>
            <w:tcW w:type="dxa" w:w="1296"/>
          </w:tcPr>
          <w:p>
            <w:pPr>
              <w:spacing w:after="40"/>
            </w:pPr>
            <w:r>
              <w:rPr>
                <w:sz w:val="19"/>
              </w:rPr>
              <w:t>0.9</w:t>
            </w:r>
          </w:p>
        </w:tc>
        <w:tc>
          <w:tcPr>
            <w:tcW w:type="dxa" w:w="1872"/>
          </w:tcPr>
          <w:p>
            <w:pPr>
              <w:spacing w:after="40"/>
            </w:pPr>
            <w:r>
              <w:rPr>
                <w:sz w:val="19"/>
              </w:rPr>
              <w:t>25 September 2026</w:t>
            </w:r>
          </w:p>
        </w:tc>
        <w:tc>
          <w:tcPr>
            <w:tcW w:type="dxa" w:w="6192"/>
          </w:tcPr>
          <w:p>
            <w:pPr>
              <w:spacing w:after="40"/>
            </w:pPr>
            <w:r>
              <w:rPr>
                <w:sz w:val="19"/>
              </w:rPr>
              <w:t>Section 2.6.c (material specification sheets, non-metallic materials) expanded with the specific IEC 60079-0 requirements (CTI class, glow-wire/flame-retardancy, Tg vs. the confirmed operating range, UV/weathering resistance) and a list of the non-metallic components in GLD's own design that this item will need to cover (sensor mesh/flame-arrestor cover, cover-to-body sealing gasket, cable-gland seal, antenna feedthrough insulator); status remains Not yet available pending the casing partner's data.</w:t>
            </w:r>
          </w:p>
        </w:tc>
      </w:tr>
      <w:tr>
        <w:tc>
          <w:tcPr>
            <w:tcW w:type="dxa" w:w="1296"/>
          </w:tcPr>
          <w:p>
            <w:pPr>
              <w:spacing w:after="40"/>
            </w:pPr>
            <w:r>
              <w:rPr>
                <w:sz w:val="19"/>
              </w:rPr>
              <w:t>1.0</w:t>
            </w:r>
          </w:p>
        </w:tc>
        <w:tc>
          <w:tcPr>
            <w:tcW w:type="dxa" w:w="1872"/>
          </w:tcPr>
          <w:p>
            <w:pPr>
              <w:spacing w:after="40"/>
            </w:pPr>
            <w:r>
              <w:rPr>
                <w:sz w:val="19"/>
              </w:rPr>
              <w:t>25 September 2026</w:t>
            </w:r>
          </w:p>
        </w:tc>
        <w:tc>
          <w:tcPr>
            <w:tcW w:type="dxa" w:w="6192"/>
          </w:tcPr>
          <w:p>
            <w:pPr>
              <w:spacing w:after="40"/>
            </w:pPr>
            <w:r>
              <w:rPr>
                <w:sz w:val="19"/>
              </w:rPr>
              <w:t>Section 2.6.c updated with materials confirmed from a newer casing-partner assembly drawing: the protective mesh cover is stainless steel (metallic, outside the scope of this non-metallic-materials item) and the cover-to-body seal is a rubber gasket (compound/grade still not specified).</w:t>
            </w:r>
          </w:p>
        </w:tc>
      </w:tr>
      <w:tr>
        <w:tc>
          <w:tcPr>
            <w:tcW w:type="dxa" w:w="1296"/>
          </w:tcPr>
          <w:p>
            <w:pPr>
              <w:spacing w:after="40"/>
            </w:pPr>
            <w:r>
              <w:rPr>
                <w:sz w:val="19"/>
              </w:rPr>
              <w:t>1.1</w:t>
            </w:r>
          </w:p>
        </w:tc>
        <w:tc>
          <w:tcPr>
            <w:tcW w:type="dxa" w:w="1872"/>
          </w:tcPr>
          <w:p>
            <w:pPr>
              <w:spacing w:after="40"/>
            </w:pPr>
            <w:r>
              <w:rPr>
                <w:sz w:val="19"/>
              </w:rPr>
              <w:t>25 September 2026</w:t>
            </w:r>
          </w:p>
        </w:tc>
        <w:tc>
          <w:tcPr>
            <w:tcW w:type="dxa" w:w="6192"/>
          </w:tcPr>
          <w:p>
            <w:pPr>
              <w:spacing w:after="40"/>
            </w:pPr>
            <w:r>
              <w:rPr>
                <w:sz w:val="19"/>
              </w:rPr>
              <w:t>Added an explicit equipment-boundary statement to Section 2.3.a: the Node Sensor (GLD) receives only 24 VDC at its terminal and never carries 220 VAC internally; the AC/DC adapter is a separate, site-supplied device outside the certified unit's physical boundary. Section 2.6.c cable-gland seal remark clarified as specified together with the M20×1.5 gland itself from the BP18-1Z reference, per project direction, rather than as a separately sourced item.</w:t>
            </w:r>
          </w:p>
        </w:tc>
      </w:tr>
      <w:tr>
        <w:tc>
          <w:tcPr>
            <w:tcW w:type="dxa" w:w="1296"/>
          </w:tcPr>
          <w:p>
            <w:pPr>
              <w:spacing w:after="40"/>
            </w:pPr>
            <w:r>
              <w:rPr>
                <w:sz w:val="19"/>
              </w:rPr>
              <w:t>1.2</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Sections 1.1 and 2.5 — selected over Ex e and Ex i based on the existing ADC12 die-cast enclosure with a stainless-steel mesh flame path (matching the three certified reference products reviewed) and the MQ-sensor heaters' continuous, unregulated power draw being difficult to reconcile with intrinsically safe energy limits for Group IIC. Section 2.6.e updated accordingly. Still an internal recommendation, not an ExCB decision.</w:t>
            </w:r>
          </w:p>
        </w:tc>
      </w:tr>
      <w:tr>
        <w:tc>
          <w:tcPr>
            <w:tcW w:type="dxa" w:w="1296"/>
          </w:tcPr>
          <w:p>
            <w:pPr>
              <w:spacing w:after="40"/>
            </w:pPr>
            <w:r>
              <w:rPr>
                <w:sz w:val="19"/>
              </w:rPr>
              <w:t>1.3</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throughout the document (document number prefix changed to GMI/...). The separate “design and development authority” and “technical partner” entries were removed (Sections 1.1, 1.3, 2.2, letterhead, Document Control); narrative passages describing electronics design/engineering work were made generic rather than deleted, to avoid implying the Manufacturer performed work it did not.</w:t>
            </w:r>
          </w:p>
        </w:tc>
      </w:tr>
      <w:tr>
        <w:tc>
          <w:tcPr>
            <w:tcW w:type="dxa" w:w="1296"/>
          </w:tcPr>
          <w:p>
            <w:pPr>
              <w:spacing w:after="40"/>
            </w:pPr>
            <w:r>
              <w:rPr>
                <w:sz w:val="19"/>
              </w:rPr>
              <w:t>1.4</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(eight thermocouple channels; normal, maximum-load and fan-stalled conditions; 180 minutes each), including extrapolation to the +60°C maximum ambient: highest value ≈114°C (MQ sensor body, fan stalled) against an effective T4 limit of 130°C. Status raised from Not yet available to Partially available; open measurement items listed. Sections 1.1 and 2.5 temperature-class remarks updated accordingly.</w:t>
            </w:r>
          </w:p>
        </w:tc>
      </w:tr>
      <w:tr>
        <w:tc>
          <w:tcPr>
            <w:tcW w:type="dxa" w:w="1296"/>
          </w:tcPr>
          <w:p>
            <w:pPr>
              <w:spacing w:after="40"/>
            </w:pPr>
            <w:r>
              <w:rPr>
                <w:sz w:val="19"/>
              </w:rPr>
              <w:t>1.5</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 including the protection-device list, grounding description and open verification items. Schematic status raised to Available; PCB layout remains Partially available.</w:t>
            </w:r>
          </w:p>
        </w:tc>
      </w:tr>
      <w:tr>
        <w:tc>
          <w:tcPr>
            <w:tcW w:type="dxa" w:w="1296"/>
          </w:tcPr>
          <w:p>
            <w:pPr>
              <w:spacing w:after="40"/>
            </w:pPr>
            <w:r>
              <w:rPr>
                <w:sz w:val="19"/>
              </w:rPr>
              <w:t>1.6</w:t>
            </w:r>
          </w:p>
        </w:tc>
        <w:tc>
          <w:tcPr>
            <w:tcW w:type="dxa" w:w="1872"/>
          </w:tcPr>
          <w:p>
            <w:pPr>
              <w:spacing w:after="40"/>
            </w:pPr>
            <w:r>
              <w:rPr>
                <w:sz w:val="19"/>
              </w:rPr>
              <w:t>7 October 2026</w:t>
            </w:r>
          </w:p>
        </w:tc>
        <w:tc>
          <w:tcPr>
            <w:tcW w:type="dxa" w:w="6192"/>
          </w:tcPr>
          <w:p>
            <w:pPr>
              <w:spacing w:after="40"/>
            </w:pPr>
            <w:r>
              <w:rPr>
                <w:sz w:val="19"/>
              </w:rPr>
              <w:t>Section 2.6.a: the “GLD ATEX CASE v3” dimensioned enclosure drawing and the BP18-1Z supplier reference drawing are now reproduced as figures, and a new Section 2.6.a.1 adds the complete mechanical, enclosure and assembly drawing set (ATEX CASING v2 sheet and six CAD views, all seven GLD ATEX CASE v3 sheets, BP18-1Z, component/structure/terminal/grounding drawings, assembly sequence and MQ sensor dimension drawings) with a drawing register.</w:t>
            </w:r>
          </w:p>
        </w:tc>
      </w:tr>
      <w:tr>
        <w:tc>
          <w:tcPr>
            <w:tcW w:type="dxa" w:w="1296"/>
          </w:tcPr>
          <w:p>
            <w:pPr>
              <w:spacing w:after="40"/>
            </w:pPr>
            <w:r>
              <w:rPr>
                <w:sz w:val="19"/>
              </w:rPr>
              <w:t>1.7</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3.1/3.3–3.4 sample register (GLD2-0x1001) and fixtures; Annex compliance matrix.</w:t>
            </w:r>
          </w:p>
        </w:tc>
      </w:tr>
      <w:tr>
        <w:tc>
          <w:tcPr>
            <w:tcW w:type="dxa" w:w="1296"/>
          </w:tcPr>
          <w:p>
            <w:pPr>
              <w:spacing w:after="40"/>
            </w:pPr>
            <w:r>
              <w:rPr>
                <w:sz w:val="19"/>
              </w:rPr>
              <w:t>1.8</w:t>
            </w:r>
          </w:p>
        </w:tc>
        <w:tc>
          <w:tcPr>
            <w:tcW w:type="dxa" w:w="1872"/>
          </w:tcPr>
          <w:p>
            <w:pPr>
              <w:spacing w:after="40"/>
            </w:pPr>
            <w:r>
              <w:rPr>
                <w:sz w:val="19"/>
              </w:rPr>
              <w:t>7 October 2026</w:t>
            </w:r>
          </w:p>
        </w:tc>
        <w:tc>
          <w:tcPr>
            <w:tcW w:type="dxa" w:w="6192"/>
          </w:tcPr>
          <w:p>
            <w:pPr>
              <w:spacing w:after="40"/>
            </w:pPr>
            <w:r>
              <w:rPr>
                <w:sz w:val="19"/>
              </w:rPr>
              <w:t>Section 2.4.2 added: photo set of the current production configuration (23 photographs, complete assembly sequence, Figures 4-101–4-123). Audit tables updated from the photographs: DC fan identified as CIXIKEJI CX5010B5H, 5 V 0.23 A (EX-05); prototype cable gland is a general-purpose polymer type to be replaced by a certified Ex d gland (EX-07, MAT-02, IS-13); blanking plug, grounding screw and BAT terminal located (EX-08, EX-12, EX-17); photo-coverage table 2.4.1 updated.</w:t>
            </w:r>
          </w:p>
        </w:tc>
      </w:tr>
      <w:tr>
        <w:tc>
          <w:tcPr>
            <w:tcW w:type="dxa" w:w="1296"/>
          </w:tcPr>
          <w:p>
            <w:pPr>
              <w:spacing w:after="40"/>
            </w:pPr>
            <w:r>
              <w:rPr>
                <w:sz w:val="19"/>
              </w:rPr>
              <w:t>1.9</w:t>
            </w:r>
          </w:p>
        </w:tc>
        <w:tc>
          <w:tcPr>
            <w:tcW w:type="dxa" w:w="1872"/>
          </w:tcPr>
          <w:p>
            <w:pPr>
              <w:spacing w:after="40"/>
            </w:pPr>
            <w:r>
              <w:rPr>
                <w:sz w:val="19"/>
              </w:rPr>
              <w:t>7 October 2026</w:t>
            </w:r>
          </w:p>
        </w:tc>
        <w:tc>
          <w:tcPr>
            <w:tcW w:type="dxa" w:w="6192"/>
          </w:tcPr>
          <w:p>
            <w:pPr>
              <w:spacing w:after="40"/>
            </w:pPr>
            <w:r>
              <w:rPr>
                <w:sz w:val="19"/>
              </w:rPr>
              <w:t>Section 2.6.a.8: top/bottom renders of the GLD V4 main board and of the separate PCB cover (terminal board) added (Figure 8-11), with terminal designations and the changes from V3 (motherboard mounting holes to the PCB cover; separate PCB cover terminating the field connections).</w:t>
            </w:r>
          </w:p>
        </w:tc>
      </w:tr>
    </w:tbl>
    <w:p>
      <w:r>
        <w:br w:type="page"/>
      </w:r>
    </w:p>
    <w:p>
      <w:pPr>
        <w:spacing w:after="80"/>
      </w:pPr>
      <w:r>
        <w:rPr>
          <w:b/>
          <w:i w:val="0"/>
          <w:color w:val="1A2B3D"/>
          <w:sz w:val="24"/>
        </w:rPr>
        <w:t>Table of Contents</w:t>
      </w:r>
    </w:p>
    <w:p>
      <w:r>
        <w:fldChar w:fldCharType="begin"/>
        <w:instrText xml:space="preserve">TOC \o "1-3" \h \z \u</w:instrText>
      </w:r>
      <w:r>
        <w:fldChar w:fldCharType="separate"/>
      </w:r>
      <w:r>
        <w:t>Right-click and choose Update Field to generate the table of contents.</w:t>
      </w:r>
      <w:r>
        <w:fldChar w:fldCharType="end"/>
      </w:r>
    </w:p>
    <w:p>
      <w:r>
        <w:br w:type="page"/>
      </w:r>
    </w:p>
    <w:p>
      <w:pPr>
        <w:pStyle w:val="Heading1"/>
      </w:pPr>
      <w:r>
        <w:t>About This Document</w:t>
      </w:r>
    </w:p>
    <w:p>
      <w:pPr>
        <w:spacing w:after="160"/>
      </w:pPr>
      <w:r>
        <w:rPr>
          <w:b w:val="0"/>
          <w:i w:val="0"/>
          <w:sz w:val="21"/>
        </w:rPr>
        <w:t>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entering assumed values.</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(PT Galaksi Megatama Indonesia — legal identity confirmed, Section 1.4) and is not yet in the authors' possession; items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pPr>
        <w:spacing w:after="80"/>
      </w:pPr>
    </w:p>
    <w:p>
      <w:pPr>
        <w:spacing w:after="200"/>
      </w:pPr>
      <w:r>
        <w:rPr>
          <w:b w:val="0"/>
          <w:i/>
          <w:sz w:val="19"/>
        </w:rPr>
        <w:t>Original excerpt, Section 2 &amp; 3 — source: IECEx ATEX Certification Information Requirements (ExCB):</w:t>
        <w:br/>
      </w:r>
      <w:r>
        <w:rPr>
          <w:b w:val="0"/>
          <w:i/>
          <w:sz w:val="19"/>
        </w:rPr>
        <w:t>“1)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pPr>
        <w:pStyle w:val="Heading1"/>
      </w:pPr>
      <w:r>
        <w:t>1. Basic Information (Application and Organization)</w:t>
      </w:r>
    </w:p>
    <w:p>
      <w:pPr>
        <w:spacing w:after="160"/>
      </w:pPr>
      <w:r>
        <w:rPr>
          <w:b w:val="0"/>
          <w:i w:val="0"/>
          <w:sz w:val="21"/>
        </w:rP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Applicant and Manufacturer of record for this document: PT Galaksi Megatama Indonesia. This section reports the legal/corporate particulars of PT Galaksi Megatama Indonesia, since it holds the Indonesian industrial manufacturing business license (NIB) relevant to fabricating the equipment (KBLI 25119/25120/28221/25920 — metal products, pressurized-vessel-class containers, metalworking machinery, and special metal-treatment services). PT Galaksi Megatama Indonesia is recorded as the sole applicant and manufacturer throughout this document. This attribution reflects a working decision recorded 28 September 2026 based on PT Galaksi's legal documents (deed of establishment, NIB, NPWP, MOLHR ratification decree, tax registration certificate) supplied to the authors — it has not yet been confirmed directly with the company's officers as the final arrangement for the ExCB submission and should be verified before formal filing.</w:t>
            </w:r>
          </w:p>
        </w:tc>
      </w:tr>
    </w:tbl>
    <w:p>
      <w:pPr>
        <w:spacing w:after="80"/>
      </w:pPr>
    </w:p>
    <w:p>
      <w:pPr>
        <w:spacing w:after="40"/>
      </w:pPr>
      <w:r>
        <w:rPr>
          <w:b/>
          <w:i w:val="0"/>
          <w:color w:val="1A2B3D"/>
          <w:sz w:val="19"/>
        </w:rPr>
        <w:t>Original excerpt, Section 1 — source: IECEx ATEX Certification Information Requirements (ExCB):</w:t>
      </w:r>
    </w:p>
    <w:p>
      <w:pPr>
        <w:spacing w:after="160"/>
      </w:pPr>
      <w:r>
        <w:rPr>
          <w:b w:val="0"/>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pPr>
        <w:pStyle w:val="Heading2"/>
      </w:pPr>
      <w:r>
        <w:t>1.0 · Status Summary — Section 1</w:t>
      </w:r>
    </w:p>
    <w:tbl>
      <w:tblPr>
        <w:tblStyle w:val="TableGrid"/>
        <w:tblW w:type="auto" w:w="0"/>
        <w:jc w:val="center"/>
        <w:tblLayout w:type="fixed"/>
        <w:tblLook w:firstColumn="1" w:firstRow="1" w:lastColumn="0" w:lastRow="0" w:noHBand="0" w:noVBand="1" w:val="04A0"/>
        <w:tblLayout w:type="fixed"/>
      </w:tblPr>
      <w:tblGrid>
        <w:gridCol w:w="4176"/>
        <w:gridCol w:w="2304"/>
        <w:gridCol w:w="2880"/>
      </w:tblGrid>
      <w:tr>
        <w:trPr>
          <w:tblHeader w:val="true"/>
        </w:trPr>
        <w:tc>
          <w:tcPr>
            <w:tcW w:type="dxa" w:w="4176"/>
            <w:shd w:val="clear" w:color="auto" w:fill="EFEFEF"/>
          </w:tcPr>
          <w:p>
            <w:pPr>
              <w:spacing w:after="40"/>
            </w:pPr>
            <w:r>
              <w:rPr>
                <w:b/>
                <w:color w:val="4A4A4A"/>
                <w:sz w:val="18"/>
              </w:rPr>
              <w:t>ITEM</w:t>
            </w:r>
          </w:p>
        </w:tc>
        <w:tc>
          <w:tcPr>
            <w:tcW w:type="dxa" w:w="230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HELD BY</w:t>
            </w:r>
          </w:p>
        </w:tc>
      </w:tr>
      <w:tr>
        <w:trPr>
          <w:cantSplit/>
        </w:trPr>
        <w:tc>
          <w:tcPr>
            <w:tcW w:type="dxa" w:w="4176"/>
          </w:tcPr>
          <w:p>
            <w:pPr>
              <w:spacing w:after="40"/>
            </w:pPr>
            <w:r>
              <w:rPr>
                <w:b/>
                <w:sz w:val="19"/>
              </w:rPr>
              <w:t>1.1 Application form (ExCB template)</w:t>
            </w:r>
          </w:p>
        </w:tc>
        <w:tc>
          <w:tcPr>
            <w:tcW w:type="dxa" w:w="2304"/>
          </w:tcPr>
          <w:p>
            <w:pPr>
              <w:spacing w:after="40"/>
            </w:pPr>
            <w:r>
              <w:rPr>
                <w:b/>
                <w:color w:val="B02A37"/>
                <w:sz w:val="19"/>
              </w:rPr>
              <w:t>Template not yet received</w:t>
            </w:r>
          </w:p>
        </w:tc>
        <w:tc>
          <w:tcPr>
            <w:tcW w:type="dxa" w:w="2880"/>
          </w:tcPr>
          <w:p>
            <w:pPr>
              <w:spacing w:after="40"/>
            </w:pPr>
            <w:r>
              <w:rPr>
                <w:sz w:val="19"/>
              </w:rPr>
              <w:t>Issued by the ExCB</w:t>
            </w:r>
          </w:p>
        </w:tc>
      </w:tr>
      <w:tr>
        <w:trPr>
          <w:cantSplit/>
        </w:trPr>
        <w:tc>
          <w:tcPr>
            <w:tcW w:type="dxa" w:w="4176"/>
          </w:tcPr>
          <w:p>
            <w:pPr>
              <w:spacing w:after="40"/>
            </w:pPr>
            <w:r>
              <w:rPr>
                <w:b/>
                <w:sz w:val="19"/>
              </w:rPr>
              <w:t>1.2 Business license / company registration</w:t>
            </w:r>
          </w:p>
        </w:tc>
        <w:tc>
          <w:tcPr>
            <w:tcW w:type="dxa" w:w="2304"/>
          </w:tcPr>
          <w:p>
            <w:pPr>
              <w:spacing w:after="40"/>
            </w:pPr>
            <w:r>
              <w:rPr>
                <w:b/>
                <w:color w:val="B56A1E"/>
                <w:sz w:val="19"/>
              </w:rPr>
              <w:t>Partially available</w:t>
            </w:r>
          </w:p>
        </w:tc>
        <w:tc>
          <w:tcPr>
            <w:tcW w:type="dxa" w:w="2880"/>
          </w:tcPr>
          <w:p>
            <w:pPr>
              <w:spacing w:after="40"/>
            </w:pPr>
            <w:r>
              <w:rPr>
                <w:sz w:val="19"/>
              </w:rPr>
              <w:t>Manufacturer (PT Galaksi Megatama Indonesia) — legal documents now on file; a few particulars still open</w:t>
            </w:r>
          </w:p>
        </w:tc>
      </w:tr>
      <w:tr>
        <w:trPr>
          <w:cantSplit/>
        </w:trPr>
        <w:tc>
          <w:tcPr>
            <w:tcW w:type="dxa" w:w="4176"/>
          </w:tcPr>
          <w:p>
            <w:pPr>
              <w:spacing w:after="40"/>
            </w:pPr>
            <w:r>
              <w:rPr>
                <w:b/>
                <w:sz w:val="19"/>
              </w:rPr>
              <w:t>1.3 Organizational chart and contact information</w:t>
            </w:r>
          </w:p>
        </w:tc>
        <w:tc>
          <w:tcPr>
            <w:tcW w:type="dxa" w:w="2304"/>
          </w:tcPr>
          <w:p>
            <w:pPr>
              <w:spacing w:after="40"/>
            </w:pPr>
            <w:r>
              <w:rPr>
                <w:b/>
                <w:color w:val="B56A1E"/>
                <w:sz w:val="19"/>
              </w:rPr>
              <w:t>Partially available</w:t>
            </w:r>
          </w:p>
        </w:tc>
        <w:tc>
          <w:tcPr>
            <w:tcW w:type="dxa" w:w="2880"/>
          </w:tcPr>
          <w:p>
            <w:pPr>
              <w:spacing w:after="40"/>
            </w:pPr>
            <w:r>
              <w:rPr>
                <w:sz w:val="19"/>
              </w:rPr>
              <w:t>Manufacturer — Board of Directors/Commissioners names known from the deed; a full org chart and named ExCB contacts remain to be provided</w:t>
            </w:r>
          </w:p>
        </w:tc>
      </w:tr>
      <w:tr>
        <w:trPr>
          <w:cantSplit/>
        </w:trPr>
        <w:tc>
          <w:tcPr>
            <w:tcW w:type="dxa" w:w="4176"/>
          </w:tcPr>
          <w:p>
            <w:pPr>
              <w:spacing w:after="40"/>
            </w:pPr>
            <w:r>
              <w:rPr>
                <w:b/>
                <w:sz w:val="19"/>
              </w:rPr>
              <w:t>1.4 Manufacturing plant address and facility profile</w:t>
            </w:r>
          </w:p>
        </w:tc>
        <w:tc>
          <w:tcPr>
            <w:tcW w:type="dxa" w:w="2304"/>
          </w:tcPr>
          <w:p>
            <w:pPr>
              <w:spacing w:after="40"/>
            </w:pPr>
            <w:r>
              <w:rPr>
                <w:b/>
                <w:color w:val="B56A1E"/>
                <w:sz w:val="19"/>
              </w:rPr>
              <w:t>Partially available</w:t>
            </w:r>
          </w:p>
        </w:tc>
        <w:tc>
          <w:tcPr>
            <w:tcW w:type="dxa" w:w="2880"/>
          </w:tcPr>
          <w:p>
            <w:pPr>
              <w:spacing w:after="40"/>
            </w:pPr>
            <w:r>
              <w:rPr>
                <w:sz w:val="19"/>
              </w:rPr>
              <w:t>Manufacturer's registered office and production-site addresses now on file; floor profile, process capability, and quality system still pending</w:t>
            </w:r>
          </w:p>
        </w:tc>
      </w:tr>
      <w:tr>
        <w:trPr>
          <w:cantSplit/>
        </w:trPr>
        <w:tc>
          <w:tcPr>
            <w:tcW w:type="dxa" w:w="4176"/>
          </w:tcPr>
          <w:p>
            <w:pPr>
              <w:spacing w:after="40"/>
            </w:pPr>
            <w:r>
              <w:rPr>
                <w:b/>
                <w:sz w:val="19"/>
              </w:rPr>
              <w:t>1.5 ISO 9001 certificate, quality manual, procedure index</w:t>
            </w:r>
          </w:p>
        </w:tc>
        <w:tc>
          <w:tcPr>
            <w:tcW w:type="dxa" w:w="2304"/>
          </w:tcPr>
          <w:p>
            <w:pPr>
              <w:spacing w:after="40"/>
            </w:pPr>
            <w:r>
              <w:rPr>
                <w:b/>
                <w:color w:val="B02A37"/>
                <w:sz w:val="19"/>
              </w:rPr>
              <w:t>To be confirmed</w:t>
            </w:r>
          </w:p>
        </w:tc>
        <w:tc>
          <w:tcPr>
            <w:tcW w:type="dxa" w:w="2880"/>
          </w:tcPr>
          <w:p>
            <w:pPr>
              <w:spacing w:after="40"/>
            </w:pPr>
            <w:r>
              <w:rPr>
                <w:sz w:val="19"/>
              </w:rPr>
              <w:t>Manufacturer — quality function</w:t>
            </w:r>
          </w:p>
        </w:tc>
      </w:tr>
    </w:tbl>
    <w:p>
      <w:pPr>
        <w:spacing w:after="40"/>
      </w:pPr>
    </w:p>
    <w:p>
      <w:pPr>
        <w:pStyle w:val="Heading2"/>
      </w:pPr>
      <w:r>
        <w:t>1.1 · Application Form</w:t>
      </w:r>
    </w:p>
    <w:p>
      <w:pPr>
        <w:spacing w:after="160"/>
      </w:pPr>
      <w:r>
        <w:rPr>
          <w:b w:val="0"/>
          <w:i w:val="0"/>
          <w:sz w:val="21"/>
        </w:rP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type="auto" w:w="0"/>
        <w:jc w:val="center"/>
        <w:tblLayout w:type="fixed"/>
        <w:tblLook w:firstColumn="1" w:firstRow="1" w:lastColumn="0" w:lastRow="0" w:noHBand="0" w:noVBand="1" w:val="04A0"/>
        <w:tblLayout w:type="fixed"/>
      </w:tblPr>
      <w:tblGrid>
        <w:gridCol w:w="2160"/>
        <w:gridCol w:w="2736"/>
        <w:gridCol w:w="2160"/>
        <w:gridCol w:w="2304"/>
      </w:tblGrid>
      <w:tr>
        <w:trPr>
          <w:tblHeader w:val="true"/>
        </w:trPr>
        <w:tc>
          <w:tcPr>
            <w:tcW w:type="dxa" w:w="2160"/>
            <w:shd w:val="clear" w:color="auto" w:fill="EFEFEF"/>
          </w:tcPr>
          <w:p>
            <w:pPr>
              <w:spacing w:after="40"/>
            </w:pPr>
            <w:r>
              <w:rPr>
                <w:b/>
                <w:color w:val="4A4A4A"/>
                <w:sz w:val="18"/>
              </w:rPr>
              <w:t>APPLICATION FIELD</w:t>
            </w:r>
          </w:p>
        </w:tc>
        <w:tc>
          <w:tcPr>
            <w:tcW w:type="dxa" w:w="2736"/>
            <w:shd w:val="clear" w:color="auto" w:fill="EFEFEF"/>
          </w:tcPr>
          <w:p>
            <w:pPr>
              <w:spacing w:after="40"/>
            </w:pPr>
            <w:r>
              <w:rPr>
                <w:b/>
                <w:color w:val="4A4A4A"/>
                <w:sz w:val="18"/>
              </w:rPr>
              <w:t>VALUE</w:t>
            </w:r>
          </w:p>
        </w:tc>
        <w:tc>
          <w:tcPr>
            <w:tcW w:type="dxa" w:w="2160"/>
            <w:shd w:val="clear" w:color="auto" w:fill="EFEFEF"/>
          </w:tcPr>
          <w:p>
            <w:pPr>
              <w:spacing w:after="40"/>
            </w:pPr>
            <w:r>
              <w:rPr>
                <w:b/>
                <w:color w:val="4A4A4A"/>
                <w:sz w:val="18"/>
              </w:rPr>
              <w:t>STATUS</w:t>
            </w:r>
          </w:p>
        </w:tc>
        <w:tc>
          <w:tcPr>
            <w:tcW w:type="dxa" w:w="2304"/>
            <w:shd w:val="clear" w:color="auto" w:fill="EFEFEF"/>
          </w:tcPr>
          <w:p>
            <w:pPr>
              <w:spacing w:after="40"/>
            </w:pPr>
            <w:r>
              <w:rPr>
                <w:b/>
                <w:color w:val="4A4A4A"/>
                <w:sz w:val="18"/>
              </w:rPr>
              <w:t>REFERENCE</w:t>
            </w:r>
          </w:p>
        </w:tc>
      </w:tr>
      <w:tr>
        <w:trPr>
          <w:cantSplit/>
        </w:trPr>
        <w:tc>
          <w:tcPr>
            <w:tcW w:type="dxa" w:w="2160"/>
          </w:tcPr>
          <w:p>
            <w:pPr>
              <w:spacing w:after="40"/>
            </w:pPr>
            <w:r>
              <w:rPr>
                <w:b/>
                <w:sz w:val="19"/>
              </w:rPr>
              <w:t>Applicant / manufacturer</w:t>
            </w:r>
          </w:p>
        </w:tc>
        <w:tc>
          <w:tcPr>
            <w:tcW w:type="dxa" w:w="2736"/>
          </w:tcPr>
          <w:p>
            <w:pPr>
              <w:spacing w:after="40"/>
            </w:pPr>
            <w:r>
              <w:rPr>
                <w:sz w:val="19"/>
              </w:rPr>
              <w:t>PT Galaksi Megatama Indonesia</w:t>
            </w:r>
          </w:p>
        </w:tc>
        <w:tc>
          <w:tcPr>
            <w:tcW w:type="dxa" w:w="2160"/>
          </w:tcPr>
          <w:p>
            <w:pPr>
              <w:spacing w:after="40"/>
            </w:pPr>
            <w:r>
              <w:rPr>
                <w:b/>
                <w:color w:val="149174"/>
                <w:sz w:val="19"/>
              </w:rPr>
              <w:t>Confirmed</w:t>
            </w:r>
          </w:p>
        </w:tc>
        <w:tc>
          <w:tcPr>
            <w:tcW w:type="dxa" w:w="2304"/>
          </w:tcPr>
          <w:p>
            <w:pPr>
              <w:spacing w:after="40"/>
            </w:pPr>
            <w:r>
              <w:rPr>
                <w:sz w:val="19"/>
              </w:rPr>
              <w:t>Section 1.2</w:t>
            </w:r>
          </w:p>
        </w:tc>
      </w:tr>
      <w:tr>
        <w:trPr>
          <w:cantSplit/>
        </w:trPr>
        <w:tc>
          <w:tcPr>
            <w:tcW w:type="dxa" w:w="2160"/>
          </w:tcPr>
          <w:p>
            <w:pPr>
              <w:spacing w:after="40"/>
            </w:pPr>
            <w:r>
              <w:rPr>
                <w:b/>
                <w:sz w:val="19"/>
              </w:rPr>
              <w:t>Product name</w:t>
            </w:r>
          </w:p>
        </w:tc>
        <w:tc>
          <w:tcPr>
            <w:tcW w:type="dxa" w:w="2736"/>
          </w:tcPr>
          <w:p>
            <w:pPr>
              <w:spacing w:after="40"/>
            </w:pPr>
            <w:r>
              <w:rPr>
                <w:sz w:val="19"/>
              </w:rPr>
              <w:t>Gas Leak Detector (GLD) — Node Sensor</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Model / version</w:t>
            </w:r>
          </w:p>
        </w:tc>
        <w:tc>
          <w:tcPr>
            <w:tcW w:type="dxa" w:w="2736"/>
          </w:tcPr>
          <w:p>
            <w:pPr>
              <w:spacing w:after="40"/>
            </w:pPr>
            <w:r>
              <w:rPr>
                <w:sz w:val="19"/>
              </w:rPr>
              <w:t>GLD V2</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Scope of certification</w:t>
            </w:r>
          </w:p>
        </w:tc>
        <w:tc>
          <w:tcPr>
            <w:tcW w:type="dxa" w:w="2736"/>
          </w:tcPr>
          <w:p>
            <w:pPr>
              <w:spacing w:after="40"/>
            </w:pPr>
            <w:r>
              <w:rPr>
                <w:sz w:val="19"/>
              </w:rPr>
              <w:t>Node Sensor (GLD) only</w:t>
            </w:r>
          </w:p>
        </w:tc>
        <w:tc>
          <w:tcPr>
            <w:tcW w:type="dxa" w:w="2160"/>
          </w:tcPr>
          <w:p>
            <w:pPr>
              <w:spacing w:after="40"/>
            </w:pPr>
            <w:r>
              <w:rPr>
                <w:b/>
                <w:color w:val="149174"/>
                <w:sz w:val="19"/>
              </w:rPr>
              <w:t>Confirmed</w:t>
            </w:r>
          </w:p>
        </w:tc>
        <w:tc>
          <w:tcPr>
            <w:tcW w:type="dxa" w:w="2304"/>
          </w:tcPr>
          <w:p>
            <w:pPr>
              <w:spacing w:after="40"/>
            </w:pPr>
            <w:r>
              <w:rPr>
                <w:sz w:val="19"/>
              </w:rPr>
              <w:t>Section 2.1</w:t>
            </w:r>
          </w:p>
        </w:tc>
      </w:tr>
      <w:tr>
        <w:trPr>
          <w:cantSplit/>
        </w:trPr>
        <w:tc>
          <w:tcPr>
            <w:tcW w:type="dxa" w:w="2160"/>
          </w:tcPr>
          <w:p>
            <w:pPr>
              <w:spacing w:after="40"/>
            </w:pPr>
            <w:r>
              <w:rPr>
                <w:b/>
                <w:sz w:val="19"/>
              </w:rPr>
              <w:t>Requested area classification</w:t>
            </w:r>
          </w:p>
        </w:tc>
        <w:tc>
          <w:tcPr>
            <w:tcW w:type="dxa" w:w="2736"/>
          </w:tcPr>
          <w:p>
            <w:pPr>
              <w:spacing w:after="40"/>
            </w:pPr>
            <w:r>
              <w:rPr>
                <w:sz w:val="19"/>
              </w:rPr>
              <w:t>Zone 1, Equipment Category 2G, Group II</w:t>
            </w:r>
          </w:p>
        </w:tc>
        <w:tc>
          <w:tcPr>
            <w:tcW w:type="dxa" w:w="2160"/>
          </w:tcPr>
          <w:p>
            <w:pPr>
              <w:spacing w:after="40"/>
            </w:pPr>
            <w:r>
              <w:rPr>
                <w:b/>
                <w:color w:val="B56A1E"/>
                <w:sz w:val="19"/>
              </w:rPr>
              <w:t>Requested — subject to ExCB assessment</w:t>
            </w:r>
          </w:p>
        </w:tc>
        <w:tc>
          <w:tcPr>
            <w:tcW w:type="dxa" w:w="2304"/>
          </w:tcPr>
          <w:p>
            <w:pPr>
              <w:spacing w:after="40"/>
            </w:pPr>
            <w:r>
              <w:rPr>
                <w:sz w:val="19"/>
              </w:rPr>
              <w:t>Section 2.5</w:t>
            </w:r>
          </w:p>
        </w:tc>
      </w:tr>
      <w:tr>
        <w:trPr>
          <w:cantSplit/>
        </w:trPr>
        <w:tc>
          <w:tcPr>
            <w:tcW w:type="dxa" w:w="2160"/>
          </w:tcPr>
          <w:p>
            <w:pPr>
              <w:spacing w:after="40"/>
            </w:pPr>
            <w:r>
              <w:rPr>
                <w:b/>
                <w:sz w:val="19"/>
              </w:rPr>
              <w:t>Requested temperature class</w:t>
            </w:r>
          </w:p>
        </w:tc>
        <w:tc>
          <w:tcPr>
            <w:tcW w:type="dxa" w:w="2736"/>
          </w:tcPr>
          <w:p>
            <w:pPr>
              <w:spacing w:after="40"/>
            </w:pPr>
            <w:r>
              <w:rPr>
                <w:sz w:val="19"/>
              </w:rPr>
              <w:t>T4 (≤135 °C)</w:t>
            </w:r>
          </w:p>
        </w:tc>
        <w:tc>
          <w:tcPr>
            <w:tcW w:type="dxa" w:w="2160"/>
          </w:tcPr>
          <w:p>
            <w:pPr>
              <w:spacing w:after="40"/>
            </w:pPr>
            <w:r>
              <w:rPr>
                <w:b/>
                <w:color w:val="B56A1E"/>
                <w:sz w:val="19"/>
              </w:rPr>
              <w:t>Target — preliminary internal measurement supports it; formal verification outstanding</w:t>
            </w:r>
          </w:p>
        </w:tc>
        <w:tc>
          <w:tcPr>
            <w:tcW w:type="dxa" w:w="2304"/>
          </w:tcPr>
          <w:p>
            <w:pPr>
              <w:spacing w:after="40"/>
            </w:pPr>
            <w:r>
              <w:rPr>
                <w:sz w:val="19"/>
              </w:rPr>
              <w:t>Sections 2.5, 2.6.f</w:t>
            </w:r>
          </w:p>
        </w:tc>
      </w:tr>
      <w:tr>
        <w:trPr>
          <w:cantSplit/>
        </w:trPr>
        <w:tc>
          <w:tcPr>
            <w:tcW w:type="dxa" w:w="2160"/>
          </w:tcPr>
          <w:p>
            <w:pPr>
              <w:spacing w:after="40"/>
            </w:pPr>
            <w:r>
              <w:rPr>
                <w:b/>
                <w:sz w:val="19"/>
              </w:rPr>
              <w:t>Requested gas group</w:t>
            </w:r>
          </w:p>
        </w:tc>
        <w:tc>
          <w:tcPr>
            <w:tcW w:type="dxa" w:w="2736"/>
          </w:tcPr>
          <w:p>
            <w:pPr>
              <w:spacing w:after="40"/>
            </w:pPr>
            <w:r>
              <w:rPr>
                <w:sz w:val="19"/>
              </w:rPr>
              <w:t>IIC</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Type of protection</w:t>
            </w:r>
          </w:p>
        </w:tc>
        <w:tc>
          <w:tcPr>
            <w:tcW w:type="dxa" w:w="2736"/>
          </w:tcPr>
          <w:p>
            <w:pPr>
              <w:spacing w:after="40"/>
            </w:pPr>
            <w:r>
              <w:rPr>
                <w:sz w:val="19"/>
              </w:rPr>
              <w:t>Ex d — flameproof enclosure</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Standards to be applied</w:t>
            </w:r>
          </w:p>
        </w:tc>
        <w:tc>
          <w:tcPr>
            <w:tcW w:type="dxa" w:w="2736"/>
          </w:tcPr>
          <w:p>
            <w:pPr>
              <w:spacing w:after="40"/>
            </w:pPr>
            <w:r>
              <w:rPr>
                <w:sz w:val="19"/>
              </w:rPr>
              <w:t>IEC 60079-0, together with IEC 60079-1 (flameproof enclosures “d”)</w:t>
            </w:r>
          </w:p>
        </w:tc>
        <w:tc>
          <w:tcPr>
            <w:tcW w:type="dxa" w:w="2160"/>
          </w:tcPr>
          <w:p>
            <w:pPr>
              <w:spacing w:after="40"/>
            </w:pPr>
            <w:r>
              <w:rPr>
                <w:b/>
                <w:color w:val="B02A37"/>
                <w:sz w:val="19"/>
              </w:rPr>
              <w:t>Dependent on the item above</w:t>
            </w:r>
          </w:p>
        </w:tc>
        <w:tc>
          <w:tcPr>
            <w:tcW w:type="dxa" w:w="2304"/>
          </w:tcPr>
          <w:p>
            <w:pPr>
              <w:spacing w:after="40"/>
            </w:pPr>
            <w:r>
              <w:rPr>
                <w:sz w:val="19"/>
              </w:rPr>
              <w:t>Section 2.6.e</w:t>
            </w:r>
          </w:p>
        </w:tc>
      </w:tr>
      <w:tr>
        <w:trPr>
          <w:cantSplit/>
        </w:trPr>
        <w:tc>
          <w:tcPr>
            <w:tcW w:type="dxa" w:w="2160"/>
          </w:tcPr>
          <w:p>
            <w:pPr>
              <w:spacing w:after="40"/>
            </w:pPr>
            <w:r>
              <w:rPr>
                <w:b/>
                <w:sz w:val="19"/>
              </w:rPr>
              <w:t>Certification route requested</w:t>
            </w:r>
          </w:p>
        </w:tc>
        <w:tc>
          <w:tcPr>
            <w:tcW w:type="dxa" w:w="2736"/>
          </w:tcPr>
          <w:p>
            <w:pPr>
              <w:spacing w:after="40"/>
            </w:pPr>
            <w:r>
              <w:rPr>
                <w:sz w:val="19"/>
              </w:rPr>
              <w:t>IECEx Certificate of Conformity and/or ATEX EU-type examination</w:t>
            </w:r>
          </w:p>
        </w:tc>
        <w:tc>
          <w:tcPr>
            <w:tcW w:type="dxa" w:w="2160"/>
          </w:tcPr>
          <w:p>
            <w:pPr>
              <w:spacing w:after="40"/>
            </w:pPr>
            <w:r>
              <w:rPr>
                <w:b/>
                <w:color w:val="B02A37"/>
                <w:sz w:val="19"/>
              </w:rPr>
              <w:t>To be confirmed with the ExCB</w:t>
            </w:r>
          </w:p>
        </w:tc>
        <w:tc>
          <w:tcPr>
            <w:tcW w:type="dxa" w:w="2304"/>
          </w:tcPr>
          <w:p>
            <w:pPr>
              <w:spacing w:after="40"/>
            </w:pPr>
            <w:r>
              <w:rPr>
                <w:sz w:val="19"/>
              </w:rPr>
            </w:r>
          </w:p>
        </w:tc>
      </w:tr>
      <w:tr>
        <w:trPr>
          <w:cantSplit/>
        </w:trPr>
        <w:tc>
          <w:tcPr>
            <w:tcW w:type="dxa" w:w="2160"/>
          </w:tcPr>
          <w:p>
            <w:pPr>
              <w:spacing w:after="40"/>
            </w:pPr>
            <w:r>
              <w:rPr>
                <w:b/>
                <w:sz w:val="19"/>
              </w:rPr>
              <w:t>Intended markets</w:t>
            </w:r>
          </w:p>
        </w:tc>
        <w:tc>
          <w:tcPr>
            <w:tcW w:type="dxa" w:w="2736"/>
          </w:tcPr>
          <w:p>
            <w:pPr>
              <w:spacing w:after="40"/>
            </w:pPr>
            <w:r>
              <w:rPr>
                <w:sz w:val="19"/>
              </w:rPr>
              <w:t>To be provided</w:t>
            </w:r>
          </w:p>
        </w:tc>
        <w:tc>
          <w:tcPr>
            <w:tcW w:type="dxa" w:w="2160"/>
          </w:tcPr>
          <w:p>
            <w:pPr>
              <w:spacing w:after="40"/>
            </w:pPr>
            <w:r>
              <w:rPr>
                <w:b/>
                <w:color w:val="B02A37"/>
                <w:sz w:val="19"/>
              </w:rPr>
              <w:t>To be provided</w:t>
            </w:r>
          </w:p>
        </w:tc>
        <w:tc>
          <w:tcPr>
            <w:tcW w:type="dxa" w:w="2304"/>
          </w:tcPr>
          <w:p>
            <w:pPr>
              <w:spacing w:after="40"/>
            </w:pPr>
            <w:r>
              <w:rPr>
                <w:sz w:val="19"/>
              </w:rPr>
            </w:r>
          </w:p>
        </w:tc>
      </w:tr>
    </w:tbl>
    <w:p>
      <w:pPr>
        <w:spacing w:after="40"/>
      </w:pPr>
    </w:p>
    <w:p>
      <w:pPr>
        <w:spacing w:after="160"/>
      </w:pPr>
      <w:r>
        <w:rPr>
          <w:b w:val="0"/>
          <w:i/>
          <w:sz w:val="19"/>
        </w:rPr>
        <w:t>The three requested classification parameters above are the applicant's proposal. They are recorded here as a request, not as an agreed or granted classification.</w:t>
      </w:r>
    </w:p>
    <w:p>
      <w:pPr>
        <w:pStyle w:val="Heading2"/>
      </w:pPr>
      <w:r>
        <w:t>1.2 · Business License / Company Registration Certificate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Registered legal name</w:t>
            </w:r>
          </w:p>
        </w:tc>
        <w:tc>
          <w:tcPr>
            <w:tcW w:type="dxa" w:w="1872"/>
          </w:tcPr>
          <w:p>
            <w:pPr>
              <w:spacing w:after="40"/>
            </w:pPr>
            <w:r>
              <w:rPr>
                <w:b/>
                <w:color w:val="149174"/>
                <w:sz w:val="19"/>
              </w:rPr>
              <w:t>Available</w:t>
            </w:r>
          </w:p>
        </w:tc>
        <w:tc>
          <w:tcPr>
            <w:tcW w:type="dxa" w:w="4464"/>
          </w:tcPr>
          <w:p>
            <w:pPr>
              <w:spacing w:after="40"/>
            </w:pPr>
            <w:r>
              <w:rPr>
                <w:sz w:val="19"/>
              </w:rPr>
              <w:t>PT Galaksi Megatama Indonesia.</w:t>
            </w:r>
          </w:p>
        </w:tc>
      </w:tr>
      <w:tr>
        <w:trPr>
          <w:cantSplit/>
        </w:trPr>
        <w:tc>
          <w:tcPr>
            <w:tcW w:type="dxa" w:w="3024"/>
          </w:tcPr>
          <w:p>
            <w:pPr>
              <w:spacing w:after="40"/>
            </w:pPr>
            <w:r>
              <w:rPr>
                <w:b/>
                <w:sz w:val="19"/>
              </w:rPr>
              <w:t>Legal form and shareholding status</w:t>
            </w:r>
          </w:p>
        </w:tc>
        <w:tc>
          <w:tcPr>
            <w:tcW w:type="dxa" w:w="1872"/>
          </w:tcPr>
          <w:p>
            <w:pPr>
              <w:spacing w:after="40"/>
            </w:pPr>
            <w:r>
              <w:rPr>
                <w:b/>
                <w:color w:val="149174"/>
                <w:sz w:val="19"/>
              </w:rPr>
              <w:t>Available</w:t>
            </w:r>
          </w:p>
        </w:tc>
        <w:tc>
          <w:tcPr>
            <w:tcW w:type="dxa" w:w="4464"/>
          </w:tcPr>
          <w:p>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trPr>
          <w:cantSplit/>
        </w:trPr>
        <w:tc>
          <w:tcPr>
            <w:tcW w:type="dxa" w:w="3024"/>
          </w:tcPr>
          <w:p>
            <w:pPr>
              <w:spacing w:after="40"/>
            </w:pPr>
            <w:r>
              <w:rPr>
                <w:b/>
                <w:sz w:val="19"/>
              </w:rPr>
              <w:t>Business registration number</w:t>
            </w:r>
          </w:p>
        </w:tc>
        <w:tc>
          <w:tcPr>
            <w:tcW w:type="dxa" w:w="1872"/>
          </w:tcPr>
          <w:p>
            <w:pPr>
              <w:spacing w:after="40"/>
            </w:pPr>
            <w:r>
              <w:rPr>
                <w:b/>
                <w:color w:val="149174"/>
                <w:sz w:val="19"/>
              </w:rPr>
              <w:t>Available</w:t>
            </w:r>
          </w:p>
        </w:tc>
        <w:tc>
          <w:tcPr>
            <w:tcW w:type="dxa" w:w="4464"/>
          </w:tcPr>
          <w:p>
            <w:pPr>
              <w:spacing w:after="40"/>
            </w:pPr>
            <w:r>
              <w:rPr>
                <w:sz w:val="19"/>
              </w:rPr>
              <w:t>NIB (Business Identification Number) 0510220020593, issued 5 Oct 2022 under Indonesia's risk-based business licensing (OSS) system.</w:t>
            </w:r>
          </w:p>
        </w:tc>
      </w:tr>
      <w:tr>
        <w:trPr>
          <w:cantSplit/>
        </w:trPr>
        <w:tc>
          <w:tcPr>
            <w:tcW w:type="dxa" w:w="3024"/>
          </w:tcPr>
          <w:p>
            <w:pPr>
              <w:spacing w:after="40"/>
            </w:pPr>
            <w:r>
              <w:rPr>
                <w:b/>
                <w:sz w:val="19"/>
              </w:rPr>
              <w:t>Taxpayer identification number</w:t>
            </w:r>
          </w:p>
        </w:tc>
        <w:tc>
          <w:tcPr>
            <w:tcW w:type="dxa" w:w="1872"/>
          </w:tcPr>
          <w:p>
            <w:pPr>
              <w:spacing w:after="40"/>
            </w:pPr>
            <w:r>
              <w:rPr>
                <w:b/>
                <w:color w:val="149174"/>
                <w:sz w:val="19"/>
              </w:rPr>
              <w:t>Available</w:t>
            </w:r>
          </w:p>
        </w:tc>
        <w:tc>
          <w:tcPr>
            <w:tcW w:type="dxa" w:w="4464"/>
          </w:tcPr>
          <w:p>
            <w:pPr>
              <w:spacing w:after="40"/>
            </w:pPr>
            <w:r>
              <w:rPr>
                <w:sz w:val="19"/>
              </w:rPr>
              <w:t>NPWP 61.126.496.1-427.000 (16-digit: 0611264961427000), Tax Service Office of Pratama West Bekasi, registered 29 Sep 2022.</w:t>
            </w:r>
          </w:p>
        </w:tc>
      </w:tr>
      <w:tr>
        <w:trPr>
          <w:cantSplit/>
        </w:trPr>
        <w:tc>
          <w:tcPr>
            <w:tcW w:type="dxa" w:w="3024"/>
          </w:tcPr>
          <w:p>
            <w:pPr>
              <w:spacing w:after="40"/>
            </w:pPr>
            <w:r>
              <w:rPr>
                <w:b/>
                <w:sz w:val="19"/>
              </w:rPr>
              <w:t>Deed of establishment and latest amendment</w:t>
            </w:r>
          </w:p>
        </w:tc>
        <w:tc>
          <w:tcPr>
            <w:tcW w:type="dxa" w:w="1872"/>
          </w:tcPr>
          <w:p>
            <w:pPr>
              <w:spacing w:after="40"/>
            </w:pPr>
            <w:r>
              <w:rPr>
                <w:b/>
                <w:color w:val="B56A1E"/>
                <w:sz w:val="19"/>
              </w:rPr>
              <w:t>Partially available</w:t>
            </w:r>
          </w:p>
        </w:tc>
        <w:tc>
          <w:tcPr>
            <w:tcW w:type="dxa" w:w="4464"/>
          </w:tcPr>
          <w:p>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trPr>
          <w:cantSplit/>
        </w:trPr>
        <w:tc>
          <w:tcPr>
            <w:tcW w:type="dxa" w:w="3024"/>
          </w:tcPr>
          <w:p>
            <w:pPr>
              <w:spacing w:after="40"/>
            </w:pPr>
            <w:r>
              <w:rPr>
                <w:b/>
                <w:sz w:val="19"/>
              </w:rPr>
              <w:t>Registered (domicile) address</w:t>
            </w:r>
          </w:p>
        </w:tc>
        <w:tc>
          <w:tcPr>
            <w:tcW w:type="dxa" w:w="1872"/>
          </w:tcPr>
          <w:p>
            <w:pPr>
              <w:spacing w:after="40"/>
            </w:pPr>
            <w:r>
              <w:rPr>
                <w:b/>
                <w:color w:val="149174"/>
                <w:sz w:val="19"/>
              </w:rPr>
              <w:t>Available</w:t>
            </w:r>
          </w:p>
        </w:tc>
        <w:tc>
          <w:tcPr>
            <w:tcW w:type="dxa" w:w="4464"/>
          </w:tcPr>
          <w:p>
            <w:pPr>
              <w:spacing w:after="40"/>
            </w:pPr>
            <w:r>
              <w:rPr>
                <w:sz w:val="19"/>
              </w:rPr>
              <w:t>Plaza Summarecon Bekasi, Jl. Bulevar Ahmad Yani Kav. K.01, Level 7, Harapanmulya Village, Medansatria Sub-district, Bekasi City, West Java, Postal Code 17143.</w:t>
            </w:r>
          </w:p>
        </w:tc>
      </w:tr>
      <w:tr>
        <w:trPr>
          <w:cantSplit/>
        </w:trPr>
        <w:tc>
          <w:tcPr>
            <w:tcW w:type="dxa" w:w="3024"/>
          </w:tcPr>
          <w:p>
            <w:pPr>
              <w:spacing w:after="40"/>
            </w:pPr>
            <w:r>
              <w:rPr>
                <w:b/>
                <w:sz w:val="19"/>
              </w:rPr>
              <w:t>Scope of business activity relevant to this product</w:t>
            </w:r>
          </w:p>
        </w:tc>
        <w:tc>
          <w:tcPr>
            <w:tcW w:type="dxa" w:w="1872"/>
          </w:tcPr>
          <w:p>
            <w:pPr>
              <w:spacing w:after="40"/>
            </w:pPr>
            <w:r>
              <w:rPr>
                <w:b/>
                <w:color w:val="B56A1E"/>
                <w:sz w:val="19"/>
              </w:rPr>
              <w:t>Partially available</w:t>
            </w:r>
          </w:p>
        </w:tc>
        <w:tc>
          <w:tcPr>
            <w:tcW w:type="dxa" w:w="4464"/>
          </w:tcPr>
          <w:p>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trPr>
          <w:cantSplit/>
        </w:trPr>
        <w:tc>
          <w:tcPr>
            <w:tcW w:type="dxa" w:w="3024"/>
          </w:tcPr>
          <w:p>
            <w:pPr>
              <w:spacing w:after="40"/>
            </w:pPr>
            <w:r>
              <w:rPr>
                <w:b/>
                <w:sz w:val="19"/>
              </w:rPr>
              <w:t>Scanned certificate, with English translation where requested</w:t>
            </w:r>
          </w:p>
        </w:tc>
        <w:tc>
          <w:tcPr>
            <w:tcW w:type="dxa" w:w="1872"/>
          </w:tcPr>
          <w:p>
            <w:pPr>
              <w:spacing w:after="40"/>
            </w:pPr>
            <w:r>
              <w:rPr>
                <w:b/>
                <w:color w:val="149174"/>
                <w:sz w:val="19"/>
              </w:rPr>
              <w:t>Available</w:t>
            </w:r>
          </w:p>
        </w:tc>
        <w:tc>
          <w:tcPr>
            <w:tcW w:type="dxa" w:w="4464"/>
          </w:tcPr>
          <w:p>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pPr>
        <w:spacing w:after="40"/>
      </w:pPr>
    </w:p>
    <w:p>
      <w:pPr>
        <w:pStyle w:val="Heading2"/>
      </w:pPr>
      <w:r>
        <w:t>1.3 · Organizational Chart and Contact Information</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Organizational chart</w:t>
            </w:r>
          </w:p>
        </w:tc>
        <w:tc>
          <w:tcPr>
            <w:tcW w:type="dxa" w:w="1872"/>
          </w:tcPr>
          <w:p>
            <w:pPr>
              <w:spacing w:after="40"/>
            </w:pPr>
            <w:r>
              <w:rPr>
                <w:b/>
                <w:color w:val="B56A1E"/>
                <w:sz w:val="19"/>
              </w:rPr>
              <w:t>Partially available</w:t>
            </w:r>
          </w:p>
        </w:tc>
        <w:tc>
          <w:tcPr>
            <w:tcW w:type="dxa" w:w="4464"/>
          </w:tcPr>
          <w:p>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trPr>
          <w:cantSplit/>
        </w:trPr>
        <w:tc>
          <w:tcPr>
            <w:tcW w:type="dxa" w:w="3024"/>
          </w:tcPr>
          <w:p>
            <w:pPr>
              <w:spacing w:after="40"/>
            </w:pPr>
            <w:r>
              <w:rPr>
                <w:b/>
                <w:sz w:val="19"/>
              </w:rPr>
              <w:t>Board of Directors and Board of Commissioners</w:t>
            </w:r>
          </w:p>
        </w:tc>
        <w:tc>
          <w:tcPr>
            <w:tcW w:type="dxa" w:w="1872"/>
          </w:tcPr>
          <w:p>
            <w:pPr>
              <w:spacing w:after="40"/>
            </w:pPr>
            <w:r>
              <w:rPr>
                <w:b/>
                <w:color w:val="149174"/>
                <w:sz w:val="19"/>
              </w:rPr>
              <w:t>Available</w:t>
            </w:r>
          </w:p>
        </w:tc>
        <w:tc>
          <w:tcPr>
            <w:tcW w:type="dxa" w:w="4464"/>
          </w:tcPr>
          <w:p>
            <w:pPr>
              <w:spacing w:after="40"/>
            </w:pPr>
            <w:r>
              <w:rPr>
                <w:sz w:val="19"/>
              </w:rPr>
              <w:t>President Director: Nur Rohman. Director: Antonius Prasetyo. Commissioner: Crisa Andi Sujatmiko. (Deed No. 52, 22 Sep 2022.)</w:t>
            </w:r>
          </w:p>
        </w:tc>
      </w:tr>
      <w:tr>
        <w:trPr>
          <w:cantSplit/>
        </w:trPr>
        <w:tc>
          <w:tcPr>
            <w:tcW w:type="dxa" w:w="3024"/>
          </w:tcPr>
          <w:p>
            <w:pPr>
              <w:spacing w:after="40"/>
            </w:pPr>
            <w:r>
              <w:rPr>
                <w:b/>
                <w:sz w:val="19"/>
              </w:rPr>
              <w:t>Authorized signatory for the application</w:t>
            </w:r>
          </w:p>
        </w:tc>
        <w:tc>
          <w:tcPr>
            <w:tcW w:type="dxa" w:w="1872"/>
          </w:tcPr>
          <w:p>
            <w:pPr>
              <w:spacing w:after="40"/>
            </w:pPr>
            <w:r>
              <w:rPr>
                <w:b/>
                <w:color w:val="B56A1E"/>
                <w:sz w:val="19"/>
              </w:rPr>
              <w:t>To be confirmed</w:t>
            </w:r>
          </w:p>
        </w:tc>
        <w:tc>
          <w:tcPr>
            <w:tcW w:type="dxa" w:w="4464"/>
          </w:tcPr>
          <w:p>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trPr>
          <w:cantSplit/>
        </w:trPr>
        <w:tc>
          <w:tcPr>
            <w:tcW w:type="dxa" w:w="3024"/>
          </w:tcPr>
          <w:p>
            <w:pPr>
              <w:spacing w:after="40"/>
            </w:pPr>
            <w:r>
              <w:rPr>
                <w:b/>
                <w:sz w:val="19"/>
              </w:rPr>
              <w:t>Certification project contact</w:t>
            </w:r>
          </w:p>
        </w:tc>
        <w:tc>
          <w:tcPr>
            <w:tcW w:type="dxa" w:w="1872"/>
          </w:tcPr>
          <w:p>
            <w:pPr>
              <w:spacing w:after="40"/>
            </w:pPr>
            <w:r>
              <w:rPr>
                <w:b/>
                <w:color w:val="B02A37"/>
                <w:sz w:val="19"/>
              </w:rPr>
              <w:t>To be provided</w:t>
            </w:r>
          </w:p>
        </w:tc>
        <w:tc>
          <w:tcPr>
            <w:tcW w:type="dxa" w:w="4464"/>
          </w:tcPr>
          <w:p>
            <w:pPr>
              <w:spacing w:after="40"/>
            </w:pPr>
            <w:r>
              <w:rPr>
                <w:sz w:val="19"/>
              </w:rPr>
              <w:t>Name, position, e-mail, and telephone — the single point of contact for ExCB correspondence.</w:t>
            </w:r>
          </w:p>
        </w:tc>
      </w:tr>
      <w:tr>
        <w:trPr>
          <w:cantSplit/>
        </w:trPr>
        <w:tc>
          <w:tcPr>
            <w:tcW w:type="dxa" w:w="3024"/>
          </w:tcPr>
          <w:p>
            <w:pPr>
              <w:spacing w:after="40"/>
            </w:pPr>
            <w:r>
              <w:rPr>
                <w:b/>
                <w:sz w:val="19"/>
              </w:rPr>
              <w:t>Technical contact for the product</w:t>
            </w:r>
          </w:p>
        </w:tc>
        <w:tc>
          <w:tcPr>
            <w:tcW w:type="dxa" w:w="1872"/>
          </w:tcPr>
          <w:p>
            <w:pPr>
              <w:spacing w:after="40"/>
            </w:pPr>
            <w:r>
              <w:rPr>
                <w:b/>
                <w:color w:val="B02A37"/>
                <w:sz w:val="19"/>
              </w:rPr>
              <w:t>To be provided</w:t>
            </w:r>
          </w:p>
        </w:tc>
        <w:tc>
          <w:tcPr>
            <w:tcW w:type="dxa" w:w="4464"/>
          </w:tcPr>
          <w:p>
            <w:pPr>
              <w:spacing w:after="40"/>
            </w:pPr>
            <w:r>
              <w:rPr>
                <w:sz w:val="19"/>
              </w:rPr>
              <w:t>The engineer who will answer technical queries on the technical file.</w:t>
            </w:r>
          </w:p>
        </w:tc>
      </w:tr>
      <w:tr>
        <w:trPr>
          <w:cantSplit/>
        </w:trPr>
        <w:tc>
          <w:tcPr>
            <w:tcW w:type="dxa" w:w="3024"/>
          </w:tcPr>
          <w:p>
            <w:pPr>
              <w:spacing w:after="40"/>
            </w:pPr>
            <w:r>
              <w:rPr>
                <w:b/>
                <w:sz w:val="19"/>
              </w:rPr>
              <w:t>Quality contact</w:t>
            </w:r>
          </w:p>
        </w:tc>
        <w:tc>
          <w:tcPr>
            <w:tcW w:type="dxa" w:w="1872"/>
          </w:tcPr>
          <w:p>
            <w:pPr>
              <w:spacing w:after="40"/>
            </w:pPr>
            <w:r>
              <w:rPr>
                <w:b/>
                <w:color w:val="B02A37"/>
                <w:sz w:val="19"/>
              </w:rPr>
              <w:t>To be provided</w:t>
            </w:r>
          </w:p>
        </w:tc>
        <w:tc>
          <w:tcPr>
            <w:tcW w:type="dxa" w:w="4464"/>
          </w:tcPr>
          <w:p>
            <w:pPr>
              <w:spacing w:after="40"/>
            </w:pPr>
            <w:r>
              <w:rPr>
                <w:sz w:val="19"/>
              </w:rPr>
              <w:t>Counterpart for the quality assessment referred to in 1.5.</w:t>
            </w:r>
          </w:p>
        </w:tc>
      </w:tr>
      <w:tr>
        <w:trPr>
          <w:cantSplit/>
        </w:trPr>
        <w:tc>
          <w:tcPr>
            <w:tcW w:type="dxa" w:w="3024"/>
          </w:tcPr>
          <w:p>
            <w:pPr>
              <w:spacing w:after="40"/>
            </w:pPr>
            <w:r>
              <w:rPr>
                <w:b/>
                <w:sz w:val="19"/>
              </w:rPr>
              <w:t>Correspondence address and working language</w:t>
            </w:r>
          </w:p>
        </w:tc>
        <w:tc>
          <w:tcPr>
            <w:tcW w:type="dxa" w:w="1872"/>
          </w:tcPr>
          <w:p>
            <w:pPr>
              <w:spacing w:after="40"/>
            </w:pPr>
            <w:r>
              <w:rPr>
                <w:b/>
                <w:color w:val="B02A37"/>
                <w:sz w:val="19"/>
              </w:rPr>
              <w:t>To be provided</w:t>
            </w:r>
          </w:p>
        </w:tc>
        <w:tc>
          <w:tcPr>
            <w:tcW w:type="dxa" w:w="4464"/>
          </w:tcPr>
          <w:p>
            <w:pPr>
              <w:spacing w:after="40"/>
            </w:pPr>
            <w:r>
              <w:rPr>
                <w:sz w:val="19"/>
              </w:rPr>
              <w:t>English is assumed for correspondence with the ExCB unless stated otherwise.</w:t>
            </w:r>
          </w:p>
        </w:tc>
      </w:tr>
    </w:tbl>
    <w:p>
      <w:pPr>
        <w:spacing w:after="40"/>
      </w:pPr>
    </w:p>
    <w:p>
      <w:pPr>
        <w:pStyle w:val="Heading2"/>
      </w:pPr>
      <w:r>
        <w:t>1.4 · Manufacturing Plant Address and Introduction of Production Facilities</w:t>
      </w:r>
    </w:p>
    <w:p>
      <w:pPr>
        <w:spacing w:after="160"/>
      </w:pPr>
      <w:r>
        <w:rPr>
          <w:b w:val="0"/>
          <w:i w:val="0"/>
          <w:sz w:val="21"/>
        </w:rP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PRODUCTION ELEMENT</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Manufacturer's registered office and production sites</w:t>
            </w:r>
          </w:p>
        </w:tc>
        <w:tc>
          <w:tcPr>
            <w:tcW w:type="dxa" w:w="1872"/>
          </w:tcPr>
          <w:p>
            <w:pPr>
              <w:spacing w:after="40"/>
            </w:pPr>
            <w:r>
              <w:rPr>
                <w:b/>
                <w:color w:val="149174"/>
                <w:sz w:val="19"/>
              </w:rPr>
              <w:t>Available</w:t>
            </w:r>
          </w:p>
        </w:tc>
        <w:tc>
          <w:tcPr>
            <w:tcW w:type="dxa" w:w="4464"/>
          </w:tcPr>
          <w:p>
            <w:pPr>
              <w:spacing w:after="40"/>
            </w:pPr>
            <w:r>
              <w:rPr>
                <w:sz w:val="19"/>
              </w:rPr>
              <w:t>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This confirms a licensed general metal-fabrication business — it is not an Ex-certified enclosure manufacturer license, and no ISO 9001 or Ex-specific quality certificate has been supplied.</w:t>
            </w:r>
          </w:p>
        </w:tc>
      </w:tr>
      <w:tr>
        <w:trPr>
          <w:cantSplit/>
        </w:trPr>
        <w:tc>
          <w:tcPr>
            <w:tcW w:type="dxa" w:w="3024"/>
          </w:tcPr>
          <w:p>
            <w:pPr>
              <w:spacing w:after="40"/>
            </w:pPr>
            <w:r>
              <w:rPr>
                <w:b/>
                <w:sz w:val="19"/>
              </w:rPr>
              <w:t>Printed circuit board fabrication and assembly</w:t>
            </w:r>
          </w:p>
        </w:tc>
        <w:tc>
          <w:tcPr>
            <w:tcW w:type="dxa" w:w="1872"/>
          </w:tcPr>
          <w:p>
            <w:pPr>
              <w:spacing w:after="40"/>
            </w:pPr>
            <w:r>
              <w:rPr>
                <w:b/>
                <w:color w:val="B56A1E"/>
                <w:sz w:val="19"/>
              </w:rPr>
              <w:t>Partially available</w:t>
            </w:r>
          </w:p>
        </w:tc>
        <w:tc>
          <w:tcPr>
            <w:tcW w:type="dxa" w:w="4464"/>
          </w:tcPr>
          <w:p>
            <w:pPr>
              <w:spacing w:after="40"/>
            </w:pPr>
            <w:r>
              <w:rPr>
                <w:sz w:val="19"/>
              </w:rPr>
              <w:t>The electronic design is maintained as a native EasyEDA/JLCPCB project and the component supply chain is referenced to LCSC supplier part numbers throughout the bill of materials (Section 2.6.b). The fabrication and assembly provider, and its address, remain to be confirmed in writing.</w:t>
            </w:r>
          </w:p>
        </w:tc>
      </w:tr>
      <w:tr>
        <w:trPr>
          <w:cantSplit/>
        </w:trPr>
        <w:tc>
          <w:tcPr>
            <w:tcW w:type="dxa" w:w="3024"/>
          </w:tcPr>
          <w:p>
            <w:pPr>
              <w:spacing w:after="40"/>
            </w:pPr>
            <w:r>
              <w:rPr>
                <w:b/>
                <w:sz w:val="19"/>
              </w:rPr>
              <w:t>Enclosure / casing manufacture</w:t>
            </w:r>
          </w:p>
        </w:tc>
        <w:tc>
          <w:tcPr>
            <w:tcW w:type="dxa" w:w="1872"/>
          </w:tcPr>
          <w:p>
            <w:pPr>
              <w:spacing w:after="40"/>
            </w:pPr>
            <w:r>
              <w:rPr>
                <w:b/>
                <w:color w:val="B56A1E"/>
                <w:sz w:val="19"/>
              </w:rPr>
              <w:t>Partially available</w:t>
            </w:r>
          </w:p>
        </w:tc>
        <w:tc>
          <w:tcPr>
            <w:tcW w:type="dxa" w:w="4464"/>
          </w:tcPr>
          <w:p>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trPr>
          <w:cantSplit/>
        </w:trPr>
        <w:tc>
          <w:tcPr>
            <w:tcW w:type="dxa" w:w="3024"/>
          </w:tcPr>
          <w:p>
            <w:pPr>
              <w:spacing w:after="40"/>
            </w:pPr>
            <w:r>
              <w:rPr>
                <w:b/>
                <w:sz w:val="19"/>
              </w:rPr>
              <w:t>Final assembly, configuration, and functional test</w:t>
            </w:r>
          </w:p>
        </w:tc>
        <w:tc>
          <w:tcPr>
            <w:tcW w:type="dxa" w:w="1872"/>
          </w:tcPr>
          <w:p>
            <w:pPr>
              <w:spacing w:after="40"/>
            </w:pPr>
            <w:r>
              <w:rPr>
                <w:b/>
                <w:color w:val="B56A1E"/>
                <w:sz w:val="19"/>
              </w:rPr>
              <w:t>Prototype stage</w:t>
            </w:r>
          </w:p>
        </w:tc>
        <w:tc>
          <w:tcPr>
            <w:tcW w:type="dxa" w:w="4464"/>
          </w:tcPr>
          <w:p>
            <w:pPr>
              <w:spacing w:after="40"/>
            </w:pPr>
            <w:r>
              <w:rPr>
                <w:sz w:val="19"/>
              </w:rPr>
              <w:t>Currently carried out in the development laboratory environment. The production location for serial units has not been fixed.</w:t>
            </w:r>
          </w:p>
        </w:tc>
      </w:tr>
      <w:tr>
        <w:trPr>
          <w:cantSplit/>
        </w:trPr>
        <w:tc>
          <w:tcPr>
            <w:tcW w:type="dxa" w:w="3024"/>
          </w:tcPr>
          <w:p>
            <w:pPr>
              <w:spacing w:after="40"/>
            </w:pPr>
            <w:r>
              <w:rPr>
                <w:b/>
                <w:sz w:val="19"/>
              </w:rPr>
              <w:t>Production facility profile</w:t>
            </w:r>
          </w:p>
        </w:tc>
        <w:tc>
          <w:tcPr>
            <w:tcW w:type="dxa" w:w="1872"/>
          </w:tcPr>
          <w:p>
            <w:pPr>
              <w:spacing w:after="40"/>
            </w:pPr>
            <w:r>
              <w:rPr>
                <w:b/>
                <w:color w:val="B02A37"/>
                <w:sz w:val="19"/>
              </w:rPr>
              <w:t>To be provided</w:t>
            </w:r>
          </w:p>
        </w:tc>
        <w:tc>
          <w:tcPr>
            <w:tcW w:type="dxa" w:w="4464"/>
          </w:tcPr>
          <w:p>
            <w:pPr>
              <w:spacing w:after="40"/>
            </w:pPr>
            <w:r>
              <w:rPr>
                <w:sz w:val="19"/>
              </w:rPr>
              <w:t>Floor area, principal equipment, staffing, and nominal throughput — the “brief introduction” requested by the checklist.</w:t>
            </w:r>
          </w:p>
        </w:tc>
      </w:tr>
      <w:tr>
        <w:trPr>
          <w:cantSplit/>
        </w:trPr>
        <w:tc>
          <w:tcPr>
            <w:tcW w:type="dxa" w:w="3024"/>
          </w:tcPr>
          <w:p>
            <w:pPr>
              <w:spacing w:after="40"/>
            </w:pPr>
            <w:r>
              <w:rPr>
                <w:b/>
                <w:sz w:val="19"/>
              </w:rPr>
              <w:t>Incoming inspection and final quality control</w:t>
            </w:r>
          </w:p>
        </w:tc>
        <w:tc>
          <w:tcPr>
            <w:tcW w:type="dxa" w:w="1872"/>
          </w:tcPr>
          <w:p>
            <w:pPr>
              <w:spacing w:after="40"/>
            </w:pPr>
            <w:r>
              <w:rPr>
                <w:b/>
                <w:color w:val="B02A37"/>
                <w:sz w:val="19"/>
              </w:rPr>
              <w:t>To be provided</w:t>
            </w:r>
          </w:p>
        </w:tc>
        <w:tc>
          <w:tcPr>
            <w:tcW w:type="dxa" w:w="4464"/>
          </w:tcPr>
          <w:p>
            <w:pPr>
              <w:spacing w:after="40"/>
            </w:pPr>
            <w:r>
              <w:rPr>
                <w:sz w:val="19"/>
              </w:rPr>
              <w:t>Arrangements for verifying purchased components and finished units.</w:t>
            </w:r>
          </w:p>
        </w:tc>
      </w:tr>
      <w:tr>
        <w:trPr>
          <w:cantSplit/>
        </w:trPr>
        <w:tc>
          <w:tcPr>
            <w:tcW w:type="dxa" w:w="3024"/>
          </w:tcPr>
          <w:p>
            <w:pPr>
              <w:spacing w:after="40"/>
            </w:pPr>
            <w:r>
              <w:rPr>
                <w:b/>
                <w:sz w:val="19"/>
              </w:rPr>
              <w:t>Ex-specific routine verification</w:t>
            </w:r>
          </w:p>
        </w:tc>
        <w:tc>
          <w:tcPr>
            <w:tcW w:type="dxa" w:w="1872"/>
          </w:tcPr>
          <w:p>
            <w:pPr>
              <w:spacing w:after="40"/>
            </w:pPr>
            <w:r>
              <w:rPr>
                <w:b/>
                <w:color w:val="B02A37"/>
                <w:sz w:val="19"/>
              </w:rPr>
              <w:t>To be provided</w:t>
            </w:r>
          </w:p>
        </w:tc>
        <w:tc>
          <w:tcPr>
            <w:tcW w:type="dxa" w:w="4464"/>
          </w:tcPr>
          <w:p>
            <w:pPr>
              <w:spacing w:after="40"/>
            </w:pPr>
            <w:r>
              <w:rPr>
                <w:sz w:val="19"/>
              </w:rPr>
              <w:t>Routine tests and verifications required of production units once a type of protection is selected.</w:t>
            </w:r>
          </w:p>
        </w:tc>
      </w:tr>
    </w:tbl>
    <w:p>
      <w:pPr>
        <w:spacing w:after="40"/>
      </w:pPr>
    </w:p>
    <w:p>
      <w:pPr>
        <w:spacing w:after="160"/>
      </w:pPr>
      <w:r>
        <w:rPr>
          <w:b w:val="0"/>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pPr>
        <w:pStyle w:val="Heading2"/>
      </w:pPr>
      <w:r>
        <w:t>1.5 · ISO 9001 Certificate, Quality Manual, and Procedure Index</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ISO 9001 certificate</w:t>
            </w:r>
          </w:p>
        </w:tc>
        <w:tc>
          <w:tcPr>
            <w:tcW w:type="dxa" w:w="1872"/>
          </w:tcPr>
          <w:p>
            <w:pPr>
              <w:spacing w:after="40"/>
            </w:pPr>
            <w:r>
              <w:rPr>
                <w:b/>
                <w:color w:val="B02A37"/>
                <w:sz w:val="19"/>
              </w:rPr>
              <w:t>To be confirmed</w:t>
            </w:r>
          </w:p>
        </w:tc>
        <w:tc>
          <w:tcPr>
            <w:tcW w:type="dxa" w:w="4464"/>
          </w:tcPr>
          <w:p>
            <w:pPr>
              <w:spacing w:after="40"/>
            </w:pPr>
            <w:r>
              <w:rPr>
                <w:sz w:val="19"/>
              </w:rPr>
              <w:t>Whether the manufacturer currently holds certification and, if so, the certificate number, scope, issuing body, and validity period.</w:t>
            </w:r>
          </w:p>
        </w:tc>
      </w:tr>
      <w:tr>
        <w:trPr>
          <w:cantSplit/>
        </w:trPr>
        <w:tc>
          <w:tcPr>
            <w:tcW w:type="dxa" w:w="3024"/>
          </w:tcPr>
          <w:p>
            <w:pPr>
              <w:spacing w:after="40"/>
            </w:pPr>
            <w:r>
              <w:rPr>
                <w:b/>
                <w:sz w:val="19"/>
              </w:rPr>
              <w:t>Quality manual</w:t>
            </w:r>
          </w:p>
        </w:tc>
        <w:tc>
          <w:tcPr>
            <w:tcW w:type="dxa" w:w="1872"/>
          </w:tcPr>
          <w:p>
            <w:pPr>
              <w:spacing w:after="40"/>
            </w:pPr>
            <w:r>
              <w:rPr>
                <w:b/>
                <w:color w:val="B02A37"/>
                <w:sz w:val="19"/>
              </w:rPr>
              <w:t>To be provided</w:t>
            </w:r>
          </w:p>
        </w:tc>
        <w:tc>
          <w:tcPr>
            <w:tcW w:type="dxa" w:w="4464"/>
          </w:tcPr>
          <w:p>
            <w:pPr>
              <w:spacing w:after="40"/>
            </w:pPr>
            <w:r>
              <w:rPr>
                <w:sz w:val="19"/>
              </w:rPr>
            </w:r>
          </w:p>
        </w:tc>
      </w:tr>
      <w:tr>
        <w:trPr>
          <w:cantSplit/>
        </w:trPr>
        <w:tc>
          <w:tcPr>
            <w:tcW w:type="dxa" w:w="3024"/>
          </w:tcPr>
          <w:p>
            <w:pPr>
              <w:spacing w:after="40"/>
            </w:pPr>
            <w:r>
              <w:rPr>
                <w:b/>
                <w:sz w:val="19"/>
              </w:rPr>
              <w:t>Index of procedure documents</w:t>
            </w:r>
          </w:p>
        </w:tc>
        <w:tc>
          <w:tcPr>
            <w:tcW w:type="dxa" w:w="1872"/>
          </w:tcPr>
          <w:p>
            <w:pPr>
              <w:spacing w:after="40"/>
            </w:pPr>
            <w:r>
              <w:rPr>
                <w:b/>
                <w:color w:val="B02A37"/>
                <w:sz w:val="19"/>
              </w:rPr>
              <w:t>To be provided</w:t>
            </w:r>
          </w:p>
        </w:tc>
        <w:tc>
          <w:tcPr>
            <w:tcW w:type="dxa" w:w="4464"/>
          </w:tcPr>
          <w:p>
            <w:pPr>
              <w:spacing w:after="40"/>
            </w:pPr>
            <w:r>
              <w:rPr>
                <w:sz w:val="19"/>
              </w:rPr>
              <w:t>A directory is sufficient at this stage; individual procedures are normally requested during the assessment itself.</w:t>
            </w:r>
          </w:p>
        </w:tc>
      </w:tr>
      <w:tr>
        <w:trPr>
          <w:cantSplit/>
        </w:trPr>
        <w:tc>
          <w:tcPr>
            <w:tcW w:type="dxa" w:w="3024"/>
          </w:tcPr>
          <w:p>
            <w:pPr>
              <w:spacing w:after="40"/>
            </w:pPr>
            <w:r>
              <w:rPr>
                <w:b/>
                <w:sz w:val="19"/>
              </w:rPr>
              <w:t>Documented control of Ex-relevant characteristics</w:t>
            </w:r>
          </w:p>
        </w:tc>
        <w:tc>
          <w:tcPr>
            <w:tcW w:type="dxa" w:w="1872"/>
          </w:tcPr>
          <w:p>
            <w:pPr>
              <w:spacing w:after="40"/>
            </w:pPr>
            <w:r>
              <w:rPr>
                <w:b/>
                <w:color w:val="B02A37"/>
                <w:sz w:val="19"/>
              </w:rPr>
              <w:t>To be provided</w:t>
            </w:r>
          </w:p>
        </w:tc>
        <w:tc>
          <w:tcPr>
            <w:tcW w:type="dxa" w:w="4464"/>
          </w:tcPr>
          <w:p>
            <w:pPr>
              <w:spacing w:after="40"/>
            </w:pPr>
            <w:r>
              <w:rPr>
                <w:sz w:val="19"/>
              </w:rPr>
              <w:t>How drawings, changes, and the characteristics that secure the type of protection are controlled in production.</w:t>
            </w:r>
          </w:p>
        </w:tc>
      </w:tr>
      <w:tr>
        <w:trPr>
          <w:cantSplit/>
        </w:trPr>
        <w:tc>
          <w:tcPr>
            <w:tcW w:type="dxa" w:w="3024"/>
          </w:tcPr>
          <w:p>
            <w:pPr>
              <w:spacing w:after="40"/>
            </w:pPr>
            <w:r>
              <w:rPr>
                <w:b/>
                <w:sz w:val="19"/>
              </w:rPr>
              <w:t>Records of routine verification</w:t>
            </w:r>
          </w:p>
        </w:tc>
        <w:tc>
          <w:tcPr>
            <w:tcW w:type="dxa" w:w="1872"/>
          </w:tcPr>
          <w:p>
            <w:pPr>
              <w:spacing w:after="40"/>
            </w:pPr>
            <w:r>
              <w:rPr>
                <w:b/>
                <w:color w:val="B02A37"/>
                <w:sz w:val="19"/>
              </w:rPr>
              <w:t>To be provided</w:t>
            </w:r>
          </w:p>
        </w:tc>
        <w:tc>
          <w:tcPr>
            <w:tcW w:type="dxa" w:w="4464"/>
          </w:tcPr>
          <w:p>
            <w:pPr>
              <w:spacing w:after="40"/>
            </w:pPr>
            <w:r>
              <w:rPr>
                <w:sz w:val="19"/>
              </w:rPr>
              <w:t>Record format for the routine tests referred to in 1.4.</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Note on the quality requirement. The checklist marks this item “if applicable” and links it to quality assessment review. Under both schemes a manufacturer is expected to demonstrate a quality system covering Ex production 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pPr>
        <w:spacing w:after="80"/>
      </w:pPr>
    </w:p>
    <w:p>
      <w:pPr>
        <w:pStyle w:val="Heading1"/>
      </w:pPr>
      <w:r>
        <w:t>2. Technical Documentation</w:t>
      </w:r>
    </w:p>
    <w:p>
      <w:pPr>
        <w:spacing w:after="160"/>
      </w:pPr>
      <w:r>
        <w:rPr>
          <w:b w:val="0"/>
          <w:i w:val="0"/>
          <w:sz w:val="21"/>
        </w:rPr>
        <w:t>Six items per the original checklist (1–6, with Item 6 comprising sub-items a–i). This revision addresses the complete section: Items 1–6.</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and stainless steel) and mounted via a U-bolt mounting plate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pPr>
        <w:spacing w:after="160"/>
      </w:pPr>
      <w:r>
        <w:rPr>
          <w:b w:val="0"/>
          <w:i w:val="0"/>
          <w:sz w:val="21"/>
        </w:rPr>
        <w:t>The current production power configuration is continuous 24 VDC, supplied via an AC/DC adapter connected to the site electrical supply. A portable battery power path (Li-ion 18650) remains under development (R&amp;D) and has not become a deployed production configuration.</w:t>
      </w:r>
    </w:p>
    <w:p>
      <w:pPr>
        <w:pStyle w:val="Heading2"/>
      </w:pPr>
      <w:r>
        <w:t>2.2 · Product Name, Model, and Specification List</w:t>
      </w:r>
    </w:p>
    <w:tbl>
      <w:tblPr>
        <w:tblStyle w:val="TableGrid"/>
        <w:tblW w:type="auto" w:w="0"/>
        <w:tblLook w:firstColumn="1" w:firstRow="1" w:lastColumn="0" w:lastRow="0" w:noHBand="0" w:noVBand="1" w:val="04A0"/>
      </w:tblPr>
      <w:tblGrid>
        <w:gridCol w:w="4873"/>
        <w:gridCol w:w="4873"/>
      </w:tblGrid>
      <w:tr>
        <w:tc>
          <w:tcPr>
            <w:tcW w:type="dxa" w:w="3168"/>
            <w:shd w:val="clear" w:color="auto" w:fill="EFEFEF"/>
          </w:tcPr>
          <w:p>
            <w:pPr>
              <w:spacing w:after="40"/>
            </w:pPr>
            <w:r>
              <w:rPr>
                <w:b/>
                <w:color w:val="4A4A4A"/>
                <w:sz w:val="19"/>
              </w:rPr>
              <w:t>Product name</w:t>
            </w:r>
          </w:p>
        </w:tc>
        <w:tc>
          <w:tcPr>
            <w:tcW w:type="dxa" w:w="6192"/>
          </w:tcPr>
          <w:p>
            <w:pPr>
              <w:spacing w:after="40"/>
            </w:pPr>
            <w:r>
              <w:rPr>
                <w:sz w:val="20"/>
              </w:rPr>
              <w:t>Gas Leak Detector (GLD) — Node Sensor</w:t>
            </w:r>
          </w:p>
        </w:tc>
      </w:tr>
      <w:tr>
        <w:tc>
          <w:tcPr>
            <w:tcW w:type="dxa" w:w="3168"/>
            <w:shd w:val="clear" w:color="auto" w:fill="EFEFEF"/>
          </w:tcPr>
          <w:p>
            <w:pPr>
              <w:spacing w:after="40"/>
            </w:pPr>
            <w:r>
              <w:rPr>
                <w:b/>
                <w:color w:val="4A4A4A"/>
                <w:sz w:val="19"/>
              </w:rPr>
              <w:t>Model / version</w:t>
            </w:r>
          </w:p>
        </w:tc>
        <w:tc>
          <w:tcPr>
            <w:tcW w:type="dxa" w:w="6192"/>
          </w:tcPr>
          <w:p>
            <w:pPr>
              <w:spacing w:after="40"/>
            </w:pPr>
            <w:r>
              <w:rPr>
                <w:sz w:val="20"/>
              </w:rPr>
              <w:t>GLD V2</w:t>
            </w:r>
          </w:p>
        </w:tc>
      </w:tr>
      <w:tr>
        <w:tc>
          <w:tcPr>
            <w:tcW w:type="dxa" w:w="3168"/>
            <w:shd w:val="clear" w:color="auto" w:fill="EFEFEF"/>
          </w:tcPr>
          <w:p>
            <w:pPr>
              <w:spacing w:after="40"/>
            </w:pPr>
            <w:r>
              <w:rPr>
                <w:b/>
                <w:color w:val="4A4A4A"/>
                <w:sz w:val="19"/>
              </w:rPr>
              <w:t>Manufacturer</w:t>
            </w:r>
          </w:p>
        </w:tc>
        <w:tc>
          <w:tcPr>
            <w:tcW w:type="dxa" w:w="6192"/>
          </w:tcPr>
          <w:p>
            <w:pPr>
              <w:spacing w:after="40"/>
            </w:pPr>
            <w:r>
              <w:rPr>
                <w:sz w:val="20"/>
              </w:rPr>
              <w:t>PT Galaksi Megatama Indonesia</w:t>
            </w:r>
          </w:p>
        </w:tc>
      </w:tr>
      <w:tr>
        <w:tc>
          <w:tcPr>
            <w:tcW w:type="dxa" w:w="3168"/>
            <w:shd w:val="clear" w:color="auto" w:fill="EFEFEF"/>
          </w:tcPr>
          <w:p>
            <w:pPr>
              <w:spacing w:after="40"/>
            </w:pPr>
            <w:r>
              <w:rPr>
                <w:b/>
                <w:color w:val="4A4A4A"/>
                <w:sz w:val="19"/>
              </w:rPr>
              <w:t>End client / program owner</w:t>
            </w:r>
          </w:p>
        </w:tc>
        <w:tc>
          <w:tcPr>
            <w:tcW w:type="dxa" w:w="6192"/>
          </w:tcPr>
          <w:p>
            <w:pPr>
              <w:spacing w:after="40"/>
            </w:pPr>
            <w:r>
              <w:rPr>
                <w:sz w:val="20"/>
              </w:rPr>
              <w:t>PT Pertamina Patra Niaga (initial deployment site: Refinery Unit IV, Cilacap)</w:t>
            </w:r>
          </w:p>
        </w:tc>
      </w:tr>
      <w:tr>
        <w:tc>
          <w:tcPr>
            <w:tcW w:type="dxa" w:w="3168"/>
            <w:shd w:val="clear" w:color="auto" w:fill="EFEFEF"/>
          </w:tcPr>
          <w:p>
            <w:pPr>
              <w:spacing w:after="40"/>
            </w:pPr>
            <w:r>
              <w:rPr>
                <w:b/>
                <w:color w:val="4A4A4A"/>
                <w:sz w:val="19"/>
              </w:rPr>
              <w:t>Primary function</w:t>
            </w:r>
          </w:p>
        </w:tc>
        <w:tc>
          <w:tcPr>
            <w:tcW w:type="dxa" w:w="6192"/>
          </w:tcPr>
          <w:p>
            <w:pPr>
              <w:spacing w:after="40"/>
            </w:pPr>
            <w:r>
              <w:rPr>
                <w:sz w:val="20"/>
              </w:rPr>
              <w:t>Acquisition of 8-channel gas sensor data and LoRa transmission</w:t>
            </w:r>
          </w:p>
        </w:tc>
      </w:tr>
      <w:tr>
        <w:tc>
          <w:tcPr>
            <w:tcW w:type="dxa" w:w="3168"/>
            <w:shd w:val="clear" w:color="auto" w:fill="EFEFEF"/>
          </w:tcPr>
          <w:p>
            <w:pPr>
              <w:spacing w:after="40"/>
            </w:pPr>
            <w:r>
              <w:rPr>
                <w:b/>
                <w:color w:val="4A4A4A"/>
                <w:sz w:val="19"/>
              </w:rPr>
              <w:t>Microcontroller</w:t>
            </w:r>
          </w:p>
        </w:tc>
        <w:tc>
          <w:tcPr>
            <w:tcW w:type="dxa" w:w="6192"/>
          </w:tcPr>
          <w:p>
            <w:pPr>
              <w:spacing w:after="40"/>
            </w:pPr>
            <w:r>
              <w:rPr>
                <w:sz w:val="20"/>
              </w:rPr>
              <w:t>ESP32-S3-WROOM-1U-N16R8</w:t>
            </w:r>
          </w:p>
        </w:tc>
      </w:tr>
      <w:tr>
        <w:tc>
          <w:tcPr>
            <w:tcW w:type="dxa" w:w="3168"/>
            <w:shd w:val="clear" w:color="auto" w:fill="EFEFEF"/>
          </w:tcPr>
          <w:p>
            <w:pPr>
              <w:spacing w:after="40"/>
            </w:pPr>
            <w:r>
              <w:rPr>
                <w:b/>
                <w:color w:val="4A4A4A"/>
                <w:sz w:val="19"/>
              </w:rPr>
              <w:t>LoRa radio module</w:t>
            </w:r>
          </w:p>
        </w:tc>
        <w:tc>
          <w:tcPr>
            <w:tcW w:type="dxa" w:w="6192"/>
          </w:tcPr>
          <w:p>
            <w:pPr>
              <w:spacing w:after="40"/>
            </w:pPr>
            <w:r>
              <w:rPr>
                <w:sz w:val="20"/>
              </w:rPr>
              <w:t>E22-900MM22S</w:t>
            </w:r>
          </w:p>
        </w:tc>
      </w:tr>
      <w:tr>
        <w:tc>
          <w:tcPr>
            <w:tcW w:type="dxa" w:w="3168"/>
            <w:shd w:val="clear" w:color="auto" w:fill="EFEFEF"/>
          </w:tcPr>
          <w:p>
            <w:pPr>
              <w:spacing w:after="40"/>
            </w:pPr>
            <w:r>
              <w:rPr>
                <w:b/>
                <w:color w:val="4A4A4A"/>
                <w:sz w:val="19"/>
              </w:rPr>
              <w:t>Dimensions (L×W×H)</w:t>
            </w:r>
          </w:p>
        </w:tc>
        <w:tc>
          <w:tcPr>
            <w:tcW w:type="dxa" w:w="6192"/>
          </w:tcPr>
          <w:p>
            <w:pPr>
              <w:spacing w:after="40"/>
            </w:pPr>
            <w:r>
              <w:rPr>
                <w:sz w:val="20"/>
              </w:rPr>
              <w:t>200 × 90 × 290 mm</w:t>
            </w:r>
          </w:p>
        </w:tc>
      </w:tr>
      <w:tr>
        <w:tc>
          <w:tcPr>
            <w:tcW w:type="dxa" w:w="3168"/>
            <w:shd w:val="clear" w:color="auto" w:fill="EFEFEF"/>
          </w:tcPr>
          <w:p>
            <w:pPr>
              <w:spacing w:after="40"/>
            </w:pPr>
            <w:r>
              <w:rPr>
                <w:b/>
                <w:color w:val="4A4A4A"/>
                <w:sz w:val="19"/>
              </w:rPr>
              <w:t>Enclosure material</w:t>
            </w:r>
          </w:p>
        </w:tc>
        <w:tc>
          <w:tcPr>
            <w:tcW w:type="dxa" w:w="6192"/>
          </w:tcPr>
          <w:p>
            <w:pPr>
              <w:spacing w:after="40"/>
            </w:pPr>
            <w:r>
              <w:rPr>
                <w:sz w:val="20"/>
              </w:rPr>
              <w:t>Aluminum alloy (ADC12 die-cast) + stainless steel</w:t>
            </w:r>
          </w:p>
        </w:tc>
      </w:tr>
    </w:tbl>
    <w:p>
      <w:pPr>
        <w:spacing w:after="120"/>
      </w:pPr>
    </w:p>
    <w:p>
      <w:pPr>
        <w:spacing w:after="160"/>
      </w:pPr>
      <w:r>
        <w:rPr>
          <w:b w:val="0"/>
          <w:i/>
          <w:color w:val="4A4A4A"/>
          <w:sz w:val="18"/>
        </w:rPr>
        <w:t>Source: official product technical datasheet (Revision 4.0), cross-referenced with internal technical specification documentation and EMC parameter measurement data.</w:t>
      </w:r>
    </w:p>
    <w:p>
      <w:pPr>
        <w:pStyle w:val="Heading2"/>
      </w:pPr>
      <w:r>
        <w:t>2.3 ·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unit itself, and a push notification transmitted over the LoRa network to the dashboard — the alarm-push pathway has been successfully tested on a campus mesh network (field validation at a production refinery installation is still pending).</w:t>
      </w:r>
    </w:p>
    <w:p>
      <w:pPr>
        <w:pStyle w:val="Heading3"/>
      </w:pPr>
      <w:r>
        <w:t>2.3.a · Electrical Parameters — Node Sensor (GLD)</w:t>
      </w:r>
    </w:p>
    <w:tbl>
      <w:tblPr>
        <w:tblStyle w:val="TableGrid"/>
        <w:tblW w:type="auto" w:w="0"/>
        <w:jc w:val="center"/>
        <w:tblLayout w:type="fixed"/>
        <w:tblLook w:firstColumn="1" w:firstRow="1" w:lastColumn="0" w:lastRow="0" w:noHBand="0" w:noVBand="1" w:val="04A0"/>
        <w:tblLayout w:type="fixed"/>
      </w:tblPr>
      <w:tblGrid>
        <w:gridCol w:w="2304"/>
        <w:gridCol w:w="2160"/>
        <w:gridCol w:w="1584"/>
        <w:gridCol w:w="3311"/>
      </w:tblGrid>
      <w:tr>
        <w:trPr>
          <w:tblHeader w:val="true"/>
        </w:trPr>
        <w:tc>
          <w:tcPr>
            <w:tcW w:type="dxa" w:w="2304"/>
            <w:shd w:val="clear" w:color="auto" w:fill="EFEFEF"/>
          </w:tcPr>
          <w:p>
            <w:pPr>
              <w:spacing w:after="40"/>
            </w:pPr>
            <w:r>
              <w:rPr>
                <w:b/>
                <w:color w:val="4A4A4A"/>
                <w:sz w:val="18"/>
              </w:rPr>
              <w:t>PARAMETER</w:t>
            </w:r>
          </w:p>
        </w:tc>
        <w:tc>
          <w:tcPr>
            <w:tcW w:type="dxa" w:w="2160"/>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312"/>
            <w:shd w:val="clear" w:color="auto" w:fill="EFEFEF"/>
          </w:tcPr>
          <w:p>
            <w:pPr>
              <w:spacing w:after="40"/>
            </w:pPr>
            <w:r>
              <w:rPr>
                <w:b/>
                <w:color w:val="4A4A4A"/>
                <w:sz w:val="18"/>
              </w:rPr>
              <w:t>REMARKS</w:t>
            </w:r>
          </w:p>
        </w:tc>
      </w:tr>
      <w:tr>
        <w:trPr>
          <w:cantSplit/>
        </w:trPr>
        <w:tc>
          <w:tcPr>
            <w:tcW w:type="dxa" w:w="2304"/>
          </w:tcPr>
          <w:p>
            <w:pPr>
              <w:spacing w:after="40"/>
            </w:pPr>
            <w:r>
              <w:rPr>
                <w:b/>
                <w:sz w:val="19"/>
              </w:rPr>
              <w:t>Main power input</w:t>
            </w:r>
          </w:p>
        </w:tc>
        <w:tc>
          <w:tcPr>
            <w:tcW w:type="dxa" w:w="2160"/>
          </w:tcPr>
          <w:p>
            <w:pPr>
              <w:spacing w:after="40"/>
            </w:pPr>
            <w:r>
              <w:rPr>
                <w:sz w:val="19"/>
              </w:rPr>
              <w:t>24 VDC</w:t>
            </w:r>
          </w:p>
        </w:tc>
        <w:tc>
          <w:tcPr>
            <w:tcW w:type="dxa" w:w="1584"/>
          </w:tcPr>
          <w:p>
            <w:pPr>
              <w:spacing w:after="40"/>
            </w:pPr>
            <w:r>
              <w:rPr>
                <w:b/>
                <w:color w:val="149174"/>
                <w:sz w:val="19"/>
              </w:rPr>
              <w:t>Final — production config.</w:t>
            </w:r>
          </w:p>
        </w:tc>
        <w:tc>
          <w:tcPr>
            <w:tcW w:type="dxa" w:w="3312"/>
          </w:tcPr>
          <w:p>
            <w:pPr>
              <w:spacing w:after="40"/>
            </w:pPr>
            <w:r>
              <w:rPr>
                <w:sz w:val="19"/>
              </w:rPr>
              <w:t>Continuous power supply from a site AC/DC adapter.</w:t>
            </w:r>
          </w:p>
        </w:tc>
      </w:tr>
      <w:tr>
        <w:trPr>
          <w:cantSplit/>
        </w:trPr>
        <w:tc>
          <w:tcPr>
            <w:tcW w:type="dxa" w:w="2304"/>
          </w:tcPr>
          <w:p>
            <w:pPr>
              <w:spacing w:after="40"/>
            </w:pPr>
            <w:r>
              <w:rPr>
                <w:b/>
                <w:sz w:val="19"/>
              </w:rPr>
              <w:t>AC/DC adapter input</w:t>
            </w:r>
          </w:p>
        </w:tc>
        <w:tc>
          <w:tcPr>
            <w:tcW w:type="dxa" w:w="2160"/>
          </w:tcPr>
          <w:p>
            <w:pPr>
              <w:spacing w:after="40"/>
            </w:pPr>
            <w:r>
              <w:rPr>
                <w:sz w:val="19"/>
              </w:rPr>
              <w:t>220 VAC, 50 Hz</w:t>
            </w:r>
          </w:p>
        </w:tc>
        <w:tc>
          <w:tcPr>
            <w:tcW w:type="dxa" w:w="1584"/>
          </w:tcPr>
          <w:p>
            <w:pPr>
              <w:spacing w:after="40"/>
            </w:pPr>
            <w:r>
              <w:rPr>
                <w:b/>
                <w:color w:val="149174"/>
                <w:sz w:val="19"/>
              </w:rPr>
              <w:t>Final</w:t>
            </w:r>
          </w:p>
        </w:tc>
        <w:tc>
          <w:tcPr>
            <w:tcW w:type="dxa" w:w="3312"/>
          </w:tcPr>
          <w:p>
            <w:pPr>
              <w:spacing w:after="40"/>
            </w:pPr>
            <w:r>
              <w:rPr>
                <w:sz w:val="19"/>
              </w:rPr>
              <w:t>Compliant with the Indonesian national electrical grid standard (PLN).</w:t>
            </w:r>
          </w:p>
        </w:tc>
      </w:tr>
      <w:tr>
        <w:trPr>
          <w:cantSplit/>
        </w:trPr>
        <w:tc>
          <w:tcPr>
            <w:tcW w:type="dxa" w:w="2304"/>
          </w:tcPr>
          <w:p>
            <w:pPr>
              <w:spacing w:after="40"/>
            </w:pPr>
            <w:r>
              <w:rPr>
                <w:b/>
                <w:sz w:val="19"/>
              </w:rPr>
              <w:t>AC/DC adapter output</w:t>
            </w:r>
          </w:p>
        </w:tc>
        <w:tc>
          <w:tcPr>
            <w:tcW w:type="dxa" w:w="2160"/>
          </w:tcPr>
          <w:p>
            <w:pPr>
              <w:spacing w:after="40"/>
            </w:pPr>
            <w:r>
              <w:rPr>
                <w:sz w:val="19"/>
              </w:rPr>
              <w:t>24 VDC</w:t>
            </w:r>
          </w:p>
        </w:tc>
        <w:tc>
          <w:tcPr>
            <w:tcW w:type="dxa" w:w="1584"/>
          </w:tcPr>
          <w:p>
            <w:pPr>
              <w:spacing w:after="40"/>
            </w:pPr>
            <w:r>
              <w:rPr>
                <w:b/>
                <w:color w:val="149174"/>
                <w:sz w:val="19"/>
              </w:rPr>
              <w:t>Final</w:t>
            </w:r>
          </w:p>
        </w:tc>
        <w:tc>
          <w:tcPr>
            <w:tcW w:type="dxa" w:w="3312"/>
          </w:tcPr>
          <w:p>
            <w:pPr>
              <w:spacing w:after="40"/>
            </w:pPr>
            <w:r>
              <w:rPr>
                <w:sz w:val="19"/>
              </w:rPr>
            </w:r>
          </w:p>
        </w:tc>
      </w:tr>
      <w:tr>
        <w:trPr>
          <w:cantSplit/>
        </w:trPr>
        <w:tc>
          <w:tcPr>
            <w:tcW w:type="dxa" w:w="2304"/>
          </w:tcPr>
          <w:p>
            <w:pPr>
              <w:spacing w:after="40"/>
            </w:pPr>
            <w:r>
              <w:rPr>
                <w:b/>
                <w:sz w:val="19"/>
              </w:rPr>
              <w:t>Internal operating voltage</w:t>
            </w:r>
          </w:p>
        </w:tc>
        <w:tc>
          <w:tcPr>
            <w:tcW w:type="dxa" w:w="2160"/>
          </w:tcPr>
          <w:p>
            <w:pPr>
              <w:spacing w:after="40"/>
            </w:pPr>
            <w:r>
              <w:rPr>
                <w:sz w:val="19"/>
              </w:rPr>
              <w:t>5 VDC &amp; 3.3 VDC</w:t>
            </w:r>
          </w:p>
        </w:tc>
        <w:tc>
          <w:tcPr>
            <w:tcW w:type="dxa" w:w="1584"/>
          </w:tcPr>
          <w:p>
            <w:pPr>
              <w:spacing w:after="40"/>
            </w:pPr>
            <w:r>
              <w:rPr>
                <w:b/>
                <w:color w:val="149174"/>
                <w:sz w:val="19"/>
              </w:rPr>
              <w:t>Final</w:t>
            </w:r>
          </w:p>
        </w:tc>
        <w:tc>
          <w:tcPr>
            <w:tcW w:type="dxa" w:w="3312"/>
          </w:tcPr>
          <w:p>
            <w:pPr>
              <w:spacing w:after="40"/>
            </w:pPr>
            <w:r>
              <w:rPr>
                <w:sz w:val="19"/>
              </w:rPr>
              <w:t>5 VDC for the MQ sensor/heater circuitry; 3.3 VDC for ESP32-S3 logic. Per-rail current not yet documented separately.</w:t>
            </w:r>
          </w:p>
        </w:tc>
      </w:tr>
      <w:tr>
        <w:trPr>
          <w:cantSplit/>
        </w:trPr>
        <w:tc>
          <w:tcPr>
            <w:tcW w:type="dxa" w:w="2304"/>
          </w:tcPr>
          <w:p>
            <w:pPr>
              <w:spacing w:after="40"/>
            </w:pPr>
            <w:r>
              <w:rPr>
                <w:b/>
                <w:sz w:val="19"/>
              </w:rPr>
              <w:t>Equipment boundary (mains exposure)</w:t>
            </w:r>
          </w:p>
        </w:tc>
        <w:tc>
          <w:tcPr>
            <w:tcW w:type="dxa" w:w="2160"/>
          </w:tcPr>
          <w:p>
            <w:pPr>
              <w:spacing w:after="40"/>
            </w:pPr>
            <w:r>
              <w:rPr>
                <w:sz w:val="19"/>
              </w:rPr>
              <w:t>None — 24 VDC only</w:t>
            </w:r>
          </w:p>
        </w:tc>
        <w:tc>
          <w:tcPr>
            <w:tcW w:type="dxa" w:w="1584"/>
          </w:tcPr>
          <w:p>
            <w:pPr>
              <w:spacing w:after="40"/>
            </w:pPr>
            <w:r>
              <w:rPr>
                <w:b/>
                <w:color w:val="149174"/>
                <w:sz w:val="19"/>
              </w:rPr>
              <w:t>Final</w:t>
            </w:r>
          </w:p>
        </w:tc>
        <w:tc>
          <w:tcPr>
            <w:tcW w:type="dxa" w:w="3312"/>
          </w:tcPr>
          <w:p>
            <w:pPr>
              <w:spacing w:after="40"/>
            </w:pPr>
            <w:r>
              <w:rPr>
                <w:sz w:val="19"/>
              </w:rPr>
              <w:t>The Node Sensor (GLD) itself receives only 24 VDC at its terminal and never carries 220 VAC internally. The AC/DC adapter (220 VAC/50 Hz → 24 VDC) is a separate, site-supplied device outside the physical boundary of the certified unit; its own installation location (e.g., relative to the hazardous-area zone) is a site electrical-design matter, not a parameter of this equipment.</w:t>
            </w:r>
          </w:p>
        </w:tc>
      </w:tr>
      <w:tr>
        <w:trPr>
          <w:cantSplit/>
        </w:trPr>
        <w:tc>
          <w:tcPr>
            <w:tcW w:type="dxa" w:w="2304"/>
          </w:tcPr>
          <w:p>
            <w:pPr>
              <w:spacing w:after="40"/>
            </w:pPr>
            <w:r>
              <w:rPr>
                <w:b/>
                <w:sz w:val="19"/>
              </w:rPr>
              <w:t>Maximum input current</w:t>
            </w:r>
          </w:p>
        </w:tc>
        <w:tc>
          <w:tcPr>
            <w:tcW w:type="dxa" w:w="2160"/>
          </w:tcPr>
          <w:p>
            <w:pPr>
              <w:spacing w:after="40"/>
            </w:pPr>
            <w:r>
              <w:rPr>
                <w:sz w:val="19"/>
              </w:rPr>
              <w:t>≈0.33 A @ 24 VDC</w:t>
            </w:r>
          </w:p>
        </w:tc>
        <w:tc>
          <w:tcPr>
            <w:tcW w:type="dxa" w:w="1584"/>
          </w:tcPr>
          <w:p>
            <w:pPr>
              <w:spacing w:after="40"/>
            </w:pPr>
            <w:r>
              <w:rPr>
                <w:b/>
                <w:color w:val="149174"/>
                <w:sz w:val="19"/>
              </w:rPr>
              <w:t>Calculated</w:t>
            </w:r>
          </w:p>
        </w:tc>
        <w:tc>
          <w:tcPr>
            <w:tcW w:type="dxa" w:w="3312"/>
          </w:tcPr>
          <w:p>
            <w:pPr>
              <w:spacing w:after="40"/>
            </w:pPr>
            <w:r>
              <w:rPr>
                <w:sz w:val="19"/>
              </w:rPr>
              <w:t>Calculated from measured maximum power consumption (7.995 W) divided by 24 VDC.</w:t>
            </w:r>
          </w:p>
        </w:tc>
      </w:tr>
      <w:tr>
        <w:trPr>
          <w:cantSplit/>
        </w:trPr>
        <w:tc>
          <w:tcPr>
            <w:tcW w:type="dxa" w:w="2304"/>
          </w:tcPr>
          <w:p>
            <w:pPr>
              <w:spacing w:after="40"/>
            </w:pPr>
            <w:r>
              <w:rPr>
                <w:b/>
                <w:sz w:val="19"/>
              </w:rPr>
              <w:t>Maximum power consumption</w:t>
            </w:r>
          </w:p>
        </w:tc>
        <w:tc>
          <w:tcPr>
            <w:tcW w:type="dxa" w:w="2160"/>
          </w:tcPr>
          <w:p>
            <w:pPr>
              <w:spacing w:after="40"/>
            </w:pPr>
            <w:r>
              <w:rPr>
                <w:sz w:val="19"/>
              </w:rPr>
              <w:t>7.995 W @ 24 VDC</w:t>
            </w:r>
          </w:p>
        </w:tc>
        <w:tc>
          <w:tcPr>
            <w:tcW w:type="dxa" w:w="1584"/>
          </w:tcPr>
          <w:p>
            <w:pPr>
              <w:spacing w:after="40"/>
            </w:pPr>
            <w:r>
              <w:rPr>
                <w:b/>
                <w:color w:val="149174"/>
                <w:sz w:val="19"/>
              </w:rPr>
              <w:t>Measured — production config.</w:t>
            </w:r>
          </w:p>
        </w:tc>
        <w:tc>
          <w:tcPr>
            <w:tcW w:type="dxa" w:w="3312"/>
          </w:tcPr>
          <w:p>
            <w:pPr>
              <w:spacing w:after="40"/>
            </w:pPr>
            <w:r>
              <w:rPr>
                <w:sz w:val="19"/>
              </w:rPr>
              <w:t>Applies to the continuous-power configuration. The battery (R&amp;D) configuration is recorded separately at 5.75 W — a different operating mode, not a data conflict.</w:t>
            </w:r>
          </w:p>
        </w:tc>
      </w:tr>
      <w:tr>
        <w:trPr>
          <w:cantSplit/>
        </w:trPr>
        <w:tc>
          <w:tcPr>
            <w:tcW w:type="dxa" w:w="2304"/>
          </w:tcPr>
          <w:p>
            <w:pPr>
              <w:spacing w:after="40"/>
            </w:pPr>
            <w:r>
              <w:rPr>
                <w:b/>
                <w:sz w:val="19"/>
              </w:rPr>
              <w:t>Electrical protection (fuse, reverse polarity, overvoltage, overcurrent)</w:t>
            </w:r>
          </w:p>
        </w:tc>
        <w:tc>
          <w:tcPr>
            <w:tcW w:type="dxa" w:w="2160"/>
          </w:tcPr>
          <w:p>
            <w:pPr>
              <w:spacing w:after="40"/>
            </w:pPr>
            <w:r>
              <w:rPr>
                <w:sz w:val="19"/>
              </w:rPr>
              <w:t>2× resettable PPTC fuse (F1/F2); TVS/ESD suppression diodes (D1, D4/D5/D11, D6); Schottky diodes (D7/D13, D8/D9, D12)</w:t>
            </w:r>
          </w:p>
        </w:tc>
        <w:tc>
          <w:tcPr>
            <w:tcW w:type="dxa" w:w="1584"/>
          </w:tcPr>
          <w:p>
            <w:pPr>
              <w:spacing w:after="40"/>
            </w:pPr>
            <w:r>
              <w:rPr>
                <w:b/>
                <w:color w:val="B56A1E"/>
                <w:sz w:val="19"/>
              </w:rPr>
              <w:t>Partially available — component-level evidence</w:t>
            </w:r>
          </w:p>
        </w:tc>
        <w:tc>
          <w:tcPr>
            <w:tcW w:type="dxa" w:w="3312"/>
          </w:tcPr>
          <w:p>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The rail and circuit role of each device are now tabulated from the released schematic (Section 2.6.a.7). Two points remain to be confirmed there: the voltage rating of F1/F2 on the 24 V line, and whether the input P-channel MOSFETs are intended to provide reverse-polarity protection.</w:t>
            </w:r>
          </w:p>
        </w:tc>
      </w:tr>
    </w:tbl>
    <w:p>
      <w:pPr>
        <w:spacing w:after="40"/>
      </w:pPr>
    </w:p>
    <w:p>
      <w:pPr>
        <w:pStyle w:val="Heading3"/>
      </w:pPr>
      <w:r>
        <w:t>2.3.b · Sensor and Communication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448"/>
        <w:gridCol w:w="1584"/>
        <w:gridCol w:w="3168"/>
      </w:tblGrid>
      <w:tr>
        <w:trPr>
          <w:tblHeader w:val="true"/>
        </w:trPr>
        <w:tc>
          <w:tcPr>
            <w:tcW w:type="dxa" w:w="2160"/>
            <w:shd w:val="clear" w:color="auto" w:fill="EFEFEF"/>
          </w:tcPr>
          <w:p>
            <w:pPr>
              <w:spacing w:after="40"/>
            </w:pPr>
            <w:r>
              <w:rPr>
                <w:b/>
                <w:color w:val="4A4A4A"/>
                <w:sz w:val="18"/>
              </w:rPr>
              <w:t>PARAMETER</w:t>
            </w:r>
          </w:p>
        </w:tc>
        <w:tc>
          <w:tcPr>
            <w:tcW w:type="dxa" w:w="2448"/>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168"/>
            <w:shd w:val="clear" w:color="auto" w:fill="EFEFEF"/>
          </w:tcPr>
          <w:p>
            <w:pPr>
              <w:spacing w:after="40"/>
            </w:pPr>
            <w:r>
              <w:rPr>
                <w:b/>
                <w:color w:val="4A4A4A"/>
                <w:sz w:val="18"/>
              </w:rPr>
              <w:t>REMARKS</w:t>
            </w:r>
          </w:p>
        </w:tc>
      </w:tr>
      <w:tr>
        <w:trPr>
          <w:cantSplit/>
        </w:trPr>
        <w:tc>
          <w:tcPr>
            <w:tcW w:type="dxa" w:w="2160"/>
          </w:tcPr>
          <w:p>
            <w:pPr>
              <w:spacing w:after="40"/>
            </w:pPr>
            <w:r>
              <w:rPr>
                <w:b/>
                <w:sz w:val="19"/>
              </w:rPr>
              <w:t>Gas sensors</w:t>
            </w:r>
          </w:p>
        </w:tc>
        <w:tc>
          <w:tcPr>
            <w:tcW w:type="dxa" w:w="2448"/>
          </w:tcPr>
          <w:p>
            <w:pPr>
              <w:spacing w:after="40"/>
            </w:pPr>
            <w:r>
              <w:rPr>
                <w:sz w:val="19"/>
              </w:rPr>
              <w:t>MQ-2, MQ-3B, MQ-4, MQ-5, MQ-6, MQ-7B, MQ-8, MQ-135 (8 channels)</w:t>
            </w:r>
          </w:p>
        </w:tc>
        <w:tc>
          <w:tcPr>
            <w:tcW w:type="dxa" w:w="1584"/>
          </w:tcPr>
          <w:p>
            <w:pPr>
              <w:spacing w:after="40"/>
            </w:pPr>
            <w:r>
              <w:rPr>
                <w:b/>
                <w:color w:val="149174"/>
                <w:sz w:val="19"/>
              </w:rPr>
              <w:t>Final</w:t>
            </w:r>
          </w:p>
        </w:tc>
        <w:tc>
          <w:tcPr>
            <w:tcW w:type="dxa" w:w="3168"/>
          </w:tcPr>
          <w:p>
            <w:pPr>
              <w:spacing w:after="40"/>
            </w:pPr>
            <w:r>
              <w:rPr>
                <w:sz w:val="19"/>
              </w:rPr>
              <w:t>Metal-oxide semiconductor sensors; sensing element directly exposed to ambient air.</w:t>
            </w:r>
          </w:p>
        </w:tc>
      </w:tr>
      <w:tr>
        <w:trPr>
          <w:cantSplit/>
        </w:trPr>
        <w:tc>
          <w:tcPr>
            <w:tcW w:type="dxa" w:w="2160"/>
          </w:tcPr>
          <w:p>
            <w:pPr>
              <w:spacing w:after="40"/>
            </w:pPr>
            <w:r>
              <w:rPr>
                <w:b/>
                <w:sz w:val="19"/>
              </w:rPr>
              <w:t>AI gas-classification model</w:t>
            </w:r>
          </w:p>
        </w:tc>
        <w:tc>
          <w:tcPr>
            <w:tcW w:type="dxa" w:w="2448"/>
          </w:tcPr>
          <w:p>
            <w:pPr>
              <w:spacing w:after="40"/>
            </w:pPr>
            <w:r>
              <w:rPr>
                <w:sz w:val="19"/>
              </w:rPr>
              <w:t>On-device classifier — 3 classes: Clean Air, LPG, H₂</w:t>
            </w:r>
          </w:p>
        </w:tc>
        <w:tc>
          <w:tcPr>
            <w:tcW w:type="dxa" w:w="1584"/>
          </w:tcPr>
          <w:p>
            <w:pPr>
              <w:spacing w:after="40"/>
            </w:pPr>
            <w:r>
              <w:rPr>
                <w:b/>
                <w:color w:val="149174"/>
                <w:sz w:val="19"/>
              </w:rPr>
              <w:t>Final</w:t>
            </w:r>
          </w:p>
        </w:tc>
        <w:tc>
          <w:tcPr>
            <w:tcW w:type="dxa" w:w="3168"/>
          </w:tcPr>
          <w:p>
            <w:pPr>
              <w:spacing w:after="40"/>
            </w:pPr>
            <w:r>
              <w:rPr>
                <w:sz w:val="19"/>
              </w:rPr>
              <w:t>Runs locally on the ESP32-S3 (Running/Inference mode); outputs a class label and a confidence value. Does not yet cover CO₂, Benzene, CO, or H₂S.</w:t>
            </w:r>
          </w:p>
        </w:tc>
      </w:tr>
      <w:tr>
        <w:trPr>
          <w:cantSplit/>
        </w:trPr>
        <w:tc>
          <w:tcPr>
            <w:tcW w:type="dxa" w:w="2160"/>
          </w:tcPr>
          <w:p>
            <w:pPr>
              <w:spacing w:after="40"/>
            </w:pPr>
            <w:r>
              <w:rPr>
                <w:b/>
                <w:sz w:val="19"/>
              </w:rPr>
              <w:t>Environmental sensor (temperature/humidity)</w:t>
            </w:r>
          </w:p>
        </w:tc>
        <w:tc>
          <w:tcPr>
            <w:tcW w:type="dxa" w:w="2448"/>
          </w:tcPr>
          <w:p>
            <w:pPr>
              <w:spacing w:after="40"/>
            </w:pPr>
            <w:r>
              <w:rPr>
                <w:sz w:val="19"/>
              </w:rPr>
              <w:t>SHT40-AD1B-R2 (I2C)</w:t>
            </w:r>
          </w:p>
        </w:tc>
        <w:tc>
          <w:tcPr>
            <w:tcW w:type="dxa" w:w="1584"/>
          </w:tcPr>
          <w:p>
            <w:pPr>
              <w:spacing w:after="40"/>
            </w:pPr>
            <w:r>
              <w:rPr>
                <w:b/>
                <w:color w:val="149174"/>
                <w:sz w:val="19"/>
              </w:rPr>
              <w:t>Final</w:t>
            </w:r>
          </w:p>
        </w:tc>
        <w:tc>
          <w:tcPr>
            <w:tcW w:type="dxa" w:w="3168"/>
          </w:tcPr>
          <w:p>
            <w:pPr>
              <w:spacing w:after="40"/>
            </w:pPr>
            <w:r>
              <w:rPr>
                <w:sz w:val="19"/>
              </w:rPr>
              <w:t>Auxiliary temperature/humidity input included in the primary hardware design; values are available for status/telemetry.</w:t>
            </w:r>
          </w:p>
        </w:tc>
      </w:tr>
      <w:tr>
        <w:trPr>
          <w:cantSplit/>
        </w:trPr>
        <w:tc>
          <w:tcPr>
            <w:tcW w:type="dxa" w:w="2160"/>
          </w:tcPr>
          <w:p>
            <w:pPr>
              <w:spacing w:after="40"/>
            </w:pPr>
            <w:r>
              <w:rPr>
                <w:b/>
                <w:sz w:val="19"/>
              </w:rPr>
              <w:t>Analog-to-digital converter</w:t>
            </w:r>
          </w:p>
        </w:tc>
        <w:tc>
          <w:tcPr>
            <w:tcW w:type="dxa" w:w="2448"/>
          </w:tcPr>
          <w:p>
            <w:pPr>
              <w:spacing w:after="40"/>
            </w:pPr>
            <w:r>
              <w:rPr>
                <w:sz w:val="19"/>
              </w:rPr>
              <w:t>ADS1256IDBR</w:t>
            </w:r>
          </w:p>
        </w:tc>
        <w:tc>
          <w:tcPr>
            <w:tcW w:type="dxa" w:w="1584"/>
          </w:tcPr>
          <w:p>
            <w:pPr>
              <w:spacing w:after="40"/>
            </w:pPr>
            <w:r>
              <w:rPr>
                <w:b/>
                <w:color w:val="149174"/>
                <w:sz w:val="19"/>
              </w:rPr>
              <w:t>Final</w:t>
            </w:r>
          </w:p>
        </w:tc>
        <w:tc>
          <w:tcPr>
            <w:tcW w:type="dxa" w:w="3168"/>
          </w:tcPr>
          <w:p>
            <w:pPr>
              <w:spacing w:after="40"/>
            </w:pPr>
            <w:r>
              <w:rPr>
                <w:sz w:val="19"/>
              </w:rPr>
              <w:t>24-bit multi-channel analog acquisition for the 8 sensor channels; 30,000 SPS, firmware SPI clock 1.92 MHz.</w:t>
            </w:r>
          </w:p>
        </w:tc>
      </w:tr>
      <w:tr>
        <w:trPr>
          <w:cantSplit/>
        </w:trPr>
        <w:tc>
          <w:tcPr>
            <w:tcW w:type="dxa" w:w="2160"/>
          </w:tcPr>
          <w:p>
            <w:pPr>
              <w:spacing w:after="40"/>
            </w:pPr>
            <w:r>
              <w:rPr>
                <w:b/>
                <w:sz w:val="19"/>
              </w:rPr>
              <w:t>Processing unit</w:t>
            </w:r>
          </w:p>
        </w:tc>
        <w:tc>
          <w:tcPr>
            <w:tcW w:type="dxa" w:w="2448"/>
          </w:tcPr>
          <w:p>
            <w:pPr>
              <w:spacing w:after="40"/>
            </w:pPr>
            <w:r>
              <w:rPr>
                <w:sz w:val="19"/>
              </w:rPr>
              <w:t>ESP32-S3-WROOM-1U-N16R8</w:t>
            </w:r>
          </w:p>
        </w:tc>
        <w:tc>
          <w:tcPr>
            <w:tcW w:type="dxa" w:w="1584"/>
          </w:tcPr>
          <w:p>
            <w:pPr>
              <w:spacing w:after="40"/>
            </w:pPr>
            <w:r>
              <w:rPr>
                <w:b/>
                <w:color w:val="149174"/>
                <w:sz w:val="19"/>
              </w:rPr>
              <w:t>Final</w:t>
            </w:r>
          </w:p>
        </w:tc>
        <w:tc>
          <w:tcPr>
            <w:tcW w:type="dxa" w:w="3168"/>
          </w:tcPr>
          <w:p>
            <w:pPr>
              <w:spacing w:after="40"/>
            </w:pPr>
            <w:r>
              <w:rPr>
                <w:sz w:val="19"/>
              </w:rPr>
              <w:t>Certified under FCC (2AC7Z-ESPS3WROOM1U), TELEC, and CE (per Espressif data) — RF/EMC certifications, not an “Ex component” certification.</w:t>
            </w:r>
          </w:p>
        </w:tc>
      </w:tr>
      <w:tr>
        <w:trPr>
          <w:cantSplit/>
        </w:trPr>
        <w:tc>
          <w:tcPr>
            <w:tcW w:type="dxa" w:w="2160"/>
          </w:tcPr>
          <w:p>
            <w:pPr>
              <w:spacing w:after="40"/>
            </w:pPr>
            <w:r>
              <w:rPr>
                <w:b/>
                <w:sz w:val="19"/>
              </w:rPr>
              <w:t>Communication module</w:t>
            </w:r>
          </w:p>
        </w:tc>
        <w:tc>
          <w:tcPr>
            <w:tcW w:type="dxa" w:w="2448"/>
          </w:tcPr>
          <w:p>
            <w:pPr>
              <w:spacing w:after="40"/>
            </w:pPr>
            <w:r>
              <w:rPr>
                <w:sz w:val="19"/>
              </w:rPr>
              <w:t>LoRa, E22-900MM22S module</w:t>
            </w:r>
          </w:p>
        </w:tc>
        <w:tc>
          <w:tcPr>
            <w:tcW w:type="dxa" w:w="1584"/>
          </w:tcPr>
          <w:p>
            <w:pPr>
              <w:spacing w:after="40"/>
            </w:pPr>
            <w:r>
              <w:rPr>
                <w:b/>
                <w:color w:val="149174"/>
                <w:sz w:val="19"/>
              </w:rPr>
              <w:t>Final</w:t>
            </w:r>
          </w:p>
        </w:tc>
        <w:tc>
          <w:tcPr>
            <w:tcW w:type="dxa" w:w="3168"/>
          </w:tcPr>
          <w:p>
            <w:pPr>
              <w:spacing w:after="40"/>
            </w:pPr>
            <w:r>
              <w:rPr>
                <w:sz w:val="19"/>
              </w:rPr>
              <w:t>Certified under CE, FCC, and RoHS (per Ebyte data) — RF/EMC certifications, not an “Ex component” certification.</w:t>
            </w:r>
          </w:p>
        </w:tc>
      </w:tr>
      <w:tr>
        <w:trPr>
          <w:cantSplit/>
        </w:trPr>
        <w:tc>
          <w:tcPr>
            <w:tcW w:type="dxa" w:w="2160"/>
          </w:tcPr>
          <w:p>
            <w:pPr>
              <w:spacing w:after="40"/>
            </w:pPr>
            <w:r>
              <w:rPr>
                <w:b/>
                <w:sz w:val="19"/>
              </w:rPr>
              <w:t>Operating frequency</w:t>
            </w:r>
          </w:p>
        </w:tc>
        <w:tc>
          <w:tcPr>
            <w:tcW w:type="dxa" w:w="2448"/>
          </w:tcPr>
          <w:p>
            <w:pPr>
              <w:spacing w:after="40"/>
            </w:pPr>
            <w:r>
              <w:rPr>
                <w:sz w:val="19"/>
              </w:rPr>
              <w:t>920 MHz</w:t>
            </w:r>
          </w:p>
        </w:tc>
        <w:tc>
          <w:tcPr>
            <w:tcW w:type="dxa" w:w="1584"/>
          </w:tcPr>
          <w:p>
            <w:pPr>
              <w:spacing w:after="40"/>
            </w:pPr>
            <w:r>
              <w:rPr>
                <w:b/>
                <w:color w:val="149174"/>
                <w:sz w:val="19"/>
              </w:rPr>
              <w:t>Final</w:t>
            </w:r>
          </w:p>
        </w:tc>
        <w:tc>
          <w:tcPr>
            <w:tcW w:type="dxa" w:w="3168"/>
          </w:tcPr>
          <w:p>
            <w:pPr>
              <w:spacing w:after="40"/>
            </w:pPr>
            <w:r>
              <w:rPr>
                <w:sz w:val="19"/>
              </w:rPr>
              <w:t>Star-topology transmission; within the regional 920–923 MHz ISM band (Indonesia).</w:t>
            </w:r>
          </w:p>
        </w:tc>
      </w:tr>
      <w:tr>
        <w:trPr>
          <w:cantSplit/>
        </w:trPr>
        <w:tc>
          <w:tcPr>
            <w:tcW w:type="dxa" w:w="2160"/>
          </w:tcPr>
          <w:p>
            <w:pPr>
              <w:spacing w:after="40"/>
            </w:pPr>
            <w:r>
              <w:rPr>
                <w:b/>
                <w:sz w:val="19"/>
              </w:rPr>
              <w:t>Transmit power (firmware configuration)</w:t>
            </w:r>
          </w:p>
        </w:tc>
        <w:tc>
          <w:tcPr>
            <w:tcW w:type="dxa" w:w="2448"/>
          </w:tcPr>
          <w:p>
            <w:pPr>
              <w:spacing w:after="40"/>
            </w:pPr>
            <w:r>
              <w:rPr>
                <w:sz w:val="19"/>
              </w:rPr>
              <w:t>17 dBm</w:t>
            </w:r>
          </w:p>
        </w:tc>
        <w:tc>
          <w:tcPr>
            <w:tcW w:type="dxa" w:w="1584"/>
          </w:tcPr>
          <w:p>
            <w:pPr>
              <w:spacing w:after="40"/>
            </w:pPr>
            <w:r>
              <w:rPr>
                <w:b/>
                <w:color w:val="149174"/>
                <w:sz w:val="19"/>
              </w:rPr>
              <w:t>Final</w:t>
            </w:r>
          </w:p>
        </w:tc>
        <w:tc>
          <w:tcPr>
            <w:tcW w:type="dxa" w:w="3168"/>
          </w:tcPr>
          <w:p>
            <w:pPr>
              <w:spacing w:after="40"/>
            </w:pPr>
            <w:r>
              <w:rPr>
                <w:sz w:val="19"/>
              </w:rPr>
              <w:t>The radio module supports up to 22 dBm — 17 dBm is an operational configuration, not the module's maximum limit.</w:t>
            </w:r>
          </w:p>
        </w:tc>
      </w:tr>
      <w:tr>
        <w:trPr>
          <w:cantSplit/>
        </w:trPr>
        <w:tc>
          <w:tcPr>
            <w:tcW w:type="dxa" w:w="2160"/>
          </w:tcPr>
          <w:p>
            <w:pPr>
              <w:spacing w:after="40"/>
            </w:pPr>
            <w:r>
              <w:rPr>
                <w:b/>
                <w:sz w:val="19"/>
              </w:rPr>
              <w:t>Bandwidth / spreading factor / coding rate</w:t>
            </w:r>
          </w:p>
        </w:tc>
        <w:tc>
          <w:tcPr>
            <w:tcW w:type="dxa" w:w="2448"/>
          </w:tcPr>
          <w:p>
            <w:pPr>
              <w:spacing w:after="40"/>
            </w:pPr>
            <w:r>
              <w:rPr>
                <w:sz w:val="19"/>
              </w:rPr>
              <w:t>125 kHz / SF7 / CR 4/5</w:t>
            </w:r>
          </w:p>
        </w:tc>
        <w:tc>
          <w:tcPr>
            <w:tcW w:type="dxa" w:w="1584"/>
          </w:tcPr>
          <w:p>
            <w:pPr>
              <w:spacing w:after="40"/>
            </w:pPr>
            <w:r>
              <w:rPr>
                <w:b/>
                <w:color w:val="149174"/>
                <w:sz w:val="19"/>
              </w:rPr>
              <w:t>Final</w:t>
            </w:r>
          </w:p>
        </w:tc>
        <w:tc>
          <w:tcPr>
            <w:tcW w:type="dxa" w:w="3168"/>
          </w:tcPr>
          <w:p>
            <w:pPr>
              <w:spacing w:after="40"/>
            </w:pPr>
            <w:r>
              <w:rPr>
                <w:sz w:val="19"/>
              </w:rPr>
              <w:t>Source: EMC parameter table and official product technical datasheet.</w:t>
            </w:r>
          </w:p>
        </w:tc>
      </w:tr>
      <w:tr>
        <w:trPr>
          <w:cantSplit/>
        </w:trPr>
        <w:tc>
          <w:tcPr>
            <w:tcW w:type="dxa" w:w="2160"/>
          </w:tcPr>
          <w:p>
            <w:pPr>
              <w:spacing w:after="40"/>
            </w:pPr>
            <w:r>
              <w:rPr>
                <w:b/>
                <w:sz w:val="19"/>
              </w:rPr>
              <w:t>Antenna</w:t>
            </w:r>
          </w:p>
        </w:tc>
        <w:tc>
          <w:tcPr>
            <w:tcW w:type="dxa" w:w="2448"/>
          </w:tcPr>
          <w:p>
            <w:pPr>
              <w:spacing w:after="40"/>
            </w:pPr>
            <w:r>
              <w:rPr>
                <w:sz w:val="19"/>
              </w:rPr>
              <w:t>External, omnidirectional, SMA male connector, 3 dBi gain</w:t>
            </w:r>
          </w:p>
        </w:tc>
        <w:tc>
          <w:tcPr>
            <w:tcW w:type="dxa" w:w="1584"/>
          </w:tcPr>
          <w:p>
            <w:pPr>
              <w:spacing w:after="40"/>
            </w:pPr>
            <w:r>
              <w:rPr>
                <w:b/>
                <w:color w:val="149174"/>
                <w:sz w:val="19"/>
              </w:rPr>
              <w:t>Final</w:t>
            </w:r>
          </w:p>
        </w:tc>
        <w:tc>
          <w:tcPr>
            <w:tcW w:type="dxa" w:w="3168"/>
          </w:tcPr>
          <w:p>
            <w:pPr>
              <w:spacing w:after="40"/>
            </w:pPr>
            <w:r>
              <w:rPr>
                <w:sz w:val="19"/>
              </w:rPr>
              <w:t>On some units, the 2.4 GHz Wi-Fi antenna remains inside the enclosure and must be relocated externally.</w:t>
            </w:r>
          </w:p>
        </w:tc>
      </w:tr>
      <w:tr>
        <w:trPr>
          <w:cantSplit/>
        </w:trPr>
        <w:tc>
          <w:tcPr>
            <w:tcW w:type="dxa" w:w="2160"/>
          </w:tcPr>
          <w:p>
            <w:pPr>
              <w:spacing w:after="40"/>
            </w:pPr>
            <w:r>
              <w:rPr>
                <w:b/>
                <w:sz w:val="19"/>
              </w:rPr>
              <w:t>Data transmission interval</w:t>
            </w:r>
          </w:p>
        </w:tc>
        <w:tc>
          <w:tcPr>
            <w:tcW w:type="dxa" w:w="2448"/>
          </w:tcPr>
          <w:p>
            <w:pPr>
              <w:spacing w:after="40"/>
            </w:pPr>
            <w:r>
              <w:rPr>
                <w:sz w:val="19"/>
              </w:rPr>
              <w:t>Configurable, default 10 seconds</w:t>
            </w:r>
          </w:p>
        </w:tc>
        <w:tc>
          <w:tcPr>
            <w:tcW w:type="dxa" w:w="1584"/>
          </w:tcPr>
          <w:p>
            <w:pPr>
              <w:spacing w:after="40"/>
            </w:pPr>
            <w:r>
              <w:rPr>
                <w:b/>
                <w:color w:val="149174"/>
                <w:sz w:val="19"/>
              </w:rPr>
              <w:t>Final</w:t>
            </w:r>
          </w:p>
        </w:tc>
        <w:tc>
          <w:tcPr>
            <w:tcW w:type="dxa" w:w="3168"/>
          </w:tcPr>
          <w:p>
            <w:pPr>
              <w:spacing w:after="40"/>
            </w:pPr>
            <w:r>
              <w:rPr>
                <w:sz w:val="19"/>
              </w:rPr>
              <w:t>Alarm events are transmitted immediately, independent of the periodic interval.</w:t>
            </w:r>
          </w:p>
        </w:tc>
      </w:tr>
      <w:tr>
        <w:trPr>
          <w:cantSplit/>
        </w:trPr>
        <w:tc>
          <w:tcPr>
            <w:tcW w:type="dxa" w:w="2160"/>
          </w:tcPr>
          <w:p>
            <w:pPr>
              <w:spacing w:after="40"/>
            </w:pPr>
            <w:r>
              <w:rPr>
                <w:b/>
                <w:sz w:val="19"/>
              </w:rPr>
              <w:t>Other interfaces</w:t>
            </w:r>
          </w:p>
        </w:tc>
        <w:tc>
          <w:tcPr>
            <w:tcW w:type="dxa" w:w="2448"/>
          </w:tcPr>
          <w:p>
            <w:pPr>
              <w:spacing w:after="40"/>
            </w:pPr>
            <w:r>
              <w:rPr>
                <w:sz w:val="19"/>
              </w:rPr>
              <w:t>SPI, LoRa</w:t>
            </w:r>
          </w:p>
        </w:tc>
        <w:tc>
          <w:tcPr>
            <w:tcW w:type="dxa" w:w="1584"/>
          </w:tcPr>
          <w:p>
            <w:pPr>
              <w:spacing w:after="40"/>
            </w:pPr>
            <w:r>
              <w:rPr>
                <w:b/>
                <w:color w:val="149174"/>
                <w:sz w:val="19"/>
              </w:rPr>
              <w:t>Final</w:t>
            </w:r>
          </w:p>
        </w:tc>
        <w:tc>
          <w:tcPr>
            <w:tcW w:type="dxa" w:w="3168"/>
          </w:tcPr>
          <w:p>
            <w:pPr>
              <w:spacing w:after="40"/>
            </w:pPr>
            <w:r>
              <w:rPr>
                <w:sz w:val="19"/>
              </w:rPr>
              <w:t>External ports/connectors: USB, sensor, power, fan, antenna, alarm buzzer.</w:t>
            </w:r>
          </w:p>
        </w:tc>
      </w:tr>
      <w:tr>
        <w:trPr>
          <w:cantSplit/>
        </w:trPr>
        <w:tc>
          <w:tcPr>
            <w:tcW w:type="dxa" w:w="2160"/>
          </w:tcPr>
          <w:p>
            <w:pPr>
              <w:spacing w:after="40"/>
            </w:pPr>
            <w:r>
              <w:rPr>
                <w:b/>
                <w:sz w:val="19"/>
              </w:rPr>
              <w:t>RS-485 / Modbus interface</w:t>
            </w:r>
          </w:p>
        </w:tc>
        <w:tc>
          <w:tcPr>
            <w:tcW w:type="dxa" w:w="2448"/>
          </w:tcPr>
          <w:p>
            <w:pPr>
              <w:spacing w:after="40"/>
            </w:pPr>
            <w:r>
              <w:rPr>
                <w:sz w:val="19"/>
              </w:rPr>
              <w:t>Read-only Modbus RTU slave, 9600 bit/s 8N1, Unit ID 1 (THVD1410DR transceiver)</w:t>
            </w:r>
          </w:p>
        </w:tc>
        <w:tc>
          <w:tcPr>
            <w:tcW w:type="dxa" w:w="1584"/>
          </w:tcPr>
          <w:p>
            <w:pPr>
              <w:spacing w:after="40"/>
            </w:pPr>
            <w:r>
              <w:rPr>
                <w:b/>
                <w:color w:val="149174"/>
                <w:sz w:val="19"/>
              </w:rPr>
              <w:t>Final</w:t>
            </w:r>
          </w:p>
        </w:tc>
        <w:tc>
          <w:tcPr>
            <w:tcW w:type="dxa" w:w="3168"/>
          </w:tcPr>
          <w:p>
            <w:pPr>
              <w:spacing w:after="40"/>
            </w:pPr>
            <w:r>
              <w:rPr>
                <w:sz w:val="19"/>
              </w:rPr>
              <w:t>Provides 8 read-only registers (device status word, classification result, confidence, battery voltage, power source, external power, LoRa transmission counter, node ID); not used for product control.</w:t>
            </w:r>
          </w:p>
        </w:tc>
      </w:tr>
    </w:tbl>
    <w:p>
      <w:pPr>
        <w:spacing w:after="40"/>
      </w:pPr>
    </w:p>
    <w:p>
      <w:pPr>
        <w:pStyle w:val="Heading3"/>
      </w:pPr>
      <w:r>
        <w:t>2.3.c · Mechanical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736"/>
        <w:gridCol w:w="1584"/>
        <w:gridCol w:w="2880"/>
      </w:tblGrid>
      <w:tr>
        <w:trPr>
          <w:tblHeader w:val="true"/>
        </w:trPr>
        <w:tc>
          <w:tcPr>
            <w:tcW w:type="dxa" w:w="2160"/>
            <w:shd w:val="clear" w:color="auto" w:fill="EFEFEF"/>
          </w:tcPr>
          <w:p>
            <w:pPr>
              <w:spacing w:after="40"/>
            </w:pPr>
            <w:r>
              <w:rPr>
                <w:b/>
                <w:color w:val="4A4A4A"/>
                <w:sz w:val="18"/>
              </w:rPr>
              <w:t>PARAMETER</w:t>
            </w:r>
          </w:p>
        </w:tc>
        <w:tc>
          <w:tcPr>
            <w:tcW w:type="dxa" w:w="2736"/>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REMARKS</w:t>
            </w:r>
          </w:p>
        </w:tc>
      </w:tr>
      <w:tr>
        <w:trPr>
          <w:cantSplit/>
        </w:trPr>
        <w:tc>
          <w:tcPr>
            <w:tcW w:type="dxa" w:w="2160"/>
          </w:tcPr>
          <w:p>
            <w:pPr>
              <w:spacing w:after="40"/>
            </w:pPr>
            <w:r>
              <w:rPr>
                <w:b/>
                <w:sz w:val="19"/>
              </w:rPr>
              <w:t>Enclosure material</w:t>
            </w:r>
          </w:p>
        </w:tc>
        <w:tc>
          <w:tcPr>
            <w:tcW w:type="dxa" w:w="2736"/>
          </w:tcPr>
          <w:p>
            <w:pPr>
              <w:spacing w:after="40"/>
            </w:pPr>
            <w:r>
              <w:rPr>
                <w:sz w:val="19"/>
              </w:rPr>
              <w:t>Aluminum alloy (ADC12 die-cast) + stainless steel</w:t>
            </w:r>
          </w:p>
        </w:tc>
        <w:tc>
          <w:tcPr>
            <w:tcW w:type="dxa" w:w="1584"/>
          </w:tcPr>
          <w:p>
            <w:pPr>
              <w:spacing w:after="40"/>
            </w:pPr>
            <w:r>
              <w:rPr>
                <w:b/>
                <w:color w:val="149174"/>
                <w:sz w:val="19"/>
              </w:rPr>
              <w:t>Final</w:t>
            </w:r>
          </w:p>
        </w:tc>
        <w:tc>
          <w:tcPr>
            <w:tcW w:type="dxa" w:w="2880"/>
          </w:tcPr>
          <w:p>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main enclosure drawing, and should be verified against the casing partner's own datasheet for the enclosure body before formal ExCB submission.</w:t>
            </w:r>
          </w:p>
        </w:tc>
      </w:tr>
      <w:tr>
        <w:trPr>
          <w:cantSplit/>
        </w:trPr>
        <w:tc>
          <w:tcPr>
            <w:tcW w:type="dxa" w:w="2160"/>
          </w:tcPr>
          <w:p>
            <w:pPr>
              <w:spacing w:after="40"/>
            </w:pPr>
            <w:r>
              <w:rPr>
                <w:b/>
                <w:sz w:val="19"/>
              </w:rPr>
              <w:t>Dimensions (L × W × H)</w:t>
            </w:r>
          </w:p>
        </w:tc>
        <w:tc>
          <w:tcPr>
            <w:tcW w:type="dxa" w:w="2736"/>
          </w:tcPr>
          <w:p>
            <w:pPr>
              <w:spacing w:after="40"/>
            </w:pPr>
            <w:r>
              <w:rPr>
                <w:sz w:val="19"/>
              </w:rPr>
              <w:t>200 × 90 × 290 mm</w:t>
            </w:r>
          </w:p>
        </w:tc>
        <w:tc>
          <w:tcPr>
            <w:tcW w:type="dxa" w:w="1584"/>
          </w:tcPr>
          <w:p>
            <w:pPr>
              <w:spacing w:after="40"/>
            </w:pPr>
            <w:r>
              <w:rPr>
                <w:b/>
                <w:color w:val="149174"/>
                <w:sz w:val="19"/>
              </w:rPr>
              <w:t>Final</w:t>
            </w:r>
          </w:p>
        </w:tc>
        <w:tc>
          <w:tcPr>
            <w:tcW w:type="dxa" w:w="2880"/>
          </w:tcPr>
          <w:p>
            <w:pPr>
              <w:spacing w:after="40"/>
            </w:pPr>
            <w:r>
              <w:rPr>
                <w:sz w:val="19"/>
              </w:rPr>
              <w:t>Consistent between the technical specification documentation and the EMC parameter table.</w:t>
            </w:r>
          </w:p>
        </w:tc>
      </w:tr>
      <w:tr>
        <w:trPr>
          <w:cantSplit/>
        </w:trPr>
        <w:tc>
          <w:tcPr>
            <w:tcW w:type="dxa" w:w="2160"/>
          </w:tcPr>
          <w:p>
            <w:pPr>
              <w:spacing w:after="40"/>
            </w:pPr>
            <w:r>
              <w:rPr>
                <w:b/>
                <w:sz w:val="19"/>
              </w:rPr>
              <w:t>Total weight</w:t>
            </w:r>
          </w:p>
        </w:tc>
        <w:tc>
          <w:tcPr>
            <w:tcW w:type="dxa" w:w="2736"/>
          </w:tcPr>
          <w:p>
            <w:pPr>
              <w:spacing w:after="40"/>
            </w:pPr>
            <w:r>
              <w:rPr>
                <w:sz w:val="19"/>
              </w:rPr>
              <w:t>2.378 kg</w:t>
            </w:r>
          </w:p>
        </w:tc>
        <w:tc>
          <w:tcPr>
            <w:tcW w:type="dxa" w:w="1584"/>
          </w:tcPr>
          <w:p>
            <w:pPr>
              <w:spacing w:after="40"/>
            </w:pPr>
            <w:r>
              <w:rPr>
                <w:b/>
                <w:color w:val="149174"/>
                <w:sz w:val="19"/>
              </w:rPr>
              <w:t>Final</w:t>
            </w:r>
          </w:p>
        </w:tc>
        <w:tc>
          <w:tcPr>
            <w:tcW w:type="dxa" w:w="2880"/>
          </w:tcPr>
          <w:p>
            <w:pPr>
              <w:spacing w:after="40"/>
            </w:pPr>
            <w:r>
              <w:rPr>
                <w:sz w:val="19"/>
              </w:rPr>
              <w:t>Total weight of PCB, casing, and sensors combined; project-confirmed value, not yet documented against a calibrated weighing record.</w:t>
            </w:r>
          </w:p>
        </w:tc>
      </w:tr>
      <w:tr>
        <w:trPr>
          <w:cantSplit/>
        </w:trPr>
        <w:tc>
          <w:tcPr>
            <w:tcW w:type="dxa" w:w="2160"/>
          </w:tcPr>
          <w:p>
            <w:pPr>
              <w:spacing w:after="40"/>
            </w:pPr>
            <w:r>
              <w:rPr>
                <w:b/>
                <w:sz w:val="19"/>
              </w:rPr>
              <w:t>Mounting method</w:t>
            </w:r>
          </w:p>
        </w:tc>
        <w:tc>
          <w:tcPr>
            <w:tcW w:type="dxa" w:w="2736"/>
          </w:tcPr>
          <w:p>
            <w:pPr>
              <w:spacing w:after="40"/>
            </w:pPr>
            <w:r>
              <w:rPr>
                <w:sz w:val="19"/>
              </w:rPr>
              <w:t>U-bolt mounting plate, following the design already installed at the refinery</w:t>
            </w:r>
          </w:p>
        </w:tc>
        <w:tc>
          <w:tcPr>
            <w:tcW w:type="dxa" w:w="1584"/>
          </w:tcPr>
          <w:p>
            <w:pPr>
              <w:spacing w:after="40"/>
            </w:pPr>
            <w:r>
              <w:rPr>
                <w:b/>
                <w:color w:val="149174"/>
                <w:sz w:val="19"/>
              </w:rPr>
              <w:t>Final</w:t>
            </w:r>
          </w:p>
        </w:tc>
        <w:tc>
          <w:tcPr>
            <w:tcW w:type="dxa" w:w="2880"/>
          </w:tcPr>
          <w:p>
            <w:pPr>
              <w:spacing w:after="40"/>
            </w:pPr>
            <w:r>
              <w:rPr>
                <w:sz w:val="19"/>
              </w:rPr>
              <w:t>Mounted to existing structures without drilling or welding.</w:t>
            </w:r>
          </w:p>
        </w:tc>
      </w:tr>
      <w:tr>
        <w:trPr>
          <w:cantSplit/>
        </w:trPr>
        <w:tc>
          <w:tcPr>
            <w:tcW w:type="dxa" w:w="2160"/>
          </w:tcPr>
          <w:p>
            <w:pPr>
              <w:spacing w:after="40"/>
            </w:pPr>
            <w:r>
              <w:rPr>
                <w:b/>
                <w:sz w:val="19"/>
              </w:rPr>
              <w:t>Ingress protection (IP rating)</w:t>
            </w:r>
          </w:p>
        </w:tc>
        <w:tc>
          <w:tcPr>
            <w:tcW w:type="dxa" w:w="2736"/>
          </w:tcPr>
          <w:p>
            <w:pPr>
              <w:spacing w:after="40"/>
            </w:pPr>
            <w:r>
              <w:rPr>
                <w:sz w:val="19"/>
              </w:rPr>
              <w:t>IP66</w:t>
            </w:r>
          </w:p>
        </w:tc>
        <w:tc>
          <w:tcPr>
            <w:tcW w:type="dxa" w:w="1584"/>
          </w:tcPr>
          <w:p>
            <w:pPr>
              <w:spacing w:after="40"/>
            </w:pPr>
            <w:r>
              <w:rPr>
                <w:b/>
                <w:color w:val="149174"/>
                <w:sz w:val="19"/>
              </w:rPr>
              <w:t>Final</w:t>
            </w:r>
          </w:p>
        </w:tc>
        <w:tc>
          <w:tcPr>
            <w:tcW w:type="dxa" w:w="2880"/>
          </w:tcPr>
          <w:p>
            <w:pPr>
              <w:spacing w:after="40"/>
            </w:pPr>
            <w:r>
              <w:rPr>
                <w:sz w:val="19"/>
              </w:rPr>
              <w:t>Project-confirmed value; not yet independently tested/verified against IEC 60529.</w:t>
            </w:r>
          </w:p>
        </w:tc>
      </w:tr>
      <w:tr>
        <w:trPr>
          <w:cantSplit/>
        </w:trPr>
        <w:tc>
          <w:tcPr>
            <w:tcW w:type="dxa" w:w="2160"/>
          </w:tcPr>
          <w:p>
            <w:pPr>
              <w:spacing w:after="40"/>
            </w:pPr>
            <w:r>
              <w:rPr>
                <w:b/>
                <w:sz w:val="19"/>
              </w:rPr>
              <w:t>Cable entry (gland)</w:t>
            </w:r>
          </w:p>
        </w:tc>
        <w:tc>
          <w:tcPr>
            <w:tcW w:type="dxa" w:w="2736"/>
          </w:tcPr>
          <w:p>
            <w:pPr>
              <w:spacing w:after="40"/>
            </w:pPr>
            <w:r>
              <w:rPr>
                <w:sz w:val="19"/>
              </w:rPr>
              <w:t>M20×1.5 cable gland (IP66-rated); power cable is 2-conductor, labeled L+/L− (positive/negative of the 24 VDC supply), each conductor ≈0.75 mm diameter</w:t>
            </w:r>
          </w:p>
        </w:tc>
        <w:tc>
          <w:tcPr>
            <w:tcW w:type="dxa" w:w="1584"/>
          </w:tcPr>
          <w:p>
            <w:pPr>
              <w:spacing w:after="40"/>
            </w:pPr>
            <w:r>
              <w:rPr>
                <w:b/>
                <w:color w:val="149174"/>
                <w:sz w:val="19"/>
              </w:rPr>
              <w:t>Final</w:t>
            </w:r>
          </w:p>
        </w:tc>
        <w:tc>
          <w:tcPr>
            <w:tcW w:type="dxa" w:w="2880"/>
          </w:tcPr>
          <w:p>
            <w:pPr>
              <w:spacing w:after="40"/>
            </w:pPr>
            <w:r>
              <w:rPr>
                <w:sz w:val="19"/>
              </w:rPr>
              <w:t>Conductor count and per-conductor wire diameter confirmed by the project. Gland thread size (M20×1.5) is selected by engineering judgment to match the BP18-1Z reference drawing from the same casing-manufacturer supply chain (Section 2.6.a) — a standard, IP66-rated gland size well suited to this conductor count/diameter, not an independent gland datasheet or fit test on GLD's own enclosure. Overall cable outer diameter and insulation rating remain to be documented.</w:t>
            </w:r>
          </w:p>
        </w:tc>
      </w:tr>
      <w:tr>
        <w:trPr>
          <w:cantSplit/>
        </w:trPr>
        <w:tc>
          <w:tcPr>
            <w:tcW w:type="dxa" w:w="2160"/>
          </w:tcPr>
          <w:p>
            <w:pPr>
              <w:spacing w:after="40"/>
            </w:pPr>
            <w:r>
              <w:rPr>
                <w:b/>
                <w:sz w:val="19"/>
              </w:rPr>
              <w:t>Antenna mounting</w:t>
            </w:r>
          </w:p>
        </w:tc>
        <w:tc>
          <w:tcPr>
            <w:tcW w:type="dxa" w:w="2736"/>
          </w:tcPr>
          <w:p>
            <w:pPr>
              <w:spacing w:after="40"/>
            </w:pPr>
            <w:r>
              <w:rPr>
                <w:sz w:val="19"/>
              </w:rPr>
              <w:t>External, SMA male connector</w:t>
            </w:r>
          </w:p>
        </w:tc>
        <w:tc>
          <w:tcPr>
            <w:tcW w:type="dxa" w:w="1584"/>
          </w:tcPr>
          <w:p>
            <w:pPr>
              <w:spacing w:after="40"/>
            </w:pPr>
            <w:r>
              <w:rPr>
                <w:b/>
                <w:color w:val="149174"/>
                <w:sz w:val="19"/>
              </w:rPr>
              <w:t>Final</w:t>
            </w:r>
          </w:p>
        </w:tc>
        <w:tc>
          <w:tcPr>
            <w:tcW w:type="dxa" w:w="2880"/>
          </w:tcPr>
          <w:p>
            <w:pPr>
              <w:spacing w:after="40"/>
            </w:pPr>
            <w:r>
              <w:rPr>
                <w:sz w:val="19"/>
              </w:rPr>
            </w:r>
          </w:p>
        </w:tc>
      </w:tr>
      <w:tr>
        <w:trPr>
          <w:cantSplit/>
        </w:trPr>
        <w:tc>
          <w:tcPr>
            <w:tcW w:type="dxa" w:w="2160"/>
          </w:tcPr>
          <w:p>
            <w:pPr>
              <w:spacing w:after="40"/>
            </w:pPr>
            <w:r>
              <w:rPr>
                <w:b/>
                <w:sz w:val="19"/>
              </w:rPr>
              <w:t>Operating temperature</w:t>
            </w:r>
          </w:p>
        </w:tc>
        <w:tc>
          <w:tcPr>
            <w:tcW w:type="dxa" w:w="2736"/>
          </w:tcPr>
          <w:p>
            <w:pPr>
              <w:spacing w:after="40"/>
            </w:pPr>
            <w:r>
              <w:rPr>
                <w:sz w:val="19"/>
              </w:rPr>
              <w:t>−20°C to +60°C (ambient)</w:t>
            </w:r>
          </w:p>
        </w:tc>
        <w:tc>
          <w:tcPr>
            <w:tcW w:type="dxa" w:w="1584"/>
          </w:tcPr>
          <w:p>
            <w:pPr>
              <w:spacing w:after="40"/>
            </w:pPr>
            <w:r>
              <w:rPr>
                <w:b/>
                <w:color w:val="149174"/>
                <w:sz w:val="19"/>
              </w:rPr>
              <w:t>Final</w:t>
            </w:r>
          </w:p>
        </w:tc>
        <w:tc>
          <w:tcPr>
            <w:tcW w:type="dxa" w:w="2880"/>
          </w:tcPr>
          <w:p>
            <w:pPr>
              <w:spacing w:after="40"/>
            </w:pPr>
            <w:r>
              <w:rPr>
                <w:sz w:val="19"/>
              </w:rPr>
              <w:t>Project-confirmed value — a key input for temperature class (T1–T6) determination in Section 2.5. Not yet documented against a calibrated test record.</w:t>
            </w:r>
          </w:p>
        </w:tc>
      </w:tr>
      <w:tr>
        <w:trPr>
          <w:cantSplit/>
        </w:trPr>
        <w:tc>
          <w:tcPr>
            <w:tcW w:type="dxa" w:w="2160"/>
          </w:tcPr>
          <w:p>
            <w:pPr>
              <w:spacing w:after="40"/>
            </w:pPr>
            <w:r>
              <w:rPr>
                <w:b/>
                <w:sz w:val="19"/>
              </w:rPr>
              <w:t>Operating humidity</w:t>
            </w:r>
          </w:p>
        </w:tc>
        <w:tc>
          <w:tcPr>
            <w:tcW w:type="dxa" w:w="2736"/>
          </w:tcPr>
          <w:p>
            <w:pPr>
              <w:spacing w:after="40"/>
            </w:pPr>
            <w:r>
              <w:rPr>
                <w:sz w:val="19"/>
              </w:rPr>
              <w:t>5–95% RH, non-condensing</w:t>
            </w:r>
          </w:p>
        </w:tc>
        <w:tc>
          <w:tcPr>
            <w:tcW w:type="dxa" w:w="1584"/>
          </w:tcPr>
          <w:p>
            <w:pPr>
              <w:spacing w:after="40"/>
            </w:pPr>
            <w:r>
              <w:rPr>
                <w:b/>
                <w:color w:val="149174"/>
                <w:sz w:val="19"/>
              </w:rPr>
              <w:t>Final</w:t>
            </w:r>
          </w:p>
        </w:tc>
        <w:tc>
          <w:tcPr>
            <w:tcW w:type="dxa" w:w="2880"/>
          </w:tcPr>
          <w:p>
            <w:pPr>
              <w:spacing w:after="40"/>
            </w:pPr>
            <w:r>
              <w:rPr>
                <w:sz w:val="19"/>
              </w:rPr>
              <w:t>Project-confirmed value. Not yet documented against a calibrated test record.</w:t>
            </w:r>
          </w:p>
        </w:tc>
      </w:tr>
    </w:tbl>
    <w:p>
      <w:pPr>
        <w:spacing w:after="40"/>
      </w:pPr>
    </w:p>
    <w:p>
      <w:pPr>
        <w:spacing w:after="160"/>
      </w:pPr>
      <w:r>
        <w:rPr>
          <w:b w:val="0"/>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Rows marked “Pending confirmation” above do not reflect a documentation oversight — this is an honest status indicator. These fields are intentionally left blank because no official data yet exists (not yet measured, tested, or decided). They must not be filled with estimates in future revisions without a clear supporting data source.</w:t>
            </w:r>
          </w:p>
        </w:tc>
      </w:tr>
    </w:tbl>
    <w:p>
      <w:pPr>
        <w:spacing w:after="80"/>
      </w:pPr>
    </w:p>
    <w:p>
      <w:pPr>
        <w:pStyle w:val="Heading2"/>
      </w:pPr>
      <w:r>
        <w:t>2.4 · Product Photographs — Overall and Key Components</w:t>
      </w:r>
    </w:p>
    <w:p>
      <w:pPr>
        <w:spacing w:after="160"/>
      </w:pPr>
      <w:r>
        <w:rPr>
          <w:b w:val="0"/>
          <w:i w:val="0"/>
          <w:sz w:val="21"/>
        </w:rP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type="auto" w:w="0"/>
        <w:jc w:val="center"/>
        <w:tblLook w:firstColumn="1" w:firstRow="1" w:lastColumn="0" w:lastRow="0" w:noHBand="0" w:noVBand="1" w:val="04A0"/>
      </w:tblPr>
      <w:tblGrid>
        <w:gridCol w:w="4873"/>
        <w:gridCol w:w="4873"/>
      </w:tblGrid>
      <w:tr>
        <w:tc>
          <w:tcPr>
            <w:tcW w:type="dxa" w:w="4873"/>
          </w:tcPr>
          <w:p>
            <w:pPr>
              <w:spacing w:after="40"/>
              <w:jc w:val="center"/>
            </w:pPr>
            <w:r>
              <w:drawing>
                <wp:inline xmlns:a="http://schemas.openxmlformats.org/drawingml/2006/main" xmlns:pic="http://schemas.openxmlformats.org/drawingml/2006/picture">
                  <wp:extent cx="1379912" cy="228600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379912" cy="2286000"/>
                          </a:xfrm>
                          <a:prstGeom prst="rect"/>
                        </pic:spPr>
                      </pic:pic>
                    </a:graphicData>
                  </a:graphic>
                </wp:inline>
              </w:drawing>
            </w:r>
          </w:p>
          <w:p>
            <w:pPr>
              <w:spacing w:after="200"/>
            </w:pPr>
            <w:r>
              <w:rPr>
                <w:b/>
                <w:sz w:val="19"/>
              </w:rPr>
              <w:t>Complete unit — front view</w:t>
              <w:br/>
            </w:r>
            <w:r>
              <w:rPr>
                <w:color w:val="4A4A4A"/>
                <w:sz w:val="17"/>
              </w:rPr>
              <w:t>The fully assembled Node Sensor (GLD): the main enclosure (blue) with sensor mesh cover, external LoRa antenna, and a visual alarm module (cylindrical housing, red lens) mounted on the right side.</w:t>
            </w:r>
          </w:p>
        </w:tc>
        <w:tc>
          <w:tcPr>
            <w:tcW w:type="dxa" w:w="4873"/>
          </w:tcPr>
          <w:p>
            <w:pPr>
              <w:spacing w:after="40"/>
              <w:jc w:val="center"/>
            </w:pPr>
            <w:r>
              <w:drawing>
                <wp:inline xmlns:a="http://schemas.openxmlformats.org/drawingml/2006/main" xmlns:pic="http://schemas.openxmlformats.org/drawingml/2006/picture">
                  <wp:extent cx="1714500" cy="228600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1714500" cy="2286000"/>
                          </a:xfrm>
                          <a:prstGeom prst="rect"/>
                        </pic:spPr>
                      </pic:pic>
                    </a:graphicData>
                  </a:graphic>
                </wp:inline>
              </w:drawing>
            </w:r>
          </w:p>
          <w:p>
            <w:pPr>
              <w:spacing w:after="200"/>
            </w:pPr>
            <w:r>
              <w:rPr>
                <w:b/>
                <w:sz w:val="19"/>
              </w:rPr>
              <w:t>Complete unit — alternate angle</w:t>
              <w:br/>
            </w:r>
            <w:r>
              <w:rPr>
                <w:color w:val="4A4A4A"/>
                <w:sz w:val="17"/>
              </w:rPr>
              <w:t>An alternate view of the assembled unit, showing the position of the antenna, alarm module, and the cable-gland side of the enclosure.</w:t>
            </w:r>
          </w:p>
        </w:tc>
      </w:tr>
      <w:tr>
        <w:tc>
          <w:tcPr>
            <w:tcW w:type="dxa" w:w="4873"/>
          </w:tcPr>
          <w:p>
            <w:pPr>
              <w:spacing w:after="40"/>
              <w:jc w:val="center"/>
            </w:pPr>
            <w:r>
              <w:drawing>
                <wp:inline xmlns:a="http://schemas.openxmlformats.org/drawingml/2006/main" xmlns:pic="http://schemas.openxmlformats.org/drawingml/2006/picture">
                  <wp:extent cx="1026621" cy="2286000"/>
                  <wp:docPr id="3" name="Picture 3"/>
                  <wp:cNvGraphicFramePr>
                    <a:graphicFrameLocks noChangeAspect="1"/>
                  </wp:cNvGraphicFramePr>
                  <a:graphic>
                    <a:graphicData uri="http://schemas.openxmlformats.org/drawingml/2006/picture">
                      <pic:pic>
                        <pic:nvPicPr>
                          <pic:cNvPr id="0" name="PenutupMesh_Casing.jpg"/>
                          <pic:cNvPicPr/>
                        </pic:nvPicPr>
                        <pic:blipFill>
                          <a:blip r:embed="rId13"/>
                          <a:stretch>
                            <a:fillRect/>
                          </a:stretch>
                        </pic:blipFill>
                        <pic:spPr>
                          <a:xfrm>
                            <a:off x="0" y="0"/>
                            <a:ext cx="1026621" cy="2286000"/>
                          </a:xfrm>
                          <a:prstGeom prst="rect"/>
                        </pic:spPr>
                      </pic:pic>
                    </a:graphicData>
                  </a:graphic>
                </wp:inline>
              </w:drawing>
            </w:r>
          </w:p>
          <w:p>
            <w:pPr>
              <w:spacing w:after="200"/>
            </w:pPr>
            <w:r>
              <w:rPr>
                <w:b/>
                <w:sz w:val="19"/>
              </w:rPr>
              <w:t>Complete unit — front view (without antenna and alarm module)</w:t>
              <w:br/>
            </w:r>
            <w:r>
              <w:rPr>
                <w:color w:val="4A4A4A"/>
                <w:sz w:val="17"/>
              </w:rPr>
              <w:t>The main enclosure with the sensor mesh cover installed, shown in a flat front view illustrating the enclosure shape and its four mounting bolt holes.</w:t>
            </w:r>
          </w:p>
        </w:tc>
        <w:tc>
          <w:tcPr>
            <w:tcW w:type="dxa" w:w="4873"/>
          </w:tcPr>
          <w:p>
            <w:pPr>
              <w:spacing w:after="40"/>
              <w:jc w:val="center"/>
            </w:pPr>
            <w:r>
              <w:drawing>
                <wp:inline xmlns:a="http://schemas.openxmlformats.org/drawingml/2006/main" xmlns:pic="http://schemas.openxmlformats.org/drawingml/2006/picture">
                  <wp:extent cx="1026621" cy="2286000"/>
                  <wp:docPr id="4" name="Picture 4"/>
                  <wp:cNvGraphicFramePr>
                    <a:graphicFrameLocks noChangeAspect="1"/>
                  </wp:cNvGraphicFramePr>
                  <a:graphic>
                    <a:graphicData uri="http://schemas.openxmlformats.org/drawingml/2006/picture">
                      <pic:pic>
                        <pic:nvPicPr>
                          <pic:cNvPr id="0" name="1._Motherboard_Casing.jpg"/>
                          <pic:cNvPicPr/>
                        </pic:nvPicPr>
                        <pic:blipFill>
                          <a:blip r:embed="rId14"/>
                          <a:stretch>
                            <a:fillRect/>
                          </a:stretch>
                        </pic:blipFill>
                        <pic:spPr>
                          <a:xfrm>
                            <a:off x="0" y="0"/>
                            <a:ext cx="1026621" cy="2286000"/>
                          </a:xfrm>
                          <a:prstGeom prst="rect"/>
                        </pic:spPr>
                      </pic:pic>
                    </a:graphicData>
                  </a:graphic>
                </wp:inline>
              </w:drawing>
            </w:r>
          </w:p>
          <w:p>
            <w:pPr>
              <w:spacing w:after="200"/>
            </w:pPr>
            <w:r>
              <w:rPr>
                <w:b/>
                <w:sz w:val="19"/>
              </w:rPr>
              <w:t>Key component — PCB inside enclosure (before sensor modules)</w:t>
              <w:br/>
            </w:r>
            <w:r>
              <w:rPr>
                <w:color w:val="4A4A4A"/>
                <w:sz w:val="17"/>
              </w:rPr>
              <w:t>The main PCB installed inside the enclosure prior to gas sensor module installation. The ESP32-S3-WROOM-1U microcontroller, LoRa radio module, and power circuitry are visible.</w:t>
            </w:r>
          </w:p>
        </w:tc>
      </w:tr>
      <w:tr>
        <w:tc>
          <w:tcPr>
            <w:tcW w:type="dxa" w:w="4873"/>
          </w:tcPr>
          <w:p>
            <w:pPr>
              <w:spacing w:after="40"/>
              <w:jc w:val="center"/>
            </w:pPr>
            <w:r>
              <w:drawing>
                <wp:inline xmlns:a="http://schemas.openxmlformats.org/drawingml/2006/main" xmlns:pic="http://schemas.openxmlformats.org/drawingml/2006/picture">
                  <wp:extent cx="1026621" cy="2286000"/>
                  <wp:docPr id="5" name="Picture 5"/>
                  <wp:cNvGraphicFramePr>
                    <a:graphicFrameLocks noChangeAspect="1"/>
                  </wp:cNvGraphicFramePr>
                  <a:graphic>
                    <a:graphicData uri="http://schemas.openxmlformats.org/drawingml/2006/picture">
                      <pic:pic>
                        <pic:nvPicPr>
                          <pic:cNvPr id="0" name="2._Motherboard_ModulSensor_Casing.jpg"/>
                          <pic:cNvPicPr/>
                        </pic:nvPicPr>
                        <pic:blipFill>
                          <a:blip r:embed="rId15"/>
                          <a:stretch>
                            <a:fillRect/>
                          </a:stretch>
                        </pic:blipFill>
                        <pic:spPr>
                          <a:xfrm>
                            <a:off x="0" y="0"/>
                            <a:ext cx="1026621" cy="2286000"/>
                          </a:xfrm>
                          <a:prstGeom prst="rect"/>
                        </pic:spPr>
                      </pic:pic>
                    </a:graphicData>
                  </a:graphic>
                </wp:inline>
              </w:drawing>
            </w:r>
          </w:p>
          <w:p>
            <w:pPr>
              <w:spacing w:after="200"/>
            </w:pPr>
            <w:r>
              <w:rPr>
                <w:b/>
                <w:sz w:val="19"/>
              </w:rPr>
              <w:t>Key component — PCB with eight gas sensor modules</w:t>
              <w:br/>
            </w:r>
            <w:r>
              <w:rPr>
                <w:color w:val="4A4A4A"/>
                <w:sz w:val="17"/>
              </w:rPr>
              <w:t>The same PCB with eight channels of MQ-series gas sensors (MQ-2, MQ-3B, MQ-4, MQ-5, MQ-6, MQ-7B, MQ-8, MQ-135) installed around the central microcontroller.</w:t>
            </w:r>
          </w:p>
        </w:tc>
        <w:tc>
          <w:tcPr>
            <w:tcW w:type="dxa" w:w="4873"/>
          </w:tcPr>
          <w:p>
            <w:pPr>
              <w:spacing w:after="40"/>
              <w:jc w:val="center"/>
            </w:pPr>
            <w:r>
              <w:drawing>
                <wp:inline xmlns:a="http://schemas.openxmlformats.org/drawingml/2006/main" xmlns:pic="http://schemas.openxmlformats.org/drawingml/2006/picture">
                  <wp:extent cx="1026621" cy="2286000"/>
                  <wp:docPr id="6" name="Picture 6"/>
                  <wp:cNvGraphicFramePr>
                    <a:graphicFrameLocks noChangeAspect="1"/>
                  </wp:cNvGraphicFramePr>
                  <a:graphic>
                    <a:graphicData uri="http://schemas.openxmlformats.org/drawingml/2006/picture">
                      <pic:pic>
                        <pic:nvPicPr>
                          <pic:cNvPr id="0" name="ModulAlarm.jpg"/>
                          <pic:cNvPicPr/>
                        </pic:nvPicPr>
                        <pic:blipFill>
                          <a:blip r:embed="rId16"/>
                          <a:stretch>
                            <a:fillRect/>
                          </a:stretch>
                        </pic:blipFill>
                        <pic:spPr>
                          <a:xfrm>
                            <a:off x="0" y="0"/>
                            <a:ext cx="1026621" cy="2286000"/>
                          </a:xfrm>
                          <a:prstGeom prst="rect"/>
                        </pic:spPr>
                      </pic:pic>
                    </a:graphicData>
                  </a:graphic>
                </wp:inline>
              </w:drawing>
            </w:r>
          </w:p>
          <w:p>
            <w:pPr>
              <w:spacing w:after="200"/>
            </w:pPr>
            <w:r>
              <w:rPr>
                <w:b/>
                <w:sz w:val="19"/>
              </w:rPr>
              <w:t>Key component — visual alarm module (close-up)</w:t>
              <w:br/>
            </w:r>
            <w:r>
              <w:rPr>
                <w:color w:val="4A4A4A"/>
                <w:sz w:val="17"/>
              </w:rPr>
              <w:t>The visual alarm (beacon/strobe) module, constructed of metal with a red lens, connected to the main enclosure via a dedicated cable gland.</w:t>
            </w:r>
          </w:p>
        </w:tc>
      </w:tr>
      <w:tr>
        <w:tc>
          <w:tcPr>
            <w:tcW w:type="dxa" w:w="4873"/>
          </w:tcPr>
          <w:p>
            <w:pPr>
              <w:spacing w:after="40"/>
              <w:jc w:val="center"/>
            </w:pPr>
            <w:r>
              <w:drawing>
                <wp:inline xmlns:a="http://schemas.openxmlformats.org/drawingml/2006/main" xmlns:pic="http://schemas.openxmlformats.org/drawingml/2006/picture">
                  <wp:extent cx="1026621" cy="2286000"/>
                  <wp:docPr id="7" name="Picture 7"/>
                  <wp:cNvGraphicFramePr>
                    <a:graphicFrameLocks noChangeAspect="1"/>
                  </wp:cNvGraphicFramePr>
                  <a:graphic>
                    <a:graphicData uri="http://schemas.openxmlformats.org/drawingml/2006/picture">
                      <pic:pic>
                        <pic:nvPicPr>
                          <pic:cNvPr id="0" name="PenutupMesh.jpg"/>
                          <pic:cNvPicPr/>
                        </pic:nvPicPr>
                        <pic:blipFill>
                          <a:blip r:embed="rId17"/>
                          <a:stretch>
                            <a:fillRect/>
                          </a:stretch>
                        </pic:blipFill>
                        <pic:spPr>
                          <a:xfrm>
                            <a:off x="0" y="0"/>
                            <a:ext cx="1026621" cy="2286000"/>
                          </a:xfrm>
                          <a:prstGeom prst="rect"/>
                        </pic:spPr>
                      </pic:pic>
                    </a:graphicData>
                  </a:graphic>
                </wp:inline>
              </w:drawing>
            </w:r>
          </w:p>
          <w:p>
            <w:pPr>
              <w:spacing w:after="200"/>
            </w:pPr>
            <w:r>
              <w:rPr>
                <w:b/>
                <w:sz w:val="19"/>
              </w:rPr>
              <w:t>Key component — sensor mesh cover (close-up)</w:t>
              <w:br/>
            </w:r>
            <w:r>
              <w:rPr>
                <w:color w:val="4A4A4A"/>
                <w:sz w:val="17"/>
              </w:rPr>
              <w:t>The metal mesh cover that protects the gas sensing elements while serving as a diffusion path for gas to reach the sensors beneath.</w:t>
            </w:r>
          </w:p>
        </w:tc>
        <w:tc>
          <w:tcPr>
            <w:tcW w:type="dxa" w:w="4873"/>
          </w:tcP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pPr>
        <w:spacing w:after="80"/>
      </w:pPr>
    </w:p>
    <w:p>
      <w:pPr>
        <w:pStyle w:val="Heading4"/>
      </w:pPr>
      <w:r>
        <w:t>2.4.2 Current production configuration — assembly photo set (7 October 2026)</w:t>
      </w:r>
    </w:p>
    <w:p>
      <w:pPr>
        <w:spacing w:after="120"/>
      </w:pPr>
      <w:r>
        <w:rPr>
          <w:sz w:val="19"/>
        </w:rPr>
        <w:t>Photographs of one unit of the current production configuration (latest enclosure and main board), taken in assembly order from the empty base enclosure to the closed unit. No Ex marking is shown; the MQ sensor mesh is not described as flame-arresting.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8" name="Picture 8"/>
                  <wp:cNvGraphicFramePr>
                    <a:graphicFrameLocks noChangeAspect="1"/>
                  </wp:cNvGraphicFramePr>
                  <a:graphic>
                    <a:graphicData uri="http://schemas.openxmlformats.org/drawingml/2006/picture">
                      <pic:pic>
                        <pic:nvPicPr>
                          <pic:cNvPr id="0" name="IMG_14.02.34.jpg"/>
                          <pic:cNvPicPr/>
                        </pic:nvPicPr>
                        <pic:blipFill>
                          <a:blip r:embed="rId1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4-101. GLD V2 – Base enclosure before assembly.</w:t>
              <w:br/>
            </w:r>
            <w:r>
              <w:rPr>
                <w:color w:val="555B66"/>
                <w:sz w:val="16"/>
              </w:rPr>
              <w:t>Machined bore of the base enclosure with the PCB mounting bosses; the external antenna is fitted at the top and its internal coaxial lead (U.FL) is routed inside.</w:t>
            </w:r>
          </w:p>
        </w:tc>
        <w:tc>
          <w:tcPr>
            <w:tcW w:type="dxa" w:w="4873"/>
          </w:tcPr>
          <w:p>
            <w:pPr>
              <w:jc w:val="center"/>
            </w:pPr>
            <w:r>
              <w:drawing>
                <wp:inline xmlns:a="http://schemas.openxmlformats.org/drawingml/2006/main" xmlns:pic="http://schemas.openxmlformats.org/drawingml/2006/picture">
                  <wp:extent cx="2125980" cy="2834640"/>
                  <wp:docPr id="9" name="Picture 9"/>
                  <wp:cNvGraphicFramePr>
                    <a:graphicFrameLocks noChangeAspect="1"/>
                  </wp:cNvGraphicFramePr>
                  <a:graphic>
                    <a:graphicData uri="http://schemas.openxmlformats.org/drawingml/2006/picture">
                      <pic:pic>
                        <pic:nvPicPr>
                          <pic:cNvPr id="0" name="IMG_14.03.09.jpg"/>
                          <pic:cNvPicPr/>
                        </pic:nvPicPr>
                        <pic:blipFill>
                          <a:blip r:embed="rId1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4-102. GLD V2 – Main board placed in the base enclosure.</w:t>
              <w:br/>
            </w:r>
            <w:r>
              <w:rPr>
                <w:color w:val="555B66"/>
                <w:sz w:val="16"/>
              </w:rPr>
              <w:t>Main PCB with the ESP32-S3 module and LoRa module seated on the mounting bosses.</w:t>
            </w:r>
          </w:p>
        </w:tc>
      </w:tr>
      <w:tr>
        <w:tc>
          <w:tcPr>
            <w:tcW w:type="dxa" w:w="4873"/>
          </w:tcPr>
          <w:p>
            <w:pPr>
              <w:jc w:val="center"/>
            </w:pPr>
            <w:r>
              <w:drawing>
                <wp:inline xmlns:a="http://schemas.openxmlformats.org/drawingml/2006/main" xmlns:pic="http://schemas.openxmlformats.org/drawingml/2006/picture">
                  <wp:extent cx="2125980" cy="2834640"/>
                  <wp:docPr id="10" name="Picture 10"/>
                  <wp:cNvGraphicFramePr>
                    <a:graphicFrameLocks noChangeAspect="1"/>
                  </wp:cNvGraphicFramePr>
                  <a:graphic>
                    <a:graphicData uri="http://schemas.openxmlformats.org/drawingml/2006/picture">
                      <pic:pic>
                        <pic:nvPicPr>
                          <pic:cNvPr id="0" name="IMG_14.03.33.jpg"/>
                          <pic:cNvPicPr/>
                        </pic:nvPicPr>
                        <pic:blipFill>
                          <a:blip r:embed="rId20"/>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4-103. GLD V2 – Antenna lead connected to the main board.</w:t>
              <w:br/>
            </w:r>
            <w:r>
              <w:rPr>
                <w:color w:val="555B66"/>
                <w:sz w:val="16"/>
              </w:rPr>
              <w:t>U.FL coaxial connector of the antenna lead plugged onto the main board.</w:t>
            </w:r>
          </w:p>
        </w:tc>
        <w:tc>
          <w:tcPr>
            <w:tcW w:type="dxa" w:w="4873"/>
          </w:tcPr>
          <w:p>
            <w:pPr>
              <w:jc w:val="center"/>
            </w:pPr>
            <w:r>
              <w:drawing>
                <wp:inline xmlns:a="http://schemas.openxmlformats.org/drawingml/2006/main" xmlns:pic="http://schemas.openxmlformats.org/drawingml/2006/picture">
                  <wp:extent cx="2125980" cy="2834640"/>
                  <wp:docPr id="11" name="Picture 11"/>
                  <wp:cNvGraphicFramePr>
                    <a:graphicFrameLocks noChangeAspect="1"/>
                  </wp:cNvGraphicFramePr>
                  <a:graphic>
                    <a:graphicData uri="http://schemas.openxmlformats.org/drawingml/2006/picture">
                      <pic:pic>
                        <pic:nvPicPr>
                          <pic:cNvPr id="0" name="IMG_14.03.58.jpg"/>
                          <pic:cNvPicPr/>
                        </pic:nvPicPr>
                        <pic:blipFill>
                          <a:blip r:embed="rId21"/>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4-104. GLD V2 – PCB cover / terminal board fitted.</w:t>
              <w:br/>
            </w:r>
            <w:r>
              <w:rPr>
                <w:color w:val="555B66"/>
                <w:sz w:val="16"/>
              </w:rPr>
              <w:t>Terminal board with screw terminals labelled RS485 A/B, FAN 5V/0V, ALARM, BAT −/+ and 24V +/−; eight 2×4 headers for the sensor modules and a micro-USB service port.</w:t>
            </w:r>
          </w:p>
        </w:tc>
      </w:tr>
      <w:tr>
        <w:tc>
          <w:tcPr>
            <w:tcW w:type="dxa" w:w="4873"/>
          </w:tcPr>
          <w:p>
            <w:pPr>
              <w:jc w:val="center"/>
            </w:pPr>
            <w:r>
              <w:drawing>
                <wp:inline xmlns:a="http://schemas.openxmlformats.org/drawingml/2006/main" xmlns:pic="http://schemas.openxmlformats.org/drawingml/2006/picture">
                  <wp:extent cx="2125980" cy="2834640"/>
                  <wp:docPr id="12" name="Picture 12"/>
                  <wp:cNvGraphicFramePr>
                    <a:graphicFrameLocks noChangeAspect="1"/>
                  </wp:cNvGraphicFramePr>
                  <a:graphic>
                    <a:graphicData uri="http://schemas.openxmlformats.org/drawingml/2006/picture">
                      <pic:pic>
                        <pic:nvPicPr>
                          <pic:cNvPr id="0" name="IMG_14.04.17.jpg"/>
                          <pic:cNvPicPr/>
                        </pic:nvPicPr>
                        <pic:blipFill>
                          <a:blip r:embed="rId22"/>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4-105. GLD V2 – Sensor module.</w:t>
              <w:br/>
            </w:r>
            <w:r>
              <w:rPr>
                <w:color w:val="555B66"/>
                <w:sz w:val="16"/>
              </w:rPr>
              <w:t>MQ-series sensor with its integrated stainless-steel protective mesh, mounted on a round carrier board.</w:t>
            </w:r>
          </w:p>
        </w:tc>
        <w:tc>
          <w:tcPr>
            <w:tcW w:type="dxa" w:w="4873"/>
          </w:tcPr>
          <w:p>
            <w:pPr>
              <w:jc w:val="center"/>
            </w:pPr>
            <w:r>
              <w:drawing>
                <wp:inline xmlns:a="http://schemas.openxmlformats.org/drawingml/2006/main" xmlns:pic="http://schemas.openxmlformats.org/drawingml/2006/picture">
                  <wp:extent cx="2125980" cy="2834640"/>
                  <wp:docPr id="13" name="Picture 13"/>
                  <wp:cNvGraphicFramePr>
                    <a:graphicFrameLocks noChangeAspect="1"/>
                  </wp:cNvGraphicFramePr>
                  <a:graphic>
                    <a:graphicData uri="http://schemas.openxmlformats.org/drawingml/2006/picture">
                      <pic:pic>
                        <pic:nvPicPr>
                          <pic:cNvPr id="0" name="IMG_14.04.34.jpg"/>
                          <pic:cNvPicPr/>
                        </pic:nvPicPr>
                        <pic:blipFill>
                          <a:blip r:embed="rId2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4-106. GLD V2 – Sensor module being inserted.</w:t>
              <w:br/>
            </w:r>
            <w:r>
              <w:rPr>
                <w:color w:val="555B66"/>
                <w:sz w:val="16"/>
              </w:rPr>
              <w:t>Sensor module plugged into one of the eight headers.</w:t>
            </w:r>
          </w:p>
        </w:tc>
      </w:tr>
      <w:tr>
        <w:tc>
          <w:tcPr>
            <w:tcW w:type="dxa" w:w="4873"/>
          </w:tcPr>
          <w:p>
            <w:pPr>
              <w:jc w:val="center"/>
            </w:pPr>
            <w:r>
              <w:drawing>
                <wp:inline xmlns:a="http://schemas.openxmlformats.org/drawingml/2006/main" xmlns:pic="http://schemas.openxmlformats.org/drawingml/2006/picture">
                  <wp:extent cx="2125980" cy="2834640"/>
                  <wp:docPr id="14" name="Picture 14"/>
                  <wp:cNvGraphicFramePr>
                    <a:graphicFrameLocks noChangeAspect="1"/>
                  </wp:cNvGraphicFramePr>
                  <a:graphic>
                    <a:graphicData uri="http://schemas.openxmlformats.org/drawingml/2006/picture">
                      <pic:pic>
                        <pic:nvPicPr>
                          <pic:cNvPr id="0" name="IMG_14.04.49.jpg"/>
                          <pic:cNvPicPr/>
                        </pic:nvPicPr>
                        <pic:blipFill>
                          <a:blip r:embed="rId2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4-107. GLD V2 – Sensor modules fitted.</w:t>
              <w:br/>
            </w:r>
            <w:r>
              <w:rPr>
                <w:color w:val="555B66"/>
                <w:sz w:val="16"/>
              </w:rPr>
              <w:t>Sensor modules installed on the terminal board positions.</w:t>
            </w:r>
          </w:p>
        </w:tc>
        <w:tc>
          <w:tcPr>
            <w:tcW w:type="dxa" w:w="4873"/>
          </w:tcPr>
          <w:p>
            <w:pPr>
              <w:jc w:val="center"/>
            </w:pPr>
            <w:r>
              <w:drawing>
                <wp:inline xmlns:a="http://schemas.openxmlformats.org/drawingml/2006/main" xmlns:pic="http://schemas.openxmlformats.org/drawingml/2006/picture">
                  <wp:extent cx="2125980" cy="2834640"/>
                  <wp:docPr id="15" name="Picture 15"/>
                  <wp:cNvGraphicFramePr>
                    <a:graphicFrameLocks noChangeAspect="1"/>
                  </wp:cNvGraphicFramePr>
                  <a:graphic>
                    <a:graphicData uri="http://schemas.openxmlformats.org/drawingml/2006/picture">
                      <pic:pic>
                        <pic:nvPicPr>
                          <pic:cNvPr id="0" name="IMG_14.05.01.jpg"/>
                          <pic:cNvPicPr/>
                        </pic:nvPicPr>
                        <pic:blipFill>
                          <a:blip r:embed="rId25"/>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4-108. GLD V2 – DC sampling fan.</w:t>
              <w:br/>
            </w:r>
            <w:r>
              <w:rPr>
                <w:color w:val="555B66"/>
                <w:sz w:val="16"/>
              </w:rPr>
              <w:t>CIXIKEJI DC brushless fan, model CX5010B5H, DC 5 V 0.23 A (label marks CE, FC, RoHS), with ferrule-terminated leads.</w:t>
            </w:r>
          </w:p>
        </w:tc>
      </w:tr>
      <w:tr>
        <w:tc>
          <w:tcPr>
            <w:tcW w:type="dxa" w:w="4873"/>
          </w:tcPr>
          <w:p>
            <w:pPr>
              <w:jc w:val="center"/>
            </w:pPr>
            <w:r>
              <w:drawing>
                <wp:inline xmlns:a="http://schemas.openxmlformats.org/drawingml/2006/main" xmlns:pic="http://schemas.openxmlformats.org/drawingml/2006/picture">
                  <wp:extent cx="2653223" cy="2834640"/>
                  <wp:docPr id="16" name="Picture 16"/>
                  <wp:cNvGraphicFramePr>
                    <a:graphicFrameLocks noChangeAspect="1"/>
                  </wp:cNvGraphicFramePr>
                  <a:graphic>
                    <a:graphicData uri="http://schemas.openxmlformats.org/drawingml/2006/picture">
                      <pic:pic>
                        <pic:nvPicPr>
                          <pic:cNvPr id="0" name="IMG_14.05.32.jpg"/>
                          <pic:cNvPicPr/>
                        </pic:nvPicPr>
                        <pic:blipFill>
                          <a:blip r:embed="rId26"/>
                          <a:stretch>
                            <a:fillRect/>
                          </a:stretch>
                        </pic:blipFill>
                        <pic:spPr>
                          <a:xfrm>
                            <a:off x="0" y="0"/>
                            <a:ext cx="2653223" cy="2834640"/>
                          </a:xfrm>
                          <a:prstGeom prst="rect"/>
                        </pic:spPr>
                      </pic:pic>
                    </a:graphicData>
                  </a:graphic>
                </wp:inline>
              </w:drawing>
            </w:r>
          </w:p>
          <w:p>
            <w:pPr>
              <w:spacing w:after="160"/>
              <w:jc w:val="center"/>
            </w:pPr>
            <w:r>
              <w:rPr>
                <w:b/>
                <w:color w:val="1B335F"/>
                <w:sz w:val="17"/>
              </w:rPr>
              <w:t>Figure 4-109. GLD V2 – Fan leads terminated.</w:t>
              <w:br/>
            </w:r>
            <w:r>
              <w:rPr>
                <w:color w:val="555B66"/>
                <w:sz w:val="16"/>
              </w:rPr>
              <w:t>Fan leads connected to the FAN 5V/0V terminal.</w:t>
            </w:r>
          </w:p>
        </w:tc>
        <w:tc>
          <w:tcPr>
            <w:tcW w:type="dxa" w:w="4873"/>
          </w:tcPr>
          <w:p>
            <w:pPr>
              <w:jc w:val="center"/>
            </w:pPr>
            <w:r>
              <w:drawing>
                <wp:inline xmlns:a="http://schemas.openxmlformats.org/drawingml/2006/main" xmlns:pic="http://schemas.openxmlformats.org/drawingml/2006/picture">
                  <wp:extent cx="2743200" cy="2570378"/>
                  <wp:docPr id="17" name="Picture 17"/>
                  <wp:cNvGraphicFramePr>
                    <a:graphicFrameLocks noChangeAspect="1"/>
                  </wp:cNvGraphicFramePr>
                  <a:graphic>
                    <a:graphicData uri="http://schemas.openxmlformats.org/drawingml/2006/picture">
                      <pic:pic>
                        <pic:nvPicPr>
                          <pic:cNvPr id="0" name="IMG_14.06.08.jpg"/>
                          <pic:cNvPicPr/>
                        </pic:nvPicPr>
                        <pic:blipFill>
                          <a:blip r:embed="rId27"/>
                          <a:stretch>
                            <a:fillRect/>
                          </a:stretch>
                        </pic:blipFill>
                        <pic:spPr>
                          <a:xfrm>
                            <a:off x="0" y="0"/>
                            <a:ext cx="2743200" cy="2570378"/>
                          </a:xfrm>
                          <a:prstGeom prst="rect"/>
                        </pic:spPr>
                      </pic:pic>
                    </a:graphicData>
                  </a:graphic>
                </wp:inline>
              </w:drawing>
            </w:r>
          </w:p>
          <w:p>
            <w:pPr>
              <w:spacing w:after="160"/>
              <w:jc w:val="center"/>
            </w:pPr>
            <w:r>
              <w:rPr>
                <w:b/>
                <w:color w:val="1B335F"/>
                <w:sz w:val="17"/>
              </w:rPr>
              <w:t>Figure 4-110. GLD V2 – Alarm beacon fitted.</w:t>
              <w:br/>
            </w:r>
            <w:r>
              <w:rPr>
                <w:color w:val="555B66"/>
                <w:sz w:val="16"/>
              </w:rPr>
              <w:t>Visual/audible alarm beacon (stainless-steel body, red dome) threaded into the right-hand entry; its leads are routed to the terminal board.</w:t>
            </w:r>
          </w:p>
        </w:tc>
      </w:tr>
      <w:tr>
        <w:tc>
          <w:tcPr>
            <w:tcW w:type="dxa" w:w="4873"/>
          </w:tcPr>
          <w:p>
            <w:pPr>
              <w:jc w:val="center"/>
            </w:pPr>
            <w:r>
              <w:drawing>
                <wp:inline xmlns:a="http://schemas.openxmlformats.org/drawingml/2006/main" xmlns:pic="http://schemas.openxmlformats.org/drawingml/2006/picture">
                  <wp:extent cx="2743200" cy="2389327"/>
                  <wp:docPr id="18" name="Picture 18"/>
                  <wp:cNvGraphicFramePr>
                    <a:graphicFrameLocks noChangeAspect="1"/>
                  </wp:cNvGraphicFramePr>
                  <a:graphic>
                    <a:graphicData uri="http://schemas.openxmlformats.org/drawingml/2006/picture">
                      <pic:pic>
                        <pic:nvPicPr>
                          <pic:cNvPr id="0" name="IMG_14.07.08.jpg"/>
                          <pic:cNvPicPr/>
                        </pic:nvPicPr>
                        <pic:blipFill>
                          <a:blip r:embed="rId28"/>
                          <a:stretch>
                            <a:fillRect/>
                          </a:stretch>
                        </pic:blipFill>
                        <pic:spPr>
                          <a:xfrm>
                            <a:off x="0" y="0"/>
                            <a:ext cx="2743200" cy="2389327"/>
                          </a:xfrm>
                          <a:prstGeom prst="rect"/>
                        </pic:spPr>
                      </pic:pic>
                    </a:graphicData>
                  </a:graphic>
                </wp:inline>
              </w:drawing>
            </w:r>
          </w:p>
          <w:p>
            <w:pPr>
              <w:spacing w:after="160"/>
              <w:jc w:val="center"/>
            </w:pPr>
            <w:r>
              <w:rPr>
                <w:b/>
                <w:color w:val="1B335F"/>
                <w:sz w:val="17"/>
              </w:rPr>
              <w:t>Figure 4-111. GLD V2 – Alarm leads terminated.</w:t>
              <w:br/>
            </w:r>
            <w:r>
              <w:rPr>
                <w:color w:val="555B66"/>
                <w:sz w:val="16"/>
              </w:rPr>
              <w:t>Beacon leads connected to the ALARM terminal.</w:t>
            </w:r>
          </w:p>
        </w:tc>
        <w:tc>
          <w:tcPr>
            <w:tcW w:type="dxa" w:w="4873"/>
          </w:tcPr>
          <w:p>
            <w:pPr>
              <w:jc w:val="center"/>
            </w:pPr>
            <w:r>
              <w:drawing>
                <wp:inline xmlns:a="http://schemas.openxmlformats.org/drawingml/2006/main" xmlns:pic="http://schemas.openxmlformats.org/drawingml/2006/picture">
                  <wp:extent cx="2743200" cy="2586838"/>
                  <wp:docPr id="19" name="Picture 19"/>
                  <wp:cNvGraphicFramePr>
                    <a:graphicFrameLocks noChangeAspect="1"/>
                  </wp:cNvGraphicFramePr>
                  <a:graphic>
                    <a:graphicData uri="http://schemas.openxmlformats.org/drawingml/2006/picture">
                      <pic:pic>
                        <pic:nvPicPr>
                          <pic:cNvPr id="0" name="IMG_14.08.05.jpg"/>
                          <pic:cNvPicPr/>
                        </pic:nvPicPr>
                        <pic:blipFill>
                          <a:blip r:embed="rId29"/>
                          <a:stretch>
                            <a:fillRect/>
                          </a:stretch>
                        </pic:blipFill>
                        <pic:spPr>
                          <a:xfrm>
                            <a:off x="0" y="0"/>
                            <a:ext cx="2743200" cy="2586838"/>
                          </a:xfrm>
                          <a:prstGeom prst="rect"/>
                        </pic:spPr>
                      </pic:pic>
                    </a:graphicData>
                  </a:graphic>
                </wp:inline>
              </w:drawing>
            </w:r>
          </w:p>
          <w:p>
            <w:pPr>
              <w:spacing w:after="160"/>
              <w:jc w:val="center"/>
            </w:pPr>
            <w:r>
              <w:rPr>
                <w:b/>
                <w:color w:val="1B335F"/>
                <w:sz w:val="17"/>
              </w:rPr>
              <w:t>Figure 4-112. GLD V2 – Cable gland fitted to the left-hand entry.</w:t>
              <w:br/>
            </w:r>
            <w:r>
              <w:rPr>
                <w:color w:val="555B66"/>
                <w:sz w:val="16"/>
              </w:rPr>
              <w:t>Cable gland of the current prototype (black polymer body) installed in the power-cable entry.</w:t>
            </w:r>
          </w:p>
        </w:tc>
      </w:tr>
      <w:tr>
        <w:tc>
          <w:tcPr>
            <w:tcW w:type="dxa" w:w="4873"/>
          </w:tcPr>
          <w:p>
            <w:pPr>
              <w:jc w:val="center"/>
            </w:pPr>
            <w:r>
              <w:drawing>
                <wp:inline xmlns:a="http://schemas.openxmlformats.org/drawingml/2006/main" xmlns:pic="http://schemas.openxmlformats.org/drawingml/2006/picture">
                  <wp:extent cx="2548341" cy="2834640"/>
                  <wp:docPr id="20" name="Picture 20"/>
                  <wp:cNvGraphicFramePr>
                    <a:graphicFrameLocks noChangeAspect="1"/>
                  </wp:cNvGraphicFramePr>
                  <a:graphic>
                    <a:graphicData uri="http://schemas.openxmlformats.org/drawingml/2006/picture">
                      <pic:pic>
                        <pic:nvPicPr>
                          <pic:cNvPr id="0" name="IMG_14.09.23.jpg"/>
                          <pic:cNvPicPr/>
                        </pic:nvPicPr>
                        <pic:blipFill>
                          <a:blip r:embed="rId30"/>
                          <a:stretch>
                            <a:fillRect/>
                          </a:stretch>
                        </pic:blipFill>
                        <pic:spPr>
                          <a:xfrm>
                            <a:off x="0" y="0"/>
                            <a:ext cx="2548341" cy="2834640"/>
                          </a:xfrm>
                          <a:prstGeom prst="rect"/>
                        </pic:spPr>
                      </pic:pic>
                    </a:graphicData>
                  </a:graphic>
                </wp:inline>
              </w:drawing>
            </w:r>
          </w:p>
          <w:p>
            <w:pPr>
              <w:spacing w:after="160"/>
              <w:jc w:val="center"/>
            </w:pPr>
            <w:r>
              <w:rPr>
                <w:b/>
                <w:color w:val="1B335F"/>
                <w:sz w:val="17"/>
              </w:rPr>
              <w:t>Figure 4-113. GLD V2 – 24 VDC cable inserted.</w:t>
              <w:br/>
            </w:r>
            <w:r>
              <w:rPr>
                <w:color w:val="555B66"/>
                <w:sz w:val="16"/>
              </w:rPr>
              <w:t>24 VDC supply cable passed through the cable gland.</w:t>
            </w:r>
          </w:p>
        </w:tc>
        <w:tc>
          <w:tcPr>
            <w:tcW w:type="dxa" w:w="4873"/>
          </w:tcPr>
          <w:p>
            <w:pPr>
              <w:jc w:val="center"/>
            </w:pPr>
            <w:r>
              <w:drawing>
                <wp:inline xmlns:a="http://schemas.openxmlformats.org/drawingml/2006/main" xmlns:pic="http://schemas.openxmlformats.org/drawingml/2006/picture">
                  <wp:extent cx="2743200" cy="2723998"/>
                  <wp:docPr id="21" name="Picture 21"/>
                  <wp:cNvGraphicFramePr>
                    <a:graphicFrameLocks noChangeAspect="1"/>
                  </wp:cNvGraphicFramePr>
                  <a:graphic>
                    <a:graphicData uri="http://schemas.openxmlformats.org/drawingml/2006/picture">
                      <pic:pic>
                        <pic:nvPicPr>
                          <pic:cNvPr id="0" name="IMG_14.10.55.jpg"/>
                          <pic:cNvPicPr/>
                        </pic:nvPicPr>
                        <pic:blipFill>
                          <a:blip r:embed="rId31"/>
                          <a:stretch>
                            <a:fillRect/>
                          </a:stretch>
                        </pic:blipFill>
                        <pic:spPr>
                          <a:xfrm>
                            <a:off x="0" y="0"/>
                            <a:ext cx="2743200" cy="2723998"/>
                          </a:xfrm>
                          <a:prstGeom prst="rect"/>
                        </pic:spPr>
                      </pic:pic>
                    </a:graphicData>
                  </a:graphic>
                </wp:inline>
              </w:drawing>
            </w:r>
          </w:p>
          <w:p>
            <w:pPr>
              <w:spacing w:after="160"/>
              <w:jc w:val="center"/>
            </w:pPr>
            <w:r>
              <w:rPr>
                <w:b/>
                <w:color w:val="1B335F"/>
                <w:sz w:val="17"/>
              </w:rPr>
              <w:t>Figure 4-114. GLD V2 – 24 VDC conductors terminated.</w:t>
              <w:br/>
            </w:r>
            <w:r>
              <w:rPr>
                <w:color w:val="555B66"/>
                <w:sz w:val="16"/>
              </w:rPr>
              <w:t>Supply conductors connected to the 24V +/− terminal.</w:t>
            </w:r>
          </w:p>
        </w:tc>
      </w:tr>
      <w:tr>
        <w:tc>
          <w:tcPr>
            <w:tcW w:type="dxa" w:w="4873"/>
          </w:tcPr>
          <w:p>
            <w:pPr>
              <w:jc w:val="center"/>
            </w:pPr>
            <w:r>
              <w:drawing>
                <wp:inline xmlns:a="http://schemas.openxmlformats.org/drawingml/2006/main" xmlns:pic="http://schemas.openxmlformats.org/drawingml/2006/picture">
                  <wp:extent cx="2743200" cy="2359152"/>
                  <wp:docPr id="22" name="Picture 22"/>
                  <wp:cNvGraphicFramePr>
                    <a:graphicFrameLocks noChangeAspect="1"/>
                  </wp:cNvGraphicFramePr>
                  <a:graphic>
                    <a:graphicData uri="http://schemas.openxmlformats.org/drawingml/2006/picture">
                      <pic:pic>
                        <pic:nvPicPr>
                          <pic:cNvPr id="0" name="IMG_14.12.07.jpg"/>
                          <pic:cNvPicPr/>
                        </pic:nvPicPr>
                        <pic:blipFill>
                          <a:blip r:embed="rId32"/>
                          <a:stretch>
                            <a:fillRect/>
                          </a:stretch>
                        </pic:blipFill>
                        <pic:spPr>
                          <a:xfrm>
                            <a:off x="0" y="0"/>
                            <a:ext cx="2743200" cy="2359152"/>
                          </a:xfrm>
                          <a:prstGeom prst="rect"/>
                        </pic:spPr>
                      </pic:pic>
                    </a:graphicData>
                  </a:graphic>
                </wp:inline>
              </w:drawing>
            </w:r>
          </w:p>
          <w:p>
            <w:pPr>
              <w:spacing w:after="160"/>
              <w:jc w:val="center"/>
            </w:pPr>
            <w:r>
              <w:rPr>
                <w:b/>
                <w:color w:val="1B335F"/>
                <w:sz w:val="17"/>
              </w:rPr>
              <w:t>Figure 4-115. GLD V2 – Cover with sampling fan.</w:t>
              <w:br/>
            </w:r>
            <w:r>
              <w:rPr>
                <w:color w:val="555B66"/>
                <w:sz w:val="16"/>
              </w:rPr>
              <w:t>Enclosure cover with the DC fan mounted directly behind the stainless-steel mesh; cover being fitted.</w:t>
            </w:r>
          </w:p>
        </w:tc>
        <w:tc>
          <w:tcPr>
            <w:tcW w:type="dxa" w:w="4873"/>
          </w:tcPr>
          <w:p>
            <w:pPr>
              <w:jc w:val="center"/>
            </w:pPr>
            <w:r>
              <w:drawing>
                <wp:inline xmlns:a="http://schemas.openxmlformats.org/drawingml/2006/main" xmlns:pic="http://schemas.openxmlformats.org/drawingml/2006/picture">
                  <wp:extent cx="2743200" cy="2328977"/>
                  <wp:docPr id="23" name="Picture 23"/>
                  <wp:cNvGraphicFramePr>
                    <a:graphicFrameLocks noChangeAspect="1"/>
                  </wp:cNvGraphicFramePr>
                  <a:graphic>
                    <a:graphicData uri="http://schemas.openxmlformats.org/drawingml/2006/picture">
                      <pic:pic>
                        <pic:nvPicPr>
                          <pic:cNvPr id="0" name="IMG_14.17.20.jpg"/>
                          <pic:cNvPicPr/>
                        </pic:nvPicPr>
                        <pic:blipFill>
                          <a:blip r:embed="rId33"/>
                          <a:stretch>
                            <a:fillRect/>
                          </a:stretch>
                        </pic:blipFill>
                        <pic:spPr>
                          <a:xfrm>
                            <a:off x="0" y="0"/>
                            <a:ext cx="2743200" cy="2328977"/>
                          </a:xfrm>
                          <a:prstGeom prst="rect"/>
                        </pic:spPr>
                      </pic:pic>
                    </a:graphicData>
                  </a:graphic>
                </wp:inline>
              </w:drawing>
            </w:r>
          </w:p>
          <w:p>
            <w:pPr>
              <w:spacing w:after="160"/>
              <w:jc w:val="center"/>
            </w:pPr>
            <w:r>
              <w:rPr>
                <w:b/>
                <w:color w:val="1B335F"/>
                <w:sz w:val="17"/>
              </w:rPr>
              <w:t>Figure 4-116. GLD V2 – Assembled unit — grounding.</w:t>
              <w:br/>
            </w:r>
            <w:r>
              <w:rPr>
                <w:color w:val="555B66"/>
                <w:sz w:val="16"/>
              </w:rPr>
              <w:t>Cover closed; the external grounding screw beside the cable gland is being tightened.</w:t>
            </w:r>
          </w:p>
        </w:tc>
      </w:tr>
      <w:tr>
        <w:tc>
          <w:tcPr>
            <w:tcW w:type="dxa" w:w="4873"/>
          </w:tcPr>
          <w:p>
            <w:pPr>
              <w:jc w:val="center"/>
            </w:pPr>
            <w:r>
              <w:drawing>
                <wp:inline xmlns:a="http://schemas.openxmlformats.org/drawingml/2006/main" xmlns:pic="http://schemas.openxmlformats.org/drawingml/2006/picture">
                  <wp:extent cx="2743200" cy="2416759"/>
                  <wp:docPr id="24" name="Picture 24"/>
                  <wp:cNvGraphicFramePr>
                    <a:graphicFrameLocks noChangeAspect="1"/>
                  </wp:cNvGraphicFramePr>
                  <a:graphic>
                    <a:graphicData uri="http://schemas.openxmlformats.org/drawingml/2006/picture">
                      <pic:pic>
                        <pic:nvPicPr>
                          <pic:cNvPr id="0" name="IMG_14.34.54.jpg"/>
                          <pic:cNvPicPr/>
                        </pic:nvPicPr>
                        <pic:blipFill>
                          <a:blip r:embed="rId34"/>
                          <a:stretch>
                            <a:fillRect/>
                          </a:stretch>
                        </pic:blipFill>
                        <pic:spPr>
                          <a:xfrm>
                            <a:off x="0" y="0"/>
                            <a:ext cx="2743200" cy="2416759"/>
                          </a:xfrm>
                          <a:prstGeom prst="rect"/>
                        </pic:spPr>
                      </pic:pic>
                    </a:graphicData>
                  </a:graphic>
                </wp:inline>
              </w:drawing>
            </w:r>
          </w:p>
          <w:p>
            <w:pPr>
              <w:spacing w:after="160"/>
              <w:jc w:val="center"/>
            </w:pPr>
            <w:r>
              <w:rPr>
                <w:b/>
                <w:color w:val="1B335F"/>
                <w:sz w:val="17"/>
              </w:rPr>
              <w:t>Figure 4-117. GLD V2 – Threaded cover being closed.</w:t>
              <w:br/>
            </w:r>
            <w:r>
              <w:rPr>
                <w:color w:val="555B66"/>
                <w:sz w:val="16"/>
              </w:rPr>
              <w:t>The threaded cover is screwed onto the base by hand.</w:t>
            </w:r>
          </w:p>
        </w:tc>
        <w:tc>
          <w:tcPr>
            <w:tcW w:type="dxa" w:w="4873"/>
          </w:tcPr>
          <w:p>
            <w:pPr>
              <w:jc w:val="center"/>
            </w:pPr>
            <w:r>
              <w:drawing>
                <wp:inline xmlns:a="http://schemas.openxmlformats.org/drawingml/2006/main" xmlns:pic="http://schemas.openxmlformats.org/drawingml/2006/picture">
                  <wp:extent cx="2743200" cy="2021738"/>
                  <wp:docPr id="25" name="Picture 25"/>
                  <wp:cNvGraphicFramePr>
                    <a:graphicFrameLocks noChangeAspect="1"/>
                  </wp:cNvGraphicFramePr>
                  <a:graphic>
                    <a:graphicData uri="http://schemas.openxmlformats.org/drawingml/2006/picture">
                      <pic:pic>
                        <pic:nvPicPr>
                          <pic:cNvPr id="0" name="IMG_14.35.32.jpg"/>
                          <pic:cNvPicPr/>
                        </pic:nvPicPr>
                        <pic:blipFill>
                          <a:blip r:embed="rId35"/>
                          <a:stretch>
                            <a:fillRect/>
                          </a:stretch>
                        </pic:blipFill>
                        <pic:spPr>
                          <a:xfrm>
                            <a:off x="0" y="0"/>
                            <a:ext cx="2743200" cy="2021738"/>
                          </a:xfrm>
                          <a:prstGeom prst="rect"/>
                        </pic:spPr>
                      </pic:pic>
                    </a:graphicData>
                  </a:graphic>
                </wp:inline>
              </w:drawing>
            </w:r>
          </w:p>
          <w:p>
            <w:pPr>
              <w:spacing w:after="160"/>
              <w:jc w:val="center"/>
            </w:pPr>
            <w:r>
              <w:rPr>
                <w:b/>
                <w:color w:val="1B335F"/>
                <w:sz w:val="17"/>
              </w:rPr>
              <w:t>Figure 4-118. GLD V2 – Assembled unit — front view.</w:t>
              <w:br/>
            </w:r>
            <w:r>
              <w:rPr>
                <w:color w:val="555B66"/>
                <w:sz w:val="16"/>
              </w:rPr>
              <w:t>Stainless-steel mesh sensing face; cable gland (left), alarm beacon (right), antenna (top).</w:t>
            </w:r>
          </w:p>
        </w:tc>
      </w:tr>
      <w:tr>
        <w:tc>
          <w:tcPr>
            <w:tcW w:type="dxa" w:w="4873"/>
          </w:tcPr>
          <w:p>
            <w:pPr>
              <w:jc w:val="center"/>
            </w:pPr>
            <w:r>
              <w:drawing>
                <wp:inline xmlns:a="http://schemas.openxmlformats.org/drawingml/2006/main" xmlns:pic="http://schemas.openxmlformats.org/drawingml/2006/picture">
                  <wp:extent cx="2743200" cy="1870862"/>
                  <wp:docPr id="26" name="Picture 26"/>
                  <wp:cNvGraphicFramePr>
                    <a:graphicFrameLocks noChangeAspect="1"/>
                  </wp:cNvGraphicFramePr>
                  <a:graphic>
                    <a:graphicData uri="http://schemas.openxmlformats.org/drawingml/2006/picture">
                      <pic:pic>
                        <pic:nvPicPr>
                          <pic:cNvPr id="0" name="IMG_14.35.54.jpg"/>
                          <pic:cNvPicPr/>
                        </pic:nvPicPr>
                        <pic:blipFill>
                          <a:blip r:embed="rId36"/>
                          <a:stretch>
                            <a:fillRect/>
                          </a:stretch>
                        </pic:blipFill>
                        <pic:spPr>
                          <a:xfrm>
                            <a:off x="0" y="0"/>
                            <a:ext cx="2743200" cy="1870862"/>
                          </a:xfrm>
                          <a:prstGeom prst="rect"/>
                        </pic:spPr>
                      </pic:pic>
                    </a:graphicData>
                  </a:graphic>
                </wp:inline>
              </w:drawing>
            </w:r>
          </w:p>
          <w:p>
            <w:pPr>
              <w:spacing w:after="160"/>
              <w:jc w:val="center"/>
            </w:pPr>
            <w:r>
              <w:rPr>
                <w:b/>
                <w:color w:val="1B335F"/>
                <w:sz w:val="17"/>
              </w:rPr>
              <w:t>Figure 4-119. GLD V2 – Assembled unit — side view with blanking plug.</w:t>
              <w:br/>
            </w:r>
            <w:r>
              <w:rPr>
                <w:color w:val="555B66"/>
                <w:sz w:val="16"/>
              </w:rPr>
              <w:t>Hexagon blanking plug closing the lower entry; alarm beacon on the right.</w:t>
            </w:r>
          </w:p>
        </w:tc>
        <w:tc>
          <w:tcPr>
            <w:tcW w:type="dxa" w:w="4873"/>
          </w:tcPr>
          <w:p>
            <w:pPr>
              <w:jc w:val="center"/>
            </w:pPr>
            <w:r>
              <w:drawing>
                <wp:inline xmlns:a="http://schemas.openxmlformats.org/drawingml/2006/main" xmlns:pic="http://schemas.openxmlformats.org/drawingml/2006/picture">
                  <wp:extent cx="2743200" cy="1881835"/>
                  <wp:docPr id="27" name="Picture 27"/>
                  <wp:cNvGraphicFramePr>
                    <a:graphicFrameLocks noChangeAspect="1"/>
                  </wp:cNvGraphicFramePr>
                  <a:graphic>
                    <a:graphicData uri="http://schemas.openxmlformats.org/drawingml/2006/picture">
                      <pic:pic>
                        <pic:nvPicPr>
                          <pic:cNvPr id="0" name="IMG_14.36.39.jpg"/>
                          <pic:cNvPicPr/>
                        </pic:nvPicPr>
                        <pic:blipFill>
                          <a:blip r:embed="rId37"/>
                          <a:stretch>
                            <a:fillRect/>
                          </a:stretch>
                        </pic:blipFill>
                        <pic:spPr>
                          <a:xfrm>
                            <a:off x="0" y="0"/>
                            <a:ext cx="2743200" cy="1881835"/>
                          </a:xfrm>
                          <a:prstGeom prst="rect"/>
                        </pic:spPr>
                      </pic:pic>
                    </a:graphicData>
                  </a:graphic>
                </wp:inline>
              </w:drawing>
            </w:r>
          </w:p>
          <w:p>
            <w:pPr>
              <w:spacing w:after="160"/>
              <w:jc w:val="center"/>
            </w:pPr>
            <w:r>
              <w:rPr>
                <w:b/>
                <w:color w:val="1B335F"/>
                <w:sz w:val="17"/>
              </w:rPr>
              <w:t>Figure 4-120. GLD V2 – Assembled unit — side view with cable entry.</w:t>
              <w:br/>
            </w:r>
            <w:r>
              <w:rPr>
                <w:color w:val="555B66"/>
                <w:sz w:val="16"/>
              </w:rPr>
              <w:t>Cable gland, external grounding screw and antenna.</w:t>
            </w:r>
          </w:p>
        </w:tc>
      </w:tr>
      <w:tr>
        <w:tc>
          <w:tcPr>
            <w:tcW w:type="dxa" w:w="4873"/>
          </w:tcPr>
          <w:p>
            <w:pPr>
              <w:jc w:val="center"/>
            </w:pPr>
            <w:r>
              <w:drawing>
                <wp:inline xmlns:a="http://schemas.openxmlformats.org/drawingml/2006/main" xmlns:pic="http://schemas.openxmlformats.org/drawingml/2006/picture">
                  <wp:extent cx="2743200" cy="2153412"/>
                  <wp:docPr id="28" name="Picture 28"/>
                  <wp:cNvGraphicFramePr>
                    <a:graphicFrameLocks noChangeAspect="1"/>
                  </wp:cNvGraphicFramePr>
                  <a:graphic>
                    <a:graphicData uri="http://schemas.openxmlformats.org/drawingml/2006/picture">
                      <pic:pic>
                        <pic:nvPicPr>
                          <pic:cNvPr id="0" name="IMG_14.37.03.jpg"/>
                          <pic:cNvPicPr/>
                        </pic:nvPicPr>
                        <pic:blipFill>
                          <a:blip r:embed="rId38"/>
                          <a:stretch>
                            <a:fillRect/>
                          </a:stretch>
                        </pic:blipFill>
                        <pic:spPr>
                          <a:xfrm>
                            <a:off x="0" y="0"/>
                            <a:ext cx="2743200" cy="2153412"/>
                          </a:xfrm>
                          <a:prstGeom prst="rect"/>
                        </pic:spPr>
                      </pic:pic>
                    </a:graphicData>
                  </a:graphic>
                </wp:inline>
              </w:drawing>
            </w:r>
          </w:p>
          <w:p>
            <w:pPr>
              <w:spacing w:after="160"/>
              <w:jc w:val="center"/>
            </w:pPr>
            <w:r>
              <w:rPr>
                <w:b/>
                <w:color w:val="1B335F"/>
                <w:sz w:val="17"/>
              </w:rPr>
              <w:t>Figure 4-121. GLD V2 – Assembled unit — side view with beacon.</w:t>
              <w:br/>
            </w:r>
            <w:r>
              <w:rPr>
                <w:color w:val="555B66"/>
                <w:sz w:val="16"/>
              </w:rPr>
              <w:t>Alarm beacon and mounting lugs.</w:t>
            </w:r>
          </w:p>
        </w:tc>
        <w:tc>
          <w:tcPr>
            <w:tcW w:type="dxa" w:w="4873"/>
          </w:tcPr>
          <w:p>
            <w:pPr>
              <w:jc w:val="center"/>
            </w:pPr>
            <w:r>
              <w:drawing>
                <wp:inline xmlns:a="http://schemas.openxmlformats.org/drawingml/2006/main" xmlns:pic="http://schemas.openxmlformats.org/drawingml/2006/picture">
                  <wp:extent cx="2743200" cy="1868119"/>
                  <wp:docPr id="29" name="Picture 29"/>
                  <wp:cNvGraphicFramePr>
                    <a:graphicFrameLocks noChangeAspect="1"/>
                  </wp:cNvGraphicFramePr>
                  <a:graphic>
                    <a:graphicData uri="http://schemas.openxmlformats.org/drawingml/2006/picture">
                      <pic:pic>
                        <pic:nvPicPr>
                          <pic:cNvPr id="0" name="IMG_14.37.30.jpg"/>
                          <pic:cNvPicPr/>
                        </pic:nvPicPr>
                        <pic:blipFill>
                          <a:blip r:embed="rId39"/>
                          <a:stretch>
                            <a:fillRect/>
                          </a:stretch>
                        </pic:blipFill>
                        <pic:spPr>
                          <a:xfrm>
                            <a:off x="0" y="0"/>
                            <a:ext cx="2743200" cy="1868119"/>
                          </a:xfrm>
                          <a:prstGeom prst="rect"/>
                        </pic:spPr>
                      </pic:pic>
                    </a:graphicData>
                  </a:graphic>
                </wp:inline>
              </w:drawing>
            </w:r>
          </w:p>
          <w:p>
            <w:pPr>
              <w:spacing w:after="160"/>
              <w:jc w:val="center"/>
            </w:pPr>
            <w:r>
              <w:rPr>
                <w:b/>
                <w:color w:val="1B335F"/>
                <w:sz w:val="17"/>
              </w:rPr>
              <w:t>Figure 4-122. GLD V2 – Assembled unit — side view of the base.</w:t>
              <w:br/>
            </w:r>
            <w:r>
              <w:rPr>
                <w:color w:val="555B66"/>
                <w:sz w:val="16"/>
              </w:rPr>
              <w:t>Beacon entry (left), cable gland (right) and antenna.</w:t>
            </w:r>
          </w:p>
        </w:tc>
      </w:tr>
      <w:tr>
        <w:tc>
          <w:tcPr>
            <w:tcW w:type="dxa" w:w="4873"/>
          </w:tcPr>
          <w:p>
            <w:pPr>
              <w:jc w:val="center"/>
            </w:pPr>
            <w:r>
              <w:drawing>
                <wp:inline xmlns:a="http://schemas.openxmlformats.org/drawingml/2006/main" xmlns:pic="http://schemas.openxmlformats.org/drawingml/2006/picture">
                  <wp:extent cx="2743200" cy="2029968"/>
                  <wp:docPr id="30" name="Picture 30"/>
                  <wp:cNvGraphicFramePr>
                    <a:graphicFrameLocks noChangeAspect="1"/>
                  </wp:cNvGraphicFramePr>
                  <a:graphic>
                    <a:graphicData uri="http://schemas.openxmlformats.org/drawingml/2006/picture">
                      <pic:pic>
                        <pic:nvPicPr>
                          <pic:cNvPr id="0" name="IMG_14.38.01.jpg"/>
                          <pic:cNvPicPr/>
                        </pic:nvPicPr>
                        <pic:blipFill>
                          <a:blip r:embed="rId40"/>
                          <a:stretch>
                            <a:fillRect/>
                          </a:stretch>
                        </pic:blipFill>
                        <pic:spPr>
                          <a:xfrm>
                            <a:off x="0" y="0"/>
                            <a:ext cx="2743200" cy="2029968"/>
                          </a:xfrm>
                          <a:prstGeom prst="rect"/>
                        </pic:spPr>
                      </pic:pic>
                    </a:graphicData>
                  </a:graphic>
                </wp:inline>
              </w:drawing>
            </w:r>
          </w:p>
          <w:p>
            <w:pPr>
              <w:spacing w:after="160"/>
              <w:jc w:val="center"/>
            </w:pPr>
            <w:r>
              <w:rPr>
                <w:b/>
                <w:color w:val="1B335F"/>
                <w:sz w:val="17"/>
              </w:rPr>
              <w:t>Figure 4-123. GLD V2 – Assembled unit — rear view.</w:t>
              <w:br/>
            </w:r>
            <w:r>
              <w:rPr>
                <w:color w:val="555B66"/>
                <w:sz w:val="16"/>
              </w:rPr>
              <w:t>Rear face of the base with mounting lugs; antenna (top), beacon (left), cable gland (right).</w:t>
            </w:r>
          </w:p>
        </w:tc>
        <w:tc>
          <w:tcPr>
            <w:tcW w:type="dxa" w:w="4873"/>
          </w:tcPr>
          <w:p/>
        </w:tc>
      </w:tr>
    </w:tbl>
    <w:p>
      <w:pPr>
        <w:spacing w:after="80"/>
      </w:pP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E3F1E6"/>
          </w:tcPr>
          <w:p>
            <w:pPr>
              <w:spacing w:after="20"/>
            </w:pPr>
            <w:r>
              <w:rPr>
                <w:b/>
                <w:sz w:val="16"/>
              </w:rPr>
              <w:t>Available</w:t>
            </w:r>
          </w:p>
        </w:tc>
        <w:tc>
          <w:tcPr>
            <w:tcW w:type="dxa" w:w="4608"/>
          </w:tcPr>
          <w:p>
            <w:pPr>
              <w:spacing w:after="20"/>
            </w:pPr>
            <w:r>
              <w:rPr>
                <w:sz w:val="16"/>
              </w:rPr>
              <w:t>Current production unit: Figures 4-118 (front), 4-119…4-122 (sides), 4-123 (rear), 4-116 (closed, top); CAD views M-A2 and M-B1…M-B4.</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FBEEE4"/>
          </w:tcPr>
          <w:p>
            <w:pPr>
              <w:spacing w:after="20"/>
            </w:pPr>
            <w:r>
              <w:rPr>
                <w:b/>
                <w:sz w:val="16"/>
              </w:rPr>
              <w:t>Open</w:t>
            </w:r>
          </w:p>
        </w:tc>
        <w:tc>
          <w:tcPr>
            <w:tcW w:type="dxa" w:w="4608"/>
          </w:tcPr>
          <w:p>
            <w:pPr>
              <w:spacing w:after="20"/>
            </w:pPr>
            <w:r>
              <w:rPr>
                <w:sz w:val="16"/>
              </w:rPr>
              <w:t>To be photographed once the nameplate position is fixed; caption to state that the marking is draft.</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E3F1E6"/>
          </w:tcPr>
          <w:p>
            <w:pPr>
              <w:spacing w:after="20"/>
            </w:pPr>
            <w:r>
              <w:rPr>
                <w:b/>
                <w:sz w:val="16"/>
              </w:rPr>
              <w:t>Available</w:t>
            </w:r>
          </w:p>
        </w:tc>
        <w:tc>
          <w:tcPr>
            <w:tcW w:type="dxa" w:w="4608"/>
          </w:tcPr>
          <w:p>
            <w:pPr>
              <w:spacing w:after="20"/>
            </w:pPr>
            <w:r>
              <w:rPr>
                <w:sz w:val="16"/>
              </w:rPr>
              <w:t>Figure 4-115 (fan behind the mesh in the cover), 4-118 (mesh face); M-D4.</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E3F1E6"/>
          </w:tcPr>
          <w:p>
            <w:pPr>
              <w:spacing w:after="20"/>
            </w:pPr>
            <w:r>
              <w:rPr>
                <w:b/>
                <w:sz w:val="16"/>
              </w:rPr>
              <w:t>Available</w:t>
            </w:r>
          </w:p>
        </w:tc>
        <w:tc>
          <w:tcPr>
            <w:tcW w:type="dxa" w:w="4608"/>
          </w:tcPr>
          <w:p>
            <w:pPr>
              <w:spacing w:after="20"/>
            </w:pPr>
            <w:r>
              <w:rPr>
                <w:sz w:val="16"/>
              </w:rPr>
              <w:t>Figures 4-107, 4-109…4-115 (sensor modules fitted, fan and cover); M-D6.</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Figure 4-105 (sensor module); M-D1.</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Figures 4-102, 4-103 (component side in the enclosure); top/bottom renders of main board and PCB cover (Figure 8-11); layout views 2.6.a.8. Photograph of the real board underside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E3F1E6"/>
          </w:tcPr>
          <w:p>
            <w:pPr>
              <w:spacing w:after="20"/>
            </w:pPr>
            <w:r>
              <w:rPr>
                <w:b/>
                <w:sz w:val="16"/>
              </w:rPr>
              <w:t>Available</w:t>
            </w:r>
          </w:p>
        </w:tc>
        <w:tc>
          <w:tcPr>
            <w:tcW w:type="dxa" w:w="4608"/>
          </w:tcPr>
          <w:p>
            <w:pPr>
              <w:spacing w:after="20"/>
            </w:pPr>
            <w:r>
              <w:rPr>
                <w:sz w:val="16"/>
              </w:rPr>
              <w:t>Figures 4-104 (labelled terminal board), 4-112…4-114 (gland, cable, 24V termination).</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Figures 4-116, 4-120 (external grounding screw); close-up with lug and conductor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FFF4D6"/>
          </w:tcPr>
          <w:p>
            <w:pPr>
              <w:spacing w:after="20"/>
            </w:pPr>
            <w:r>
              <w:rPr>
                <w:b/>
                <w:sz w:val="16"/>
              </w:rPr>
              <w:t>Partial</w:t>
            </w:r>
          </w:p>
        </w:tc>
        <w:tc>
          <w:tcPr>
            <w:tcW w:type="dxa" w:w="4608"/>
          </w:tcPr>
          <w:p>
            <w:pPr>
              <w:spacing w:after="20"/>
            </w:pPr>
            <w:r>
              <w:rPr>
                <w:sz w:val="16"/>
              </w:rPr>
              <w:t>Figures 4-112 (cable gland), 4-110 (beacon entry), 4-119 (blanking plug), 4-101 (antenna); close-up of the antenna bulkhead to be added.</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Figures 4-110, 4-111; M-D5,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E3F1E6"/>
          </w:tcPr>
          <w:p>
            <w:pPr>
              <w:spacing w:after="20"/>
            </w:pPr>
            <w:r>
              <w:rPr>
                <w:b/>
                <w:sz w:val="16"/>
              </w:rPr>
              <w:t>Available</w:t>
            </w:r>
          </w:p>
        </w:tc>
        <w:tc>
          <w:tcPr>
            <w:tcW w:type="dxa" w:w="4608"/>
          </w:tcPr>
          <w:p>
            <w:pPr>
              <w:spacing w:after="20"/>
            </w:pPr>
            <w:r>
              <w:rPr>
                <w:sz w:val="16"/>
              </w:rPr>
              <w:t>Figure 4-115 (open base with sensors and terminals next to the cover with fan).</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E3F1E6"/>
          </w:tcPr>
          <w:p>
            <w:pPr>
              <w:spacing w:after="20"/>
            </w:pPr>
            <w:r>
              <w:rPr>
                <w:b/>
                <w:sz w:val="16"/>
              </w:rPr>
              <w:t>Available</w:t>
            </w:r>
          </w:p>
        </w:tc>
        <w:tc>
          <w:tcPr>
            <w:tcW w:type="dxa" w:w="4608"/>
          </w:tcPr>
          <w:p>
            <w:pPr>
              <w:spacing w:after="20"/>
            </w:pPr>
            <w:r>
              <w:rPr>
                <w:sz w:val="16"/>
              </w:rPr>
              <w:t>Figures 4-101…4-117 (complete assembly sequence); exploded illustrations M-D8, M-D9, M-E1.</w:t>
            </w:r>
          </w:p>
        </w:tc>
      </w:tr>
    </w:tbl>
    <w:p>
      <w:pPr>
        <w:spacing w:after="40"/>
      </w:pPr>
    </w:p>
    <w:p>
      <w:pPr>
        <w:pStyle w:val="Heading2"/>
      </w:pPr>
      <w:r>
        <w:t>2.5 · Description of Intended Use and Installation Environment (Gas Group, Temperature Class, Area Classification)</w:t>
      </w:r>
    </w:p>
    <w:p>
      <w:pPr>
        <w:spacing w:after="160"/>
      </w:pPr>
      <w:r>
        <w:rPr>
          <w:b w:val="0"/>
          <w:i w:val="0"/>
          <w:sz w:val="21"/>
        </w:rPr>
        <w:t>The GLD is intended for continuous, fixed-point monitoring of flammable and toxic gas leaks in oil &amp; gas refinery hazardous areas — process units, tank farms, pipe racks, and loading/unloading areas. The specific Ex 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type="auto" w:w="0"/>
        <w:jc w:val="center"/>
        <w:tblLayout w:type="fixed"/>
        <w:tblLook w:firstColumn="1" w:firstRow="1" w:lastColumn="0" w:lastRow="0" w:noHBand="0" w:noVBand="1" w:val="04A0"/>
        <w:tblLayout w:type="fixed"/>
      </w:tblPr>
      <w:tblGrid>
        <w:gridCol w:w="1872"/>
        <w:gridCol w:w="1584"/>
        <w:gridCol w:w="2736"/>
        <w:gridCol w:w="3456"/>
      </w:tblGrid>
      <w:tr>
        <w:trPr>
          <w:tblHeader w:val="true"/>
        </w:trPr>
        <w:tc>
          <w:tcPr>
            <w:tcW w:type="dxa" w:w="1872"/>
            <w:shd w:val="clear" w:color="auto" w:fill="EFEFEF"/>
          </w:tcPr>
          <w:p>
            <w:pPr>
              <w:spacing w:after="40"/>
            </w:pPr>
            <w:r>
              <w:rPr>
                <w:b/>
                <w:color w:val="4A4A4A"/>
                <w:sz w:val="18"/>
              </w:rPr>
              <w:t>PARAMETER</w:t>
            </w:r>
          </w:p>
        </w:tc>
        <w:tc>
          <w:tcPr>
            <w:tcW w:type="dxa" w:w="1584"/>
            <w:shd w:val="clear" w:color="auto" w:fill="EFEFEF"/>
          </w:tcPr>
          <w:p>
            <w:pPr>
              <w:spacing w:after="40"/>
            </w:pPr>
            <w:r>
              <w:rPr>
                <w:b/>
                <w:color w:val="4A4A4A"/>
                <w:sz w:val="18"/>
              </w:rPr>
              <w:t>RECOMMENDED VALUE</w:t>
            </w:r>
          </w:p>
        </w:tc>
        <w:tc>
          <w:tcPr>
            <w:tcW w:type="dxa" w:w="2736"/>
            <w:shd w:val="clear" w:color="auto" w:fill="EFEFEF"/>
          </w:tcPr>
          <w:p>
            <w:pPr>
              <w:spacing w:after="40"/>
            </w:pPr>
            <w:r>
              <w:rPr>
                <w:b/>
                <w:color w:val="4A4A4A"/>
                <w:sz w:val="18"/>
              </w:rPr>
              <w:t>STATUS</w:t>
            </w:r>
          </w:p>
        </w:tc>
        <w:tc>
          <w:tcPr>
            <w:tcW w:type="dxa" w:w="3456"/>
            <w:shd w:val="clear" w:color="auto" w:fill="EFEFEF"/>
          </w:tcPr>
          <w:p>
            <w:pPr>
              <w:spacing w:after="40"/>
            </w:pPr>
            <w:r>
              <w:rPr>
                <w:b/>
                <w:color w:val="4A4A4A"/>
                <w:sz w:val="18"/>
              </w:rPr>
              <w:t>RATIONALE / REMARKS</w:t>
            </w:r>
          </w:p>
        </w:tc>
      </w:tr>
      <w:tr>
        <w:trPr>
          <w:cantSplit/>
        </w:trPr>
        <w:tc>
          <w:tcPr>
            <w:tcW w:type="dxa" w:w="1872"/>
          </w:tcPr>
          <w:p>
            <w:pPr>
              <w:spacing w:after="40"/>
            </w:pPr>
            <w:r>
              <w:rPr>
                <w:b/>
                <w:sz w:val="19"/>
              </w:rPr>
              <w:t>Gas group</w:t>
            </w:r>
          </w:p>
        </w:tc>
        <w:tc>
          <w:tcPr>
            <w:tcW w:type="dxa" w:w="1584"/>
          </w:tcPr>
          <w:p>
            <w:pPr>
              <w:spacing w:after="40"/>
            </w:pPr>
            <w:r>
              <w:rPr>
                <w:sz w:val="19"/>
              </w:rPr>
              <w:t>IIC</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Hydrogen (H₂) is one of the three gases the classifier is designed to detect (Section 2.3.b); IIC is required for hydrogen and inherently covers IIB and IIA.</w:t>
            </w:r>
          </w:p>
        </w:tc>
      </w:tr>
      <w:tr>
        <w:trPr>
          <w:cantSplit/>
        </w:trPr>
        <w:tc>
          <w:tcPr>
            <w:tcW w:type="dxa" w:w="1872"/>
          </w:tcPr>
          <w:p>
            <w:pPr>
              <w:spacing w:after="40"/>
            </w:pPr>
            <w:r>
              <w:rPr>
                <w:b/>
                <w:sz w:val="19"/>
              </w:rPr>
              <w:t>Temperature class</w:t>
            </w:r>
          </w:p>
        </w:tc>
        <w:tc>
          <w:tcPr>
            <w:tcW w:type="dxa" w:w="1584"/>
          </w:tcPr>
          <w:p>
            <w:pPr>
              <w:spacing w:after="40"/>
            </w:pPr>
            <w:r>
              <w:rPr>
                <w:sz w:val="19"/>
              </w:rPr>
              <w:t>T4 (≤135°C)</w:t>
            </w:r>
          </w:p>
        </w:tc>
        <w:tc>
          <w:tcPr>
            <w:tcW w:type="dxa" w:w="2736"/>
          </w:tcPr>
          <w:p>
            <w:pPr>
              <w:spacing w:after="40"/>
            </w:pPr>
            <w:r>
              <w:rPr>
                <w:b/>
                <w:color w:val="B56A1E"/>
                <w:sz w:val="19"/>
              </w:rPr>
              <w:t>Team recommendation — pending verification</w:t>
            </w:r>
          </w:p>
        </w:tc>
        <w:tc>
          <w:tcPr>
            <w:tcW w:type="dxa" w:w="3456"/>
          </w:tcPr>
          <w:p>
            <w:pPr>
              <w:spacing w:after="40"/>
            </w:pPr>
            <w:r>
              <w:rPr>
                <w:sz w:val="19"/>
              </w:rPr>
              <w:t>Supported by a preliminary internal surface-temperature measurement (Section 2.6.f): the highest value, extrapolated to the +60°C maximum ambient, is ≈114°C (MQ sensor body, fan-stalled condition), below the T4 limit less the 5 K margin (130°C). Not yet final — several measurement points and conditions remain open (see 2.6.f), and confirmation requires ExCB type testing.</w:t>
            </w:r>
          </w:p>
        </w:tc>
      </w:tr>
      <w:tr>
        <w:trPr>
          <w:cantSplit/>
        </w:trPr>
        <w:tc>
          <w:tcPr>
            <w:tcW w:type="dxa" w:w="1872"/>
          </w:tcPr>
          <w:p>
            <w:pPr>
              <w:spacing w:after="40"/>
            </w:pPr>
            <w:r>
              <w:rPr>
                <w:b/>
                <w:sz w:val="19"/>
              </w:rPr>
              <w:t>Ambient temperature range</w:t>
            </w:r>
          </w:p>
        </w:tc>
        <w:tc>
          <w:tcPr>
            <w:tcW w:type="dxa" w:w="1584"/>
          </w:tcPr>
          <w:p>
            <w:pPr>
              <w:spacing w:after="40"/>
            </w:pPr>
            <w:r>
              <w:rPr>
                <w:sz w:val="19"/>
              </w:rPr>
              <w:t>−20°C to +60°C</w:t>
            </w:r>
          </w:p>
        </w:tc>
        <w:tc>
          <w:tcPr>
            <w:tcW w:type="dxa" w:w="2736"/>
          </w:tcPr>
          <w:p>
            <w:pPr>
              <w:spacing w:after="40"/>
            </w:pPr>
            <w:r>
              <w:rPr>
                <w:b/>
                <w:color w:val="149174"/>
                <w:sz w:val="19"/>
              </w:rPr>
              <w:t>Final</w:t>
            </w:r>
          </w:p>
        </w:tc>
        <w:tc>
          <w:tcPr>
            <w:tcW w:type="dxa" w:w="3456"/>
          </w:tcPr>
          <w:p>
            <w:pPr>
              <w:spacing w:after="40"/>
            </w:pPr>
            <w:r>
              <w:rPr>
                <w:sz w:val="19"/>
              </w:rPr>
              <w:t>Project-confirmed value, consistent with the Mechanical Parameters table (Section 2.3.c). Used as the reference for extrapolating the preliminary surface-temperature measurements in Section 2.6.f to worst-case ambient.</w:t>
            </w:r>
          </w:p>
        </w:tc>
      </w:tr>
      <w:tr>
        <w:trPr>
          <w:cantSplit/>
        </w:trPr>
        <w:tc>
          <w:tcPr>
            <w:tcW w:type="dxa" w:w="1872"/>
          </w:tcPr>
          <w:p>
            <w:pPr>
              <w:spacing w:after="40"/>
            </w:pPr>
            <w:r>
              <w:rPr>
                <w:b/>
                <w:sz w:val="19"/>
              </w:rPr>
              <w:t>Area classification (zone)</w:t>
            </w:r>
          </w:p>
        </w:tc>
        <w:tc>
          <w:tcPr>
            <w:tcW w:type="dxa" w:w="1584"/>
          </w:tcPr>
          <w:p>
            <w:pPr>
              <w:spacing w:after="40"/>
            </w:pPr>
            <w:r>
              <w:rPr>
                <w:sz w:val="19"/>
              </w:rPr>
              <w:t>Zone 1</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Assessed as sufficient for the general refinery deployment envelope, including areas near storage. Zone 0 would only apply if the detector were installed directly inside a tank vapor space.</w:t>
            </w:r>
          </w:p>
        </w:tc>
      </w:tr>
      <w:tr>
        <w:trPr>
          <w:cantSplit/>
        </w:trPr>
        <w:tc>
          <w:tcPr>
            <w:tcW w:type="dxa" w:w="1872"/>
          </w:tcPr>
          <w:p>
            <w:pPr>
              <w:spacing w:after="40"/>
            </w:pPr>
            <w:r>
              <w:rPr>
                <w:b/>
                <w:sz w:val="19"/>
              </w:rPr>
              <w:t>Type of protection</w:t>
            </w:r>
          </w:p>
        </w:tc>
        <w:tc>
          <w:tcPr>
            <w:tcW w:type="dxa" w:w="1584"/>
          </w:tcPr>
          <w:p>
            <w:pPr>
              <w:spacing w:after="40"/>
            </w:pPr>
            <w:r>
              <w:rPr>
                <w:sz w:val="19"/>
              </w:rPr>
              <w:t>Ex d — flameproof enclosure</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Selected over Ex e and Ex i based on the existing enclosure design: a die-cast aluminum (ADC12) housing with a stainless-steel wire mesh over the sensing element functions as a flame path/flame arrestor,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 Ex e was not pursued because it is not intended for enclosures with normally-energized, potentially arcing parts such as the sensor heaters.</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zone, and type of protection are not yet formally established. Final classification requires explicit agreement with the ExCB.</w:t>
            </w:r>
          </w:p>
        </w:tc>
      </w:tr>
    </w:tbl>
    <w:p>
      <w:pPr>
        <w:spacing w:after="80"/>
      </w:pPr>
    </w:p>
    <w:p>
      <w:pPr>
        <w:pStyle w:val="Heading2"/>
      </w:pPr>
      <w:r>
        <w:t>2.6 · Design and Manufacturing Information</w:t>
      </w:r>
    </w:p>
    <w:p>
      <w:pPr>
        <w:spacing w:after="160"/>
      </w:pPr>
      <w:r>
        <w:rPr>
          <w:b w:val="0"/>
          <w:i w:val="0"/>
          <w:sz w:val="21"/>
        </w:rPr>
        <w:t>Nine sub-items (a–i) per the original checklist. Status is reported item by item below; most sub-items are not yet available — this is reported plainly rather than implied to be complete.</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pPr>
        <w:jc w:val="center"/>
      </w:pPr>
      <w:r>
        <w:drawing>
          <wp:inline xmlns:a="http://schemas.openxmlformats.org/drawingml/2006/main" xmlns:pic="http://schemas.openxmlformats.org/drawingml/2006/picture">
            <wp:extent cx="5120640" cy="3413760"/>
            <wp:docPr id="31" name="Picture 31"/>
            <wp:cNvGraphicFramePr>
              <a:graphicFrameLocks noChangeAspect="1"/>
            </wp:cNvGraphicFramePr>
            <a:graphic>
              <a:graphicData uri="http://schemas.openxmlformats.org/drawingml/2006/picture">
                <pic:pic>
                  <pic:nvPicPr>
                    <pic:cNvPr id="0" name="01-diagram.png"/>
                    <pic:cNvPicPr/>
                  </pic:nvPicPr>
                  <pic:blipFill>
                    <a:blip r:embed="rId41"/>
                    <a:stretch>
                      <a:fillRect/>
                    </a:stretch>
                  </pic:blipFill>
                  <pic:spPr>
                    <a:xfrm>
                      <a:off x="0" y="0"/>
                      <a:ext cx="5120640" cy="3413760"/>
                    </a:xfrm>
                    <a:prstGeom prst="rect"/>
                  </pic:spPr>
                </pic:pic>
              </a:graphicData>
            </a:graphic>
          </wp:inline>
        </w:drawing>
      </w:r>
    </w:p>
    <w:p>
      <w:pPr>
        <w:spacing w:after="240"/>
        <w:jc w:val="center"/>
      </w:pPr>
      <w:r>
        <w:rPr>
          <w:b/>
          <w:sz w:val="19"/>
        </w:rPr>
        <w:t>Sheet 1 of 9 — Overall architecture</w:t>
        <w:br/>
      </w:r>
      <w:r>
        <w:rPr>
          <w:color w:val="4A4A4A"/>
          <w:sz w:val="17"/>
        </w:rPr>
        <w:t>Power input, power distribution, analog acquisition, sensor control, main control (ESP32-S3), and external interfaces (alarm, RS-485, LoRa antenna, programming/configuration).</w:t>
      </w:r>
    </w:p>
    <w:p>
      <w:pPr>
        <w:jc w:val="center"/>
      </w:pPr>
      <w:r>
        <w:drawing>
          <wp:inline xmlns:a="http://schemas.openxmlformats.org/drawingml/2006/main" xmlns:pic="http://schemas.openxmlformats.org/drawingml/2006/picture">
            <wp:extent cx="5120640" cy="3413760"/>
            <wp:docPr id="32" name="Picture 32"/>
            <wp:cNvGraphicFramePr>
              <a:graphicFrameLocks noChangeAspect="1"/>
            </wp:cNvGraphicFramePr>
            <a:graphic>
              <a:graphicData uri="http://schemas.openxmlformats.org/drawingml/2006/picture">
                <pic:pic>
                  <pic:nvPicPr>
                    <pic:cNvPr id="0" name="02-diagram.png"/>
                    <pic:cNvPicPr/>
                  </pic:nvPicPr>
                  <pic:blipFill>
                    <a:blip r:embed="rId42"/>
                    <a:stretch>
                      <a:fillRect/>
                    </a:stretch>
                  </pic:blipFill>
                  <pic:spPr>
                    <a:xfrm>
                      <a:off x="0" y="0"/>
                      <a:ext cx="5120640" cy="3413760"/>
                    </a:xfrm>
                    <a:prstGeom prst="rect"/>
                  </pic:spPr>
                </pic:pic>
              </a:graphicData>
            </a:graphic>
          </wp:inline>
        </w:drawing>
      </w:r>
    </w:p>
    <w:p>
      <w:pPr>
        <w:spacing w:after="240"/>
        <w:jc w:val="center"/>
      </w:pPr>
      <w:r>
        <w:rPr>
          <w:b/>
          <w:sz w:val="19"/>
        </w:rPr>
        <w:t>Sheet 2 of 9 — Main power</w:t>
        <w:br/>
      </w:r>
      <w:r>
        <w:rPr>
          <w:color w:val="4A4A4A"/>
          <w:sz w:val="17"/>
        </w:rPr>
        <w:t>Main power input rails and distribution: +5 V / +5VA analog, 3.3 V, and +24 V for the alarm circuit.</w:t>
      </w:r>
    </w:p>
    <w:p>
      <w:pPr>
        <w:jc w:val="center"/>
      </w:pPr>
      <w:r>
        <w:drawing>
          <wp:inline xmlns:a="http://schemas.openxmlformats.org/drawingml/2006/main" xmlns:pic="http://schemas.openxmlformats.org/drawingml/2006/picture">
            <wp:extent cx="5120640" cy="3413760"/>
            <wp:docPr id="33" name="Picture 33"/>
            <wp:cNvGraphicFramePr>
              <a:graphicFrameLocks noChangeAspect="1"/>
            </wp:cNvGraphicFramePr>
            <a:graphic>
              <a:graphicData uri="http://schemas.openxmlformats.org/drawingml/2006/picture">
                <pic:pic>
                  <pic:nvPicPr>
                    <pic:cNvPr id="0" name="03-diagram.png"/>
                    <pic:cNvPicPr/>
                  </pic:nvPicPr>
                  <pic:blipFill>
                    <a:blip r:embed="rId43"/>
                    <a:stretch>
                      <a:fillRect/>
                    </a:stretch>
                  </pic:blipFill>
                  <pic:spPr>
                    <a:xfrm>
                      <a:off x="0" y="0"/>
                      <a:ext cx="5120640" cy="3413760"/>
                    </a:xfrm>
                    <a:prstGeom prst="rect"/>
                  </pic:spPr>
                </pic:pic>
              </a:graphicData>
            </a:graphic>
          </wp:inline>
        </w:drawing>
      </w:r>
    </w:p>
    <w:p>
      <w:pPr>
        <w:spacing w:after="240"/>
        <w:jc w:val="center"/>
      </w:pPr>
      <w:r>
        <w:rPr>
          <w:b/>
          <w:sz w:val="19"/>
        </w:rPr>
        <w:t>Sheet 3 of 9 — Always-on power</w:t>
        <w:br/>
      </w:r>
      <w:r>
        <w:rPr>
          <w:color w:val="4A4A4A"/>
          <w:sz w:val="17"/>
        </w:rPr>
        <w:t>The always-on power domain that remains active independent of the main control state.</w:t>
      </w:r>
    </w:p>
    <w:p>
      <w:pPr>
        <w:jc w:val="center"/>
      </w:pPr>
      <w:r>
        <w:drawing>
          <wp:inline xmlns:a="http://schemas.openxmlformats.org/drawingml/2006/main" xmlns:pic="http://schemas.openxmlformats.org/drawingml/2006/picture">
            <wp:extent cx="5120640" cy="3413760"/>
            <wp:docPr id="34" name="Picture 34"/>
            <wp:cNvGraphicFramePr>
              <a:graphicFrameLocks noChangeAspect="1"/>
            </wp:cNvGraphicFramePr>
            <a:graphic>
              <a:graphicData uri="http://schemas.openxmlformats.org/drawingml/2006/picture">
                <pic:pic>
                  <pic:nvPicPr>
                    <pic:cNvPr id="0" name="04-diagram.png"/>
                    <pic:cNvPicPr/>
                  </pic:nvPicPr>
                  <pic:blipFill>
                    <a:blip r:embed="rId44"/>
                    <a:stretch>
                      <a:fillRect/>
                    </a:stretch>
                  </pic:blipFill>
                  <pic:spPr>
                    <a:xfrm>
                      <a:off x="0" y="0"/>
                      <a:ext cx="5120640" cy="3413760"/>
                    </a:xfrm>
                    <a:prstGeom prst="rect"/>
                  </pic:spPr>
                </pic:pic>
              </a:graphicData>
            </a:graphic>
          </wp:inline>
        </w:drawing>
      </w:r>
    </w:p>
    <w:p>
      <w:pPr>
        <w:spacing w:after="240"/>
        <w:jc w:val="center"/>
      </w:pPr>
      <w:r>
        <w:rPr>
          <w:b/>
          <w:sz w:val="19"/>
        </w:rPr>
        <w:t>Sheet 4 of 9 — Sensor module</w:t>
        <w:br/>
      </w:r>
      <w:r>
        <w:rPr>
          <w:color w:val="4A4A4A"/>
          <w:sz w:val="17"/>
        </w:rPr>
        <w:t>The external gas sensor module: 8 analog channels with per-channel I2C enable, including the sensor, DAC, and power-switch sub-blocks.</w:t>
      </w:r>
    </w:p>
    <w:p>
      <w:pPr>
        <w:jc w:val="center"/>
      </w:pPr>
      <w:r>
        <w:drawing>
          <wp:inline xmlns:a="http://schemas.openxmlformats.org/drawingml/2006/main" xmlns:pic="http://schemas.openxmlformats.org/drawingml/2006/picture">
            <wp:extent cx="5120640" cy="3413760"/>
            <wp:docPr id="35" name="Picture 35"/>
            <wp:cNvGraphicFramePr>
              <a:graphicFrameLocks noChangeAspect="1"/>
            </wp:cNvGraphicFramePr>
            <a:graphic>
              <a:graphicData uri="http://schemas.openxmlformats.org/drawingml/2006/picture">
                <pic:pic>
                  <pic:nvPicPr>
                    <pic:cNvPr id="0" name="05-diagram.png"/>
                    <pic:cNvPicPr/>
                  </pic:nvPicPr>
                  <pic:blipFill>
                    <a:blip r:embed="rId45"/>
                    <a:stretch>
                      <a:fillRect/>
                    </a:stretch>
                  </pic:blipFill>
                  <pic:spPr>
                    <a:xfrm>
                      <a:off x="0" y="0"/>
                      <a:ext cx="5120640" cy="3413760"/>
                    </a:xfrm>
                    <a:prstGeom prst="rect"/>
                  </pic:spPr>
                </pic:pic>
              </a:graphicData>
            </a:graphic>
          </wp:inline>
        </w:drawing>
      </w:r>
    </w:p>
    <w:p>
      <w:pPr>
        <w:spacing w:after="240"/>
        <w:jc w:val="center"/>
      </w:pPr>
      <w:r>
        <w:rPr>
          <w:b/>
          <w:sz w:val="19"/>
        </w:rPr>
        <w:t>Sheet 5 of 9 — Analog acquisition</w:t>
        <w:br/>
      </w:r>
      <w:r>
        <w:rPr>
          <w:color w:val="4A4A4A"/>
          <w:sz w:val="17"/>
        </w:rPr>
        <w:t>The 8-channel analog acquisition front end: analog inputs, ADC (ADS1256), reference, and VMID biasing.</w:t>
      </w:r>
    </w:p>
    <w:p>
      <w:pPr>
        <w:jc w:val="center"/>
      </w:pPr>
      <w:r>
        <w:drawing>
          <wp:inline xmlns:a="http://schemas.openxmlformats.org/drawingml/2006/main" xmlns:pic="http://schemas.openxmlformats.org/drawingml/2006/picture">
            <wp:extent cx="5120640" cy="3413760"/>
            <wp:docPr id="36" name="Picture 36"/>
            <wp:cNvGraphicFramePr>
              <a:graphicFrameLocks noChangeAspect="1"/>
            </wp:cNvGraphicFramePr>
            <a:graphic>
              <a:graphicData uri="http://schemas.openxmlformats.org/drawingml/2006/picture">
                <pic:pic>
                  <pic:nvPicPr>
                    <pic:cNvPr id="0" name="06-diagram.png"/>
                    <pic:cNvPicPr/>
                  </pic:nvPicPr>
                  <pic:blipFill>
                    <a:blip r:embed="rId46"/>
                    <a:stretch>
                      <a:fillRect/>
                    </a:stretch>
                  </pic:blipFill>
                  <pic:spPr>
                    <a:xfrm>
                      <a:off x="0" y="0"/>
                      <a:ext cx="5120640" cy="3413760"/>
                    </a:xfrm>
                    <a:prstGeom prst="rect"/>
                  </pic:spPr>
                </pic:pic>
              </a:graphicData>
            </a:graphic>
          </wp:inline>
        </w:drawing>
      </w:r>
    </w:p>
    <w:p>
      <w:pPr>
        <w:spacing w:after="240"/>
        <w:jc w:val="center"/>
      </w:pPr>
      <w:r>
        <w:rPr>
          <w:b/>
          <w:sz w:val="19"/>
        </w:rPr>
        <w:t>Sheet 6 of 9 — I2C &amp; sensor control</w:t>
        <w:br/>
      </w:r>
      <w:r>
        <w:rPr>
          <w:color w:val="4A4A4A"/>
          <w:sz w:val="17"/>
        </w:rPr>
        <w:t>I2C channel selection (TCA9548A), per-channel sensor enable (PCF8574), and the temperature/humidity sensor (SHT40).</w:t>
      </w:r>
    </w:p>
    <w:p>
      <w:pPr>
        <w:jc w:val="center"/>
      </w:pPr>
      <w:r>
        <w:drawing>
          <wp:inline xmlns:a="http://schemas.openxmlformats.org/drawingml/2006/main" xmlns:pic="http://schemas.openxmlformats.org/drawingml/2006/picture">
            <wp:extent cx="5120640" cy="3413760"/>
            <wp:docPr id="37" name="Picture 37"/>
            <wp:cNvGraphicFramePr>
              <a:graphicFrameLocks noChangeAspect="1"/>
            </wp:cNvGraphicFramePr>
            <a:graphic>
              <a:graphicData uri="http://schemas.openxmlformats.org/drawingml/2006/picture">
                <pic:pic>
                  <pic:nvPicPr>
                    <pic:cNvPr id="0" name="07-diagram.png"/>
                    <pic:cNvPicPr/>
                  </pic:nvPicPr>
                  <pic:blipFill>
                    <a:blip r:embed="rId47"/>
                    <a:stretch>
                      <a:fillRect/>
                    </a:stretch>
                  </pic:blipFill>
                  <pic:spPr>
                    <a:xfrm>
                      <a:off x="0" y="0"/>
                      <a:ext cx="5120640" cy="3413760"/>
                    </a:xfrm>
                    <a:prstGeom prst="rect"/>
                  </pic:spPr>
                </pic:pic>
              </a:graphicData>
            </a:graphic>
          </wp:inline>
        </w:drawing>
      </w:r>
    </w:p>
    <w:p>
      <w:pPr>
        <w:spacing w:after="240"/>
        <w:jc w:val="center"/>
      </w:pPr>
      <w:r>
        <w:rPr>
          <w:b/>
          <w:sz w:val="19"/>
        </w:rPr>
        <w:t>Sheet 7 of 9 — ESP32 connections</w:t>
        <w:br/>
      </w:r>
      <w:r>
        <w:rPr>
          <w:color w:val="4A4A4A"/>
          <w:sz w:val="17"/>
        </w:rPr>
        <w:t>Main controller (ESP32-S3) interface map: SPI to the ADC, I2C to sensor/control, UART for USB and RS-485, and GPIO for alarm, power, button, and LED.</w:t>
      </w:r>
    </w:p>
    <w:p>
      <w:pPr>
        <w:jc w:val="center"/>
      </w:pPr>
      <w:r>
        <w:drawing>
          <wp:inline xmlns:a="http://schemas.openxmlformats.org/drawingml/2006/main" xmlns:pic="http://schemas.openxmlformats.org/drawingml/2006/picture">
            <wp:extent cx="5120640" cy="3413760"/>
            <wp:docPr id="38" name="Picture 38"/>
            <wp:cNvGraphicFramePr>
              <a:graphicFrameLocks noChangeAspect="1"/>
            </wp:cNvGraphicFramePr>
            <a:graphic>
              <a:graphicData uri="http://schemas.openxmlformats.org/drawingml/2006/picture">
                <pic:pic>
                  <pic:nvPicPr>
                    <pic:cNvPr id="0" name="08-diagram.png"/>
                    <pic:cNvPicPr/>
                  </pic:nvPicPr>
                  <pic:blipFill>
                    <a:blip r:embed="rId48"/>
                    <a:stretch>
                      <a:fillRect/>
                    </a:stretch>
                  </pic:blipFill>
                  <pic:spPr>
                    <a:xfrm>
                      <a:off x="0" y="0"/>
                      <a:ext cx="5120640" cy="3413760"/>
                    </a:xfrm>
                    <a:prstGeom prst="rect"/>
                  </pic:spPr>
                </pic:pic>
              </a:graphicData>
            </a:graphic>
          </wp:inline>
        </w:drawing>
      </w:r>
    </w:p>
    <w:p>
      <w:pPr>
        <w:spacing w:after="240"/>
        <w:jc w:val="center"/>
      </w:pPr>
      <w:r>
        <w:rPr>
          <w:b/>
          <w:sz w:val="19"/>
        </w:rPr>
        <w:t>Sheet 8 of 9 — Alarm &amp; status</w:t>
        <w:br/>
      </w:r>
      <w:r>
        <w:rPr>
          <w:color w:val="4A4A4A"/>
          <w:sz w:val="17"/>
        </w:rPr>
        <w:t>Alarm output and status-indication circuitry driven from the main controller.</w:t>
      </w:r>
    </w:p>
    <w:p>
      <w:pPr>
        <w:jc w:val="center"/>
      </w:pPr>
      <w:r>
        <w:drawing>
          <wp:inline xmlns:a="http://schemas.openxmlformats.org/drawingml/2006/main" xmlns:pic="http://schemas.openxmlformats.org/drawingml/2006/picture">
            <wp:extent cx="5120640" cy="3413760"/>
            <wp:docPr id="39" name="Picture 39"/>
            <wp:cNvGraphicFramePr>
              <a:graphicFrameLocks noChangeAspect="1"/>
            </wp:cNvGraphicFramePr>
            <a:graphic>
              <a:graphicData uri="http://schemas.openxmlformats.org/drawingml/2006/picture">
                <pic:pic>
                  <pic:nvPicPr>
                    <pic:cNvPr id="0" name="09-diagram.png"/>
                    <pic:cNvPicPr/>
                  </pic:nvPicPr>
                  <pic:blipFill>
                    <a:blip r:embed="rId49"/>
                    <a:stretch>
                      <a:fillRect/>
                    </a:stretch>
                  </pic:blipFill>
                  <pic:spPr>
                    <a:xfrm>
                      <a:off x="0" y="0"/>
                      <a:ext cx="5120640" cy="3413760"/>
                    </a:xfrm>
                    <a:prstGeom prst="rect"/>
                  </pic:spPr>
                </pic:pic>
              </a:graphicData>
            </a:graphic>
          </wp:inline>
        </w:drawing>
      </w:r>
    </w:p>
    <w:p>
      <w:pPr>
        <w:spacing w:after="240"/>
        <w:jc w:val="center"/>
      </w:pPr>
      <w:r>
        <w:rPr>
          <w:b/>
          <w:sz w:val="19"/>
        </w:rPr>
        <w:t>Sheet 9 of 9 — System flow</w:t>
        <w:br/>
      </w:r>
      <w:r>
        <w:rPr>
          <w:color w:val="4A4A4A"/>
          <w:sz w:val="17"/>
        </w:rPr>
        <w:t>Overall signal and data flow across the board, summarizing how the preceding eight sheets connect end to end.</w:t>
      </w:r>
    </w:p>
    <w:p>
      <w:pPr>
        <w:jc w:val="center"/>
      </w:pPr>
      <w:r>
        <w:drawing>
          <wp:inline xmlns:a="http://schemas.openxmlformats.org/drawingml/2006/main" xmlns:pic="http://schemas.openxmlformats.org/drawingml/2006/picture">
            <wp:extent cx="2468880" cy="2479268"/>
            <wp:docPr id="40" name="Picture 40"/>
            <wp:cNvGraphicFramePr>
              <a:graphicFrameLocks noChangeAspect="1"/>
            </wp:cNvGraphicFramePr>
            <a:graphic>
              <a:graphicData uri="http://schemas.openxmlformats.org/drawingml/2006/picture">
                <pic:pic>
                  <pic:nvPicPr>
                    <pic:cNvPr id="0" name="10-pcb-layout.png"/>
                    <pic:cNvPicPr/>
                  </pic:nvPicPr>
                  <pic:blipFill>
                    <a:blip r:embed="rId50"/>
                    <a:stretch>
                      <a:fillRect/>
                    </a:stretch>
                  </pic:blipFill>
                  <pic:spPr>
                    <a:xfrm>
                      <a:off x="0" y="0"/>
                      <a:ext cx="2468880" cy="2479268"/>
                    </a:xfrm>
                    <a:prstGeom prst="rect"/>
                  </pic:spPr>
                </pic:pic>
              </a:graphicData>
            </a:graphic>
          </wp:inline>
        </w:drawing>
      </w:r>
      <w:r>
        <w:t xml:space="preserve">   </w:t>
        <w:drawing>
          <wp:inline xmlns:a="http://schemas.openxmlformats.org/drawingml/2006/main" xmlns:pic="http://schemas.openxmlformats.org/drawingml/2006/picture">
            <wp:extent cx="2468880" cy="1804956"/>
            <wp:docPr id="41" name="Picture 41"/>
            <wp:cNvGraphicFramePr>
              <a:graphicFrameLocks noChangeAspect="1"/>
            </wp:cNvGraphicFramePr>
            <a:graphic>
              <a:graphicData uri="http://schemas.openxmlformats.org/drawingml/2006/picture">
                <pic:pic>
                  <pic:nvPicPr>
                    <pic:cNvPr id="0" name="11-pcb-3d-render.png"/>
                    <pic:cNvPicPr/>
                  </pic:nvPicPr>
                  <pic:blipFill>
                    <a:blip r:embed="rId51"/>
                    <a:stretch>
                      <a:fillRect/>
                    </a:stretch>
                  </pic:blipFill>
                  <pic:spPr>
                    <a:xfrm>
                      <a:off x="0" y="0"/>
                      <a:ext cx="2468880" cy="1804956"/>
                    </a:xfrm>
                    <a:prstGeom prst="rect"/>
                  </pic:spPr>
                </pic:pic>
              </a:graphicData>
            </a:graphic>
          </wp:inline>
        </w:drawing>
      </w:r>
    </w:p>
    <w:p>
      <w:pPr>
        <w:spacing w:after="240"/>
        <w:jc w:val="center"/>
      </w:pPr>
      <w:r>
        <w:rPr>
          <w:b/>
          <w:sz w:val="19"/>
        </w:rPr>
        <w:t>Main board PCB layout (top copper) and 3D populated render</w:t>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pPr>
        <w:spacing w:after="160"/>
      </w:pPr>
      <w:r>
        <w:rPr>
          <w:b w:val="0"/>
          <w:i w:val="0"/>
          <w:sz w:val="21"/>
        </w:rP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pPr>
        <w:jc w:val="center"/>
      </w:pPr>
      <w:r>
        <w:drawing>
          <wp:inline xmlns:a="http://schemas.openxmlformats.org/drawingml/2006/main" xmlns:pic="http://schemas.openxmlformats.org/drawingml/2006/picture">
            <wp:extent cx="5669280" cy="3847707"/>
            <wp:docPr id="42" name="Picture 42"/>
            <wp:cNvGraphicFramePr>
              <a:graphicFrameLocks noChangeAspect="1"/>
            </wp:cNvGraphicFramePr>
            <a:graphic>
              <a:graphicData uri="http://schemas.openxmlformats.org/drawingml/2006/picture">
                <pic:pic>
                  <pic:nvPicPr>
                    <pic:cNvPr id="0" name="bracket-mounting-drawing.png"/>
                    <pic:cNvPicPr/>
                  </pic:nvPicPr>
                  <pic:blipFill>
                    <a:blip r:embed="rId52"/>
                    <a:stretch>
                      <a:fillRect/>
                    </a:stretch>
                  </pic:blipFill>
                  <pic:spPr>
                    <a:xfrm>
                      <a:off x="0" y="0"/>
                      <a:ext cx="5669280" cy="3847707"/>
                    </a:xfrm>
                    <a:prstGeom prst="rect"/>
                  </pic:spPr>
                </pic:pic>
              </a:graphicData>
            </a:graphic>
          </wp:inline>
        </w:drawing>
      </w:r>
    </w:p>
    <w:p>
      <w:pPr>
        <w:spacing w:after="240"/>
        <w:jc w:val="center"/>
      </w:pPr>
      <w:r>
        <w:rPr>
          <w:b/>
          <w:sz w:val="19"/>
        </w:rPr>
        <w:t>Enclosure envelope &amp; mounting bracket — dimensioned drawing sheet</w:t>
        <w:br/>
      </w:r>
      <w:r>
        <w:rPr>
          <w:color w:val="4A4A4A"/>
          <w:sz w:val="17"/>
        </w:rPr>
        <w:t>Orthographic and isometric views with real dimensions (enclosure neck Ø75 mm, overall probe height 191.51 mm, mounting plate 250×250 mm with toleranced hole pattern), a U-bolt parameter table (2″/DN50, M10 thread), and a title block (drafted 31 Aug 2026). Source: dimensioned CAD drawing derived from a STEP solid model of the enclosure and bracket assembly.</w:t>
      </w:r>
    </w:p>
    <w:p>
      <w:pPr>
        <w:jc w:val="center"/>
      </w:pPr>
      <w:r>
        <w:drawing>
          <wp:inline xmlns:a="http://schemas.openxmlformats.org/drawingml/2006/main" xmlns:pic="http://schemas.openxmlformats.org/drawingml/2006/picture">
            <wp:extent cx="5669280" cy="3188136"/>
            <wp:docPr id="43" name="Picture 43"/>
            <wp:cNvGraphicFramePr>
              <a:graphicFrameLocks noChangeAspect="1"/>
            </wp:cNvGraphicFramePr>
            <a:graphic>
              <a:graphicData uri="http://schemas.openxmlformats.org/drawingml/2006/picture">
                <pic:pic>
                  <pic:nvPicPr>
                    <pic:cNvPr id="0" name="gld_atex_case_v3_dimensioned.png"/>
                    <pic:cNvPicPr/>
                  </pic:nvPicPr>
                  <pic:blipFill>
                    <a:blip r:embed="rId53"/>
                    <a:stretch>
                      <a:fillRect/>
                    </a:stretch>
                  </pic:blipFill>
                  <pic:spPr>
                    <a:xfrm>
                      <a:off x="0" y="0"/>
                      <a:ext cx="5669280" cy="3188136"/>
                    </a:xfrm>
                    <a:prstGeom prst="rect"/>
                  </pic:spPr>
                </pic:pic>
              </a:graphicData>
            </a:graphic>
          </wp:inline>
        </w:drawing>
      </w:r>
    </w:p>
    <w:p>
      <w:pPr>
        <w:spacing w:after="240"/>
        <w:jc w:val="center"/>
      </w:pPr>
      <w:r>
        <w:rPr>
          <w:b/>
          <w:sz w:val="19"/>
        </w:rPr>
        <w:t>“GLD ATEX CASE v3” — dimensioned enclosure drawing sheet</w:t>
        <w:br/>
      </w:r>
      <w:r>
        <w:rPr>
          <w:color w:val="4A4A4A"/>
          <w:sz w:val="17"/>
        </w:rPr>
        <w:t>Internal contingency/alternate enclosure design (drafted 8 Sep 2026) with real dimensions. Shown as a dimensioned reference; not yet confirmed as the production enclosure.</w:t>
      </w:r>
    </w:p>
    <w:p>
      <w:pPr>
        <w:jc w:val="center"/>
      </w:pPr>
      <w:r>
        <w:drawing>
          <wp:inline xmlns:a="http://schemas.openxmlformats.org/drawingml/2006/main" xmlns:pic="http://schemas.openxmlformats.org/drawingml/2006/picture">
            <wp:extent cx="5669280" cy="4005179"/>
            <wp:docPr id="44" name="Picture 44"/>
            <wp:cNvGraphicFramePr>
              <a:graphicFrameLocks noChangeAspect="1"/>
            </wp:cNvGraphicFramePr>
            <a:graphic>
              <a:graphicData uri="http://schemas.openxmlformats.org/drawingml/2006/picture">
                <pic:pic>
                  <pic:nvPicPr>
                    <pic:cNvPr id="0" name="bp18-1z_common_base_reference.png"/>
                    <pic:cNvPicPr/>
                  </pic:nvPicPr>
                  <pic:blipFill>
                    <a:blip r:embed="rId54"/>
                    <a:stretch>
                      <a:fillRect/>
                    </a:stretch>
                  </pic:blipFill>
                  <pic:spPr>
                    <a:xfrm>
                      <a:off x="0" y="0"/>
                      <a:ext cx="5669280" cy="4005179"/>
                    </a:xfrm>
                    <a:prstGeom prst="rect"/>
                  </pic:spPr>
                </pic:pic>
              </a:graphicData>
            </a:graphic>
          </wp:inline>
        </w:drawing>
      </w:r>
    </w:p>
    <w:p>
      <w:pPr>
        <w:spacing w:after="240"/>
        <w:jc w:val="center"/>
      </w:pPr>
      <w:r>
        <w:rPr>
          <w:b/>
          <w:sz w:val="19"/>
        </w:rPr>
        <w:t>“Universal Base” BP18-1Z — supplier reference drawing</w:t>
        <w:br/>
      </w:r>
      <w:r>
        <w:rPr>
          <w:color w:val="4A4A4A"/>
          <w:sz w:val="17"/>
        </w:rPr>
        <w:t>Die-cast base from the casing partner's supply chain (ADC12, 0.6 kg, 2× M20×1.5-6H cable entries). Candidate junction-box/terminal sub-component under evaluation; footprint does not match the GLD main enclosure.</w:t>
      </w:r>
    </w:p>
    <w:tbl>
      <w:tblPr>
        <w:tblStyle w:val="TableGrid"/>
        <w:tblW w:type="auto" w:w="0"/>
        <w:jc w:val="center"/>
        <w:tblLayout w:type="fixed"/>
        <w:tblLook w:firstColumn="1" w:firstRow="1" w:lastColumn="0" w:lastRow="0" w:noHBand="0" w:noVBand="1" w:val="04A0"/>
        <w:tblLayout w:type="fixed"/>
      </w:tblPr>
      <w:tblGrid>
        <w:gridCol w:w="3744"/>
        <w:gridCol w:w="1872"/>
        <w:gridCol w:w="4031"/>
      </w:tblGrid>
      <w:tr>
        <w:trPr>
          <w:tblHeader w:val="true"/>
        </w:trPr>
        <w:tc>
          <w:tcPr>
            <w:tcW w:type="dxa" w:w="3744"/>
            <w:shd w:val="clear" w:color="auto" w:fill="EFEFEF"/>
          </w:tcPr>
          <w:p>
            <w:pPr>
              <w:spacing w:after="40"/>
            </w:pPr>
            <w:r>
              <w:rPr>
                <w:b/>
                <w:color w:val="4A4A4A"/>
                <w:sz w:val="18"/>
              </w:rPr>
              <w:t>DRAWING TYPE</w:t>
            </w:r>
          </w:p>
        </w:tc>
        <w:tc>
          <w:tcPr>
            <w:tcW w:type="dxa" w:w="1872"/>
            <w:shd w:val="clear" w:color="auto" w:fill="EFEFEF"/>
          </w:tcPr>
          <w:p>
            <w:pPr>
              <w:spacing w:after="40"/>
            </w:pPr>
            <w:r>
              <w:rPr>
                <w:b/>
                <w:color w:val="4A4A4A"/>
                <w:sz w:val="18"/>
              </w:rPr>
              <w:t>STATUS</w:t>
            </w:r>
          </w:p>
        </w:tc>
        <w:tc>
          <w:tcPr>
            <w:tcW w:type="dxa" w:w="4032"/>
            <w:shd w:val="clear" w:color="auto" w:fill="EFEFEF"/>
          </w:tcPr>
          <w:p>
            <w:pPr>
              <w:spacing w:after="40"/>
            </w:pPr>
            <w:r>
              <w:rPr>
                <w:b/>
                <w:color w:val="4A4A4A"/>
                <w:sz w:val="18"/>
              </w:rPr>
              <w:t>REMARKS</w:t>
            </w:r>
          </w:p>
        </w:tc>
      </w:tr>
      <w:tr>
        <w:trPr>
          <w:cantSplit/>
        </w:trPr>
        <w:tc>
          <w:tcPr>
            <w:tcW w:type="dxa" w:w="3744"/>
          </w:tcPr>
          <w:p>
            <w:pPr>
              <w:spacing w:after="40"/>
            </w:pPr>
            <w:r>
              <w:rPr>
                <w:b/>
                <w:sz w:val="19"/>
              </w:rPr>
              <w:t>Electrical schematic (component-level) — main board</w:t>
            </w:r>
          </w:p>
        </w:tc>
        <w:tc>
          <w:tcPr>
            <w:tcW w:type="dxa" w:w="1872"/>
          </w:tcPr>
          <w:p>
            <w:pPr>
              <w:spacing w:after="40"/>
            </w:pPr>
            <w:r>
              <w:rPr>
                <w:b/>
                <w:color w:val="149174"/>
                <w:sz w:val="19"/>
              </w:rPr>
              <w:t>Available</w:t>
            </w:r>
          </w:p>
        </w:tc>
        <w:tc>
          <w:tcPr>
            <w:tcW w:type="dxa" w:w="4032"/>
          </w:tcPr>
          <w:p>
            <w:pPr>
              <w:spacing w:after="40"/>
            </w:pPr>
            <w:r>
              <w:rPr>
                <w:sz w:val="19"/>
              </w:rPr>
              <w:t>Actual component-level schematic issued as 26 sheets (drawing nos. PGLD-GLD-V4-MB-SCH-01 to -26, rev. 1.0, 19 Jul 2026), each with a sheet information table and component description table (Section 2.6.a.7). Drawing-number prefix to be aligned with the applicant's document control; verification items listed in 2.6.a.7 remain open. Sensor-module board schematic not yet included.</w:t>
            </w:r>
          </w:p>
        </w:tc>
      </w:tr>
      <w:tr>
        <w:trPr>
          <w:cantSplit/>
        </w:trPr>
        <w:tc>
          <w:tcPr>
            <w:tcW w:type="dxa" w:w="3744"/>
          </w:tcPr>
          <w:p>
            <w:pPr>
              <w:spacing w:after="40"/>
            </w:pPr>
            <w:r>
              <w:rPr>
                <w:b/>
                <w:sz w:val="19"/>
              </w:rPr>
              <w:t>PCB layout — main board</w:t>
            </w:r>
          </w:p>
        </w:tc>
        <w:tc>
          <w:tcPr>
            <w:tcW w:type="dxa" w:w="1872"/>
          </w:tcPr>
          <w:p>
            <w:pPr>
              <w:spacing w:after="40"/>
            </w:pPr>
            <w:r>
              <w:rPr>
                <w:b/>
                <w:color w:val="B56A1E"/>
                <w:sz w:val="19"/>
              </w:rPr>
              <w:t>Partially available</w:t>
            </w:r>
          </w:p>
        </w:tc>
        <w:tc>
          <w:tcPr>
            <w:tcW w:type="dxa" w:w="4032"/>
          </w:tcPr>
          <w:p>
            <w:pPr>
              <w:spacing w:after="40"/>
            </w:pPr>
            <w:r>
              <w:rPr>
                <w:sz w:val="19"/>
              </w:rPr>
              <w:t>Ten annotated layout views (top, bottom, placement, dimensions Ø84 mm, mounting holes, connectors, power area, sensor interface, grounding) issued as PGLD-GLD-V4-MB-PCB-01 to -10 (Section 2.6.a.8). Open: layout revision/date, laminate data (grade, UL 94, Tg, CTI, thickness, copper weight) and the sensor-module board layout.</w:t>
            </w:r>
          </w:p>
        </w:tc>
      </w:tr>
      <w:tr>
        <w:trPr>
          <w:cantSplit/>
        </w:trPr>
        <w:tc>
          <w:tcPr>
            <w:tcW w:type="dxa" w:w="3744"/>
          </w:tcPr>
          <w:p>
            <w:pPr>
              <w:spacing w:after="40"/>
            </w:pPr>
            <w:r>
              <w:rPr>
                <w:b/>
                <w:sz w:val="19"/>
              </w:rPr>
              <w:t>Assembly drawing</w:t>
            </w:r>
          </w:p>
        </w:tc>
        <w:tc>
          <w:tcPr>
            <w:tcW w:type="dxa" w:w="1872"/>
          </w:tcPr>
          <w:p>
            <w:pPr>
              <w:spacing w:after="40"/>
            </w:pPr>
            <w:r>
              <w:rPr>
                <w:b/>
                <w:color w:val="B56A1E"/>
                <w:sz w:val="19"/>
              </w:rPr>
              <w:t>Partially available</w:t>
            </w:r>
          </w:p>
        </w:tc>
        <w:tc>
          <w:tcPr>
            <w:tcW w:type="dxa" w:w="4032"/>
          </w:tcPr>
          <w:p>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trPr>
          <w:cantSplit/>
        </w:trPr>
        <w:tc>
          <w:tcPr>
            <w:tcW w:type="dxa" w:w="3744"/>
          </w:tcPr>
          <w:p>
            <w:pPr>
              <w:spacing w:after="40"/>
            </w:pPr>
            <w:r>
              <w:rPr>
                <w:b/>
                <w:sz w:val="19"/>
              </w:rPr>
              <w:t>Component drawing</w:t>
            </w:r>
          </w:p>
        </w:tc>
        <w:tc>
          <w:tcPr>
            <w:tcW w:type="dxa" w:w="1872"/>
          </w:tcPr>
          <w:p>
            <w:pPr>
              <w:spacing w:after="40"/>
            </w:pPr>
            <w:r>
              <w:rPr>
                <w:b/>
                <w:color w:val="B02A37"/>
                <w:sz w:val="19"/>
              </w:rPr>
              <w:t>Not yet available</w:t>
            </w:r>
          </w:p>
        </w:tc>
        <w:tc>
          <w:tcPr>
            <w:tcW w:type="dxa" w:w="4032"/>
          </w:tcPr>
          <w:p>
            <w:pPr>
              <w:spacing w:after="40"/>
            </w:pPr>
            <w:r>
              <w:rPr>
                <w:sz w:val="19"/>
              </w:rPr>
            </w:r>
          </w:p>
        </w:tc>
      </w:tr>
      <w:tr>
        <w:trPr>
          <w:cantSplit/>
        </w:trPr>
        <w:tc>
          <w:tcPr>
            <w:tcW w:type="dxa" w:w="3744"/>
          </w:tcPr>
          <w:p>
            <w:pPr>
              <w:spacing w:after="40"/>
            </w:pPr>
            <w:r>
              <w:rPr>
                <w:b/>
                <w:sz w:val="19"/>
              </w:rPr>
              <w:t>Enclosure structure drawing (gap, length, volume)</w:t>
            </w:r>
          </w:p>
        </w:tc>
        <w:tc>
          <w:tcPr>
            <w:tcW w:type="dxa" w:w="1872"/>
          </w:tcPr>
          <w:p>
            <w:pPr>
              <w:spacing w:after="40"/>
            </w:pPr>
            <w:r>
              <w:rPr>
                <w:b/>
                <w:color w:val="B56A1E"/>
                <w:sz w:val="19"/>
              </w:rPr>
              <w:t>Partially available</w:t>
            </w:r>
          </w:p>
        </w:tc>
        <w:tc>
          <w:tcPr>
            <w:tcW w:type="dxa" w:w="4032"/>
          </w:tcPr>
          <w:p>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trPr>
          <w:cantSplit/>
        </w:trPr>
        <w:tc>
          <w:tcPr>
            <w:tcW w:type="dxa" w:w="3744"/>
          </w:tcPr>
          <w:p>
            <w:pPr>
              <w:spacing w:after="40"/>
            </w:pPr>
            <w:r>
              <w:rPr>
                <w:b/>
                <w:sz w:val="19"/>
              </w:rPr>
              <w:t>Junction box / terminal / grounding connection drawings</w:t>
            </w:r>
          </w:p>
        </w:tc>
        <w:tc>
          <w:tcPr>
            <w:tcW w:type="dxa" w:w="1872"/>
          </w:tcPr>
          <w:p>
            <w:pPr>
              <w:spacing w:after="40"/>
            </w:pPr>
            <w:r>
              <w:rPr>
                <w:b/>
                <w:color w:val="B56A1E"/>
                <w:sz w:val="19"/>
              </w:rPr>
              <w:t>Candidate reference only</w:t>
            </w:r>
          </w:p>
        </w:tc>
        <w:tc>
          <w:tcPr>
            <w:tcW w:type="dxa" w:w="4032"/>
          </w:tcPr>
          <w:p>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junction-box/terminal sub-component under evaluation, not yet confirmed as part of GLD's design. A dedicated grounding connection drawing has not been provided.</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Real dimensioned CAD drawings now exist for the enclosure's external envelope and mounting hardware, and native 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pPr>
        <w:spacing w:after="8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keepNext/>
        <w:spacing w:after="80"/>
      </w:pPr>
      <w:r>
        <w:rPr>
          <w:b/>
          <w:i w:val="0"/>
          <w:color w:val="1B335F"/>
          <w:sz w:val="23"/>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keepNext/>
        <w:spacing w:after="80"/>
      </w:pPr>
      <w:r>
        <w:rPr>
          <w:b/>
          <w:i w:val="0"/>
          <w:color w:val="1B335F"/>
          <w:sz w:val="23"/>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45" name="Picture 45"/>
            <wp:cNvGraphicFramePr>
              <a:graphicFrameLocks noChangeAspect="1"/>
            </wp:cNvGraphicFramePr>
            <a:graphic>
              <a:graphicData uri="http://schemas.openxmlformats.org/drawingml/2006/picture">
                <pic:pic>
                  <pic:nvPicPr>
                    <pic:cNvPr id="0" name="casing_v2_sheet.jpg"/>
                    <pic:cNvPicPr/>
                  </pic:nvPicPr>
                  <pic:blipFill>
                    <a:blip r:embed="rId55"/>
                    <a:stretch>
                      <a:fillRect/>
                    </a:stretch>
                  </pic:blipFill>
                  <pic:spPr>
                    <a:xfrm>
                      <a:off x="0" y="0"/>
                      <a:ext cx="5669280" cy="3847707"/>
                    </a:xfrm>
                    <a:prstGeom prst="rect"/>
                  </pic:spPr>
                </pic:pic>
              </a:graphicData>
            </a:graphic>
          </wp:inline>
        </w:drawing>
      </w:r>
    </w:p>
    <w:p>
      <w:pPr>
        <w:spacing w:after="240"/>
        <w:jc w:val="center"/>
      </w:pPr>
      <w:r>
        <w:rPr>
          <w:b/>
          <w:color w:val="1B335F"/>
          <w:sz w:val="19"/>
        </w:rPr>
        <w:t>M-A1. ATEX CASING v2 — enclosure envelope &amp; U-bolt mounting plate, dimensioned sheet</w:t>
        <w:br/>
      </w: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46" name="Picture 46"/>
                  <wp:cNvGraphicFramePr>
                    <a:graphicFrameLocks noChangeAspect="1"/>
                  </wp:cNvGraphicFramePr>
                  <a:graphic>
                    <a:graphicData uri="http://schemas.openxmlformats.org/drawingml/2006/picture">
                      <pic:pic>
                        <pic:nvPicPr>
                          <pic:cNvPr id="0" name="casing_v2_front.jpg"/>
                          <pic:cNvPicPr/>
                        </pic:nvPicPr>
                        <pic:blipFill>
                          <a:blip r:embed="rId56"/>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47" name="Picture 47"/>
                  <wp:cNvGraphicFramePr>
                    <a:graphicFrameLocks noChangeAspect="1"/>
                  </wp:cNvGraphicFramePr>
                  <a:graphic>
                    <a:graphicData uri="http://schemas.openxmlformats.org/drawingml/2006/picture">
                      <pic:pic>
                        <pic:nvPicPr>
                          <pic:cNvPr id="0" name="casing_v2_rear.jpg"/>
                          <pic:cNvPicPr/>
                        </pic:nvPicPr>
                        <pic:blipFill>
                          <a:blip r:embed="rId57"/>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48" name="Picture 48"/>
                  <wp:cNvGraphicFramePr>
                    <a:graphicFrameLocks noChangeAspect="1"/>
                  </wp:cNvGraphicFramePr>
                  <a:graphic>
                    <a:graphicData uri="http://schemas.openxmlformats.org/drawingml/2006/picture">
                      <pic:pic>
                        <pic:nvPicPr>
                          <pic:cNvPr id="0" name="casing_v2_left.jpg"/>
                          <pic:cNvPicPr/>
                        </pic:nvPicPr>
                        <pic:blipFill>
                          <a:blip r:embed="rId58"/>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49" name="Picture 49"/>
                  <wp:cNvGraphicFramePr>
                    <a:graphicFrameLocks noChangeAspect="1"/>
                  </wp:cNvGraphicFramePr>
                  <a:graphic>
                    <a:graphicData uri="http://schemas.openxmlformats.org/drawingml/2006/picture">
                      <pic:pic>
                        <pic:nvPicPr>
                          <pic:cNvPr id="0" name="casing_v2_right.jpg"/>
                          <pic:cNvPicPr/>
                        </pic:nvPicPr>
                        <pic:blipFill>
                          <a:blip r:embed="rId59"/>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50" name="Picture 50"/>
                  <wp:cNvGraphicFramePr>
                    <a:graphicFrameLocks noChangeAspect="1"/>
                  </wp:cNvGraphicFramePr>
                  <a:graphic>
                    <a:graphicData uri="http://schemas.openxmlformats.org/drawingml/2006/picture">
                      <pic:pic>
                        <pic:nvPicPr>
                          <pic:cNvPr id="0" name="casing_v2_top.jpg"/>
                          <pic:cNvPicPr/>
                        </pic:nvPicPr>
                        <pic:blipFill>
                          <a:blip r:embed="rId60"/>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51" name="Picture 51"/>
                  <wp:cNvGraphicFramePr>
                    <a:graphicFrameLocks noChangeAspect="1"/>
                  </wp:cNvGraphicFramePr>
                  <a:graphic>
                    <a:graphicData uri="http://schemas.openxmlformats.org/drawingml/2006/picture">
                      <pic:pic>
                        <pic:nvPicPr>
                          <pic:cNvPr id="0" name="casing_v2_bottom.jpg"/>
                          <pic:cNvPicPr/>
                        </pic:nvPicPr>
                        <pic:blipFill>
                          <a:blip r:embed="rId61"/>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keepNext/>
        <w:spacing w:after="80"/>
      </w:pPr>
      <w:r>
        <w:rPr>
          <w:b/>
          <w:i w:val="0"/>
          <w:color w:val="1B335F"/>
          <w:sz w:val="23"/>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52" name="Picture 52"/>
            <wp:cNvGraphicFramePr>
              <a:graphicFrameLocks noChangeAspect="1"/>
            </wp:cNvGraphicFramePr>
            <a:graphic>
              <a:graphicData uri="http://schemas.openxmlformats.org/drawingml/2006/picture">
                <pic:pic>
                  <pic:nvPicPr>
                    <pic:cNvPr id="0" name="case_v3-1.jpg"/>
                    <pic:cNvPicPr/>
                  </pic:nvPicPr>
                  <pic:blipFill>
                    <a:blip r:embed="rId62"/>
                    <a:stretch>
                      <a:fillRect/>
                    </a:stretch>
                  </pic:blipFill>
                  <pic:spPr>
                    <a:xfrm>
                      <a:off x="0" y="0"/>
                      <a:ext cx="5669280" cy="3370574"/>
                    </a:xfrm>
                    <a:prstGeom prst="rect"/>
                  </pic:spPr>
                </pic:pic>
              </a:graphicData>
            </a:graphic>
          </wp:inline>
        </w:drawing>
      </w:r>
    </w:p>
    <w:p>
      <w:pPr>
        <w:spacing w:after="240"/>
        <w:jc w:val="center"/>
      </w:pPr>
      <w:r>
        <w:rPr>
          <w:b/>
          <w:color w:val="1B335F"/>
          <w:sz w:val="19"/>
        </w:rPr>
        <w:t>M-B1. GLD ATEX CASE v3 — sheet 1: isometric views of the assembled detector</w:t>
        <w:br/>
      </w: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53" name="Picture 53"/>
            <wp:cNvGraphicFramePr>
              <a:graphicFrameLocks noChangeAspect="1"/>
            </wp:cNvGraphicFramePr>
            <a:graphic>
              <a:graphicData uri="http://schemas.openxmlformats.org/drawingml/2006/picture">
                <pic:pic>
                  <pic:nvPicPr>
                    <pic:cNvPr id="0" name="case_v3-2.jpg"/>
                    <pic:cNvPicPr/>
                  </pic:nvPicPr>
                  <pic:blipFill>
                    <a:blip r:embed="rId63"/>
                    <a:stretch>
                      <a:fillRect/>
                    </a:stretch>
                  </pic:blipFill>
                  <pic:spPr>
                    <a:xfrm>
                      <a:off x="0" y="0"/>
                      <a:ext cx="5669280" cy="1993015"/>
                    </a:xfrm>
                    <a:prstGeom prst="rect"/>
                  </pic:spPr>
                </pic:pic>
              </a:graphicData>
            </a:graphic>
          </wp:inline>
        </w:drawing>
      </w:r>
    </w:p>
    <w:p>
      <w:pPr>
        <w:spacing w:after="240"/>
        <w:jc w:val="center"/>
      </w:pPr>
      <w:r>
        <w:rPr>
          <w:b/>
          <w:color w:val="1B335F"/>
          <w:sz w:val="19"/>
        </w:rPr>
        <w:t>M-B2. GLD ATEX CASE v3 — sheet 2: top and bottom views</w:t>
        <w:br/>
      </w: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54" name="Picture 54"/>
            <wp:cNvGraphicFramePr>
              <a:graphicFrameLocks noChangeAspect="1"/>
            </wp:cNvGraphicFramePr>
            <a:graphic>
              <a:graphicData uri="http://schemas.openxmlformats.org/drawingml/2006/picture">
                <pic:pic>
                  <pic:nvPicPr>
                    <pic:cNvPr id="0" name="case_v3-3.jpg"/>
                    <pic:cNvPicPr/>
                  </pic:nvPicPr>
                  <pic:blipFill>
                    <a:blip r:embed="rId64"/>
                    <a:stretch>
                      <a:fillRect/>
                    </a:stretch>
                  </pic:blipFill>
                  <pic:spPr>
                    <a:xfrm>
                      <a:off x="0" y="0"/>
                      <a:ext cx="5669280" cy="3145195"/>
                    </a:xfrm>
                    <a:prstGeom prst="rect"/>
                  </pic:spPr>
                </pic:pic>
              </a:graphicData>
            </a:graphic>
          </wp:inline>
        </w:drawing>
      </w:r>
    </w:p>
    <w:p>
      <w:pPr>
        <w:spacing w:after="240"/>
        <w:jc w:val="center"/>
      </w:pPr>
      <w:r>
        <w:rPr>
          <w:b/>
          <w:color w:val="1B335F"/>
          <w:sz w:val="19"/>
        </w:rPr>
        <w:t>M-B3. GLD ATEX CASE v3 — sheet 3: side and rear views</w:t>
        <w:br/>
      </w: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55" name="Picture 55"/>
            <wp:cNvGraphicFramePr>
              <a:graphicFrameLocks noChangeAspect="1"/>
            </wp:cNvGraphicFramePr>
            <a:graphic>
              <a:graphicData uri="http://schemas.openxmlformats.org/drawingml/2006/picture">
                <pic:pic>
                  <pic:nvPicPr>
                    <pic:cNvPr id="0" name="case_v3-4.jpg"/>
                    <pic:cNvPicPr/>
                  </pic:nvPicPr>
                  <pic:blipFill>
                    <a:blip r:embed="rId65"/>
                    <a:stretch>
                      <a:fillRect/>
                    </a:stretch>
                  </pic:blipFill>
                  <pic:spPr>
                    <a:xfrm>
                      <a:off x="0" y="0"/>
                      <a:ext cx="5669280" cy="2465164"/>
                    </a:xfrm>
                    <a:prstGeom prst="rect"/>
                  </pic:spPr>
                </pic:pic>
              </a:graphicData>
            </a:graphic>
          </wp:inline>
        </w:drawing>
      </w:r>
    </w:p>
    <w:p>
      <w:pPr>
        <w:spacing w:after="240"/>
        <w:jc w:val="center"/>
      </w:pPr>
      <w:r>
        <w:rPr>
          <w:b/>
          <w:color w:val="1B335F"/>
          <w:sz w:val="19"/>
        </w:rPr>
        <w:t>M-B4. GLD ATEX CASE v3 — sheet 4: front/back and mounting-lug views</w:t>
        <w:br/>
      </w: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56" name="Picture 56"/>
            <wp:cNvGraphicFramePr>
              <a:graphicFrameLocks noChangeAspect="1"/>
            </wp:cNvGraphicFramePr>
            <a:graphic>
              <a:graphicData uri="http://schemas.openxmlformats.org/drawingml/2006/picture">
                <pic:pic>
                  <pic:nvPicPr>
                    <pic:cNvPr id="0" name="case_v3-5.jpg"/>
                    <pic:cNvPicPr/>
                  </pic:nvPicPr>
                  <pic:blipFill>
                    <a:blip r:embed="rId66"/>
                    <a:stretch>
                      <a:fillRect/>
                    </a:stretch>
                  </pic:blipFill>
                  <pic:spPr>
                    <a:xfrm>
                      <a:off x="0" y="0"/>
                      <a:ext cx="5669280" cy="1926401"/>
                    </a:xfrm>
                    <a:prstGeom prst="rect"/>
                  </pic:spPr>
                </pic:pic>
              </a:graphicData>
            </a:graphic>
          </wp:inline>
        </w:drawing>
      </w:r>
    </w:p>
    <w:p>
      <w:pPr>
        <w:spacing w:after="240"/>
        <w:jc w:val="center"/>
      </w:pPr>
      <w:r>
        <w:rPr>
          <w:b/>
          <w:color w:val="1B335F"/>
          <w:sz w:val="19"/>
        </w:rPr>
        <w:t>M-B5. GLD ATEX CASE v3 — sheet 5: exploded views (four viewpoints)</w:t>
        <w:br/>
      </w: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57" name="Picture 57"/>
            <wp:cNvGraphicFramePr>
              <a:graphicFrameLocks noChangeAspect="1"/>
            </wp:cNvGraphicFramePr>
            <a:graphic>
              <a:graphicData uri="http://schemas.openxmlformats.org/drawingml/2006/picture">
                <pic:pic>
                  <pic:nvPicPr>
                    <pic:cNvPr id="0" name="case_v3-6.jpg"/>
                    <pic:cNvPicPr/>
                  </pic:nvPicPr>
                  <pic:blipFill>
                    <a:blip r:embed="rId67"/>
                    <a:stretch>
                      <a:fillRect/>
                    </a:stretch>
                  </pic:blipFill>
                  <pic:spPr>
                    <a:xfrm>
                      <a:off x="0" y="0"/>
                      <a:ext cx="5669280" cy="2324790"/>
                    </a:xfrm>
                    <a:prstGeom prst="rect"/>
                  </pic:spPr>
                </pic:pic>
              </a:graphicData>
            </a:graphic>
          </wp:inline>
        </w:drawing>
      </w:r>
    </w:p>
    <w:p>
      <w:pPr>
        <w:spacing w:after="240"/>
        <w:jc w:val="center"/>
      </w:pPr>
      <w:r>
        <w:rPr>
          <w:b/>
          <w:color w:val="1B335F"/>
          <w:sz w:val="19"/>
        </w:rPr>
        <w:t>M-B6. GLD ATEX CASE v3 — sheet 6: exploded views of the sensor-head stack</w:t>
        <w:br/>
      </w: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58" name="Picture 58"/>
            <wp:cNvGraphicFramePr>
              <a:graphicFrameLocks noChangeAspect="1"/>
            </wp:cNvGraphicFramePr>
            <a:graphic>
              <a:graphicData uri="http://schemas.openxmlformats.org/drawingml/2006/picture">
                <pic:pic>
                  <pic:nvPicPr>
                    <pic:cNvPr id="0" name="case_v3-7.jpg"/>
                    <pic:cNvPicPr/>
                  </pic:nvPicPr>
                  <pic:blipFill>
                    <a:blip r:embed="rId68"/>
                    <a:stretch>
                      <a:fillRect/>
                    </a:stretch>
                  </pic:blipFill>
                  <pic:spPr>
                    <a:xfrm>
                      <a:off x="0" y="0"/>
                      <a:ext cx="5669280" cy="4015199"/>
                    </a:xfrm>
                    <a:prstGeom prst="rect"/>
                  </pic:spPr>
                </pic:pic>
              </a:graphicData>
            </a:graphic>
          </wp:inline>
        </w:drawing>
      </w:r>
    </w:p>
    <w:p>
      <w:pPr>
        <w:spacing w:after="240"/>
        <w:jc w:val="center"/>
      </w:pPr>
      <w:r>
        <w:rPr>
          <w:b/>
          <w:color w:val="1B335F"/>
          <w:sz w:val="19"/>
        </w:rPr>
        <w:t>M-B7. GLD ATEX CASE v3 — sheet 7: dimensioned drawing with title block</w:t>
        <w:br/>
      </w: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keepNext/>
        <w:spacing w:after="80"/>
      </w:pPr>
      <w:r>
        <w:rPr>
          <w:b/>
          <w:i w:val="0"/>
          <w:color w:val="1B335F"/>
          <w:sz w:val="23"/>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59" name="Picture 59"/>
            <wp:cNvGraphicFramePr>
              <a:graphicFrameLocks noChangeAspect="1"/>
            </wp:cNvGraphicFramePr>
            <a:graphic>
              <a:graphicData uri="http://schemas.openxmlformats.org/drawingml/2006/picture">
                <pic:pic>
                  <pic:nvPicPr>
                    <pic:cNvPr id="0" name="bp18-1.jpg"/>
                    <pic:cNvPicPr/>
                  </pic:nvPicPr>
                  <pic:blipFill>
                    <a:blip r:embed="rId69"/>
                    <a:stretch>
                      <a:fillRect/>
                    </a:stretch>
                  </pic:blipFill>
                  <pic:spPr>
                    <a:xfrm>
                      <a:off x="0" y="0"/>
                      <a:ext cx="5669280" cy="4030343"/>
                    </a:xfrm>
                    <a:prstGeom prst="rect"/>
                  </pic:spPr>
                </pic:pic>
              </a:graphicData>
            </a:graphic>
          </wp:inline>
        </w:drawing>
      </w:r>
    </w:p>
    <w:p>
      <w:pPr>
        <w:spacing w:after="240"/>
        <w:jc w:val="center"/>
      </w:pPr>
      <w:r>
        <w:rPr>
          <w:b/>
          <w:color w:val="1B335F"/>
          <w:sz w:val="19"/>
        </w:rPr>
        <w:t>M-C1. Universal Base BP18-1Z — supplier reference drawing</w:t>
        <w:br/>
      </w: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keepNext/>
        <w:spacing w:after="80"/>
      </w:pPr>
      <w:r>
        <w:rPr>
          <w:b/>
          <w:i w:val="0"/>
          <w:color w:val="1B335F"/>
          <w:sz w:val="23"/>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60" name="Picture 60"/>
            <wp:cNvGraphicFramePr>
              <a:graphicFrameLocks noChangeAspect="1"/>
            </wp:cNvGraphicFramePr>
            <a:graphic>
              <a:graphicData uri="http://schemas.openxmlformats.org/drawingml/2006/picture">
                <pic:pic>
                  <pic:nvPicPr>
                    <pic:cNvPr id="0" name="pkg_17.jpg"/>
                    <pic:cNvPicPr/>
                  </pic:nvPicPr>
                  <pic:blipFill>
                    <a:blip r:embed="rId70"/>
                    <a:stretch>
                      <a:fillRect/>
                    </a:stretch>
                  </pic:blipFill>
                  <pic:spPr>
                    <a:xfrm>
                      <a:off x="0" y="0"/>
                      <a:ext cx="2436273" cy="3840479"/>
                    </a:xfrm>
                    <a:prstGeom prst="rect"/>
                  </pic:spPr>
                </pic:pic>
              </a:graphicData>
            </a:graphic>
          </wp:inline>
        </w:drawing>
      </w:r>
    </w:p>
    <w:p>
      <w:pPr>
        <w:spacing w:after="240"/>
        <w:jc w:val="center"/>
      </w:pPr>
      <w:r>
        <w:rPr>
          <w:b/>
          <w:color w:val="1B335F"/>
          <w:sz w:val="19"/>
        </w:rPr>
        <w:t>M-D1. LoRa antenna, MQ sensor and enclosure body &amp; cover</w:t>
        <w:br/>
      </w: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61" name="Picture 61"/>
            <wp:cNvGraphicFramePr>
              <a:graphicFrameLocks noChangeAspect="1"/>
            </wp:cNvGraphicFramePr>
            <a:graphic>
              <a:graphicData uri="http://schemas.openxmlformats.org/drawingml/2006/picture">
                <pic:pic>
                  <pic:nvPicPr>
                    <pic:cNvPr id="0" name="pkg_18.jpg"/>
                    <pic:cNvPicPr/>
                  </pic:nvPicPr>
                  <pic:blipFill>
                    <a:blip r:embed="rId71"/>
                    <a:stretch>
                      <a:fillRect/>
                    </a:stretch>
                  </pic:blipFill>
                  <pic:spPr>
                    <a:xfrm>
                      <a:off x="0" y="0"/>
                      <a:ext cx="3034832" cy="3840479"/>
                    </a:xfrm>
                    <a:prstGeom prst="rect"/>
                  </pic:spPr>
                </pic:pic>
              </a:graphicData>
            </a:graphic>
          </wp:inline>
        </w:drawing>
      </w:r>
    </w:p>
    <w:p>
      <w:pPr>
        <w:spacing w:after="240"/>
        <w:jc w:val="center"/>
      </w:pPr>
      <w:r>
        <w:rPr>
          <w:b/>
          <w:color w:val="1B335F"/>
          <w:sz w:val="19"/>
        </w:rPr>
        <w:t>M-D2. Rubber gasket — locations</w:t>
        <w:br/>
      </w: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62" name="Picture 62"/>
            <wp:cNvGraphicFramePr>
              <a:graphicFrameLocks noChangeAspect="1"/>
            </wp:cNvGraphicFramePr>
            <a:graphic>
              <a:graphicData uri="http://schemas.openxmlformats.org/drawingml/2006/picture">
                <pic:pic>
                  <pic:nvPicPr>
                    <pic:cNvPr id="0" name="pkg_19.jpg"/>
                    <pic:cNvPicPr/>
                  </pic:nvPicPr>
                  <pic:blipFill>
                    <a:blip r:embed="rId72"/>
                    <a:stretch>
                      <a:fillRect/>
                    </a:stretch>
                  </pic:blipFill>
                  <pic:spPr>
                    <a:xfrm>
                      <a:off x="0" y="0"/>
                      <a:ext cx="3468970" cy="3840480"/>
                    </a:xfrm>
                    <a:prstGeom prst="rect"/>
                  </pic:spPr>
                </pic:pic>
              </a:graphicData>
            </a:graphic>
          </wp:inline>
        </w:drawing>
      </w:r>
    </w:p>
    <w:p>
      <w:pPr>
        <w:spacing w:after="240"/>
        <w:jc w:val="center"/>
      </w:pPr>
      <w:r>
        <w:rPr>
          <w:b/>
          <w:color w:val="1B335F"/>
          <w:sz w:val="19"/>
        </w:rPr>
        <w:t>M-D3. Rubber gasket — part</w:t>
        <w:br/>
      </w: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63" name="Picture 63"/>
            <wp:cNvGraphicFramePr>
              <a:graphicFrameLocks noChangeAspect="1"/>
            </wp:cNvGraphicFramePr>
            <a:graphic>
              <a:graphicData uri="http://schemas.openxmlformats.org/drawingml/2006/picture">
                <pic:pic>
                  <pic:nvPicPr>
                    <pic:cNvPr id="0" name="pkg_20.jpg"/>
                    <pic:cNvPicPr/>
                  </pic:nvPicPr>
                  <pic:blipFill>
                    <a:blip r:embed="rId73"/>
                    <a:stretch>
                      <a:fillRect/>
                    </a:stretch>
                  </pic:blipFill>
                  <pic:spPr>
                    <a:xfrm>
                      <a:off x="0" y="0"/>
                      <a:ext cx="2848325" cy="3840479"/>
                    </a:xfrm>
                    <a:prstGeom prst="rect"/>
                  </pic:spPr>
                </pic:pic>
              </a:graphicData>
            </a:graphic>
          </wp:inline>
        </w:drawing>
      </w:r>
    </w:p>
    <w:p>
      <w:pPr>
        <w:spacing w:after="240"/>
        <w:jc w:val="center"/>
      </w:pPr>
      <w:r>
        <w:rPr>
          <w:b/>
          <w:color w:val="1B335F"/>
          <w:sz w:val="19"/>
        </w:rPr>
        <w:t>M-D4. Stainless wire-mesh plate</w:t>
        <w:br/>
      </w: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64" name="Picture 64"/>
            <wp:cNvGraphicFramePr>
              <a:graphicFrameLocks noChangeAspect="1"/>
            </wp:cNvGraphicFramePr>
            <a:graphic>
              <a:graphicData uri="http://schemas.openxmlformats.org/drawingml/2006/picture">
                <pic:pic>
                  <pic:nvPicPr>
                    <pic:cNvPr id="0" name="pkg_21.jpg"/>
                    <pic:cNvPicPr/>
                  </pic:nvPicPr>
                  <pic:blipFill>
                    <a:blip r:embed="rId74"/>
                    <a:stretch>
                      <a:fillRect/>
                    </a:stretch>
                  </pic:blipFill>
                  <pic:spPr>
                    <a:xfrm>
                      <a:off x="0" y="0"/>
                      <a:ext cx="2579204" cy="3840479"/>
                    </a:xfrm>
                    <a:prstGeom prst="rect"/>
                  </pic:spPr>
                </pic:pic>
              </a:graphicData>
            </a:graphic>
          </wp:inline>
        </w:drawing>
      </w:r>
    </w:p>
    <w:p>
      <w:pPr>
        <w:spacing w:after="240"/>
        <w:jc w:val="center"/>
      </w:pPr>
      <w:r>
        <w:rPr>
          <w:b/>
          <w:color w:val="1B335F"/>
          <w:sz w:val="19"/>
        </w:rPr>
        <w:t>M-D5. Visual/audible alarm beacon; motherboard inside base casing</w:t>
        <w:br/>
      </w: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65" name="Picture 65"/>
            <wp:cNvGraphicFramePr>
              <a:graphicFrameLocks noChangeAspect="1"/>
            </wp:cNvGraphicFramePr>
            <a:graphic>
              <a:graphicData uri="http://schemas.openxmlformats.org/drawingml/2006/picture">
                <pic:pic>
                  <pic:nvPicPr>
                    <pic:cNvPr id="0" name="pkg_22.jpg"/>
                    <pic:cNvPicPr/>
                  </pic:nvPicPr>
                  <pic:blipFill>
                    <a:blip r:embed="rId75"/>
                    <a:stretch>
                      <a:fillRect/>
                    </a:stretch>
                  </pic:blipFill>
                  <pic:spPr>
                    <a:xfrm>
                      <a:off x="0" y="0"/>
                      <a:ext cx="3626477" cy="3840480"/>
                    </a:xfrm>
                    <a:prstGeom prst="rect"/>
                  </pic:spPr>
                </pic:pic>
              </a:graphicData>
            </a:graphic>
          </wp:inline>
        </w:drawing>
      </w:r>
    </w:p>
    <w:p>
      <w:pPr>
        <w:spacing w:after="240"/>
        <w:jc w:val="center"/>
      </w:pPr>
      <w:r>
        <w:rPr>
          <w:b/>
          <w:color w:val="1B335F"/>
          <w:sz w:val="19"/>
        </w:rPr>
        <w:t>M-D6. Motherboard with MQ sensors inside base casing</w:t>
        <w:br/>
      </w: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66" name="Picture 66"/>
            <wp:cNvGraphicFramePr>
              <a:graphicFrameLocks noChangeAspect="1"/>
            </wp:cNvGraphicFramePr>
            <a:graphic>
              <a:graphicData uri="http://schemas.openxmlformats.org/drawingml/2006/picture">
                <pic:pic>
                  <pic:nvPicPr>
                    <pic:cNvPr id="0" name="pkg_24.jpg"/>
                    <pic:cNvPicPr/>
                  </pic:nvPicPr>
                  <pic:blipFill>
                    <a:blip r:embed="rId76"/>
                    <a:stretch>
                      <a:fillRect/>
                    </a:stretch>
                  </pic:blipFill>
                  <pic:spPr>
                    <a:xfrm>
                      <a:off x="0" y="0"/>
                      <a:ext cx="4541367" cy="3840479"/>
                    </a:xfrm>
                    <a:prstGeom prst="rect"/>
                  </pic:spPr>
                </pic:pic>
              </a:graphicData>
            </a:graphic>
          </wp:inline>
        </w:drawing>
      </w:r>
    </w:p>
    <w:p>
      <w:pPr>
        <w:spacing w:after="240"/>
        <w:jc w:val="center"/>
      </w:pPr>
      <w:r>
        <w:rPr>
          <w:b/>
          <w:color w:val="1B335F"/>
          <w:sz w:val="19"/>
        </w:rPr>
        <w:t>M-D7. Common base design</w:t>
        <w:br/>
      </w: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67" name="Picture 67"/>
            <wp:cNvGraphicFramePr>
              <a:graphicFrameLocks noChangeAspect="1"/>
            </wp:cNvGraphicFramePr>
            <a:graphic>
              <a:graphicData uri="http://schemas.openxmlformats.org/drawingml/2006/picture">
                <pic:pic>
                  <pic:nvPicPr>
                    <pic:cNvPr id="0" name="pkg_25.jpg"/>
                    <pic:cNvPicPr/>
                  </pic:nvPicPr>
                  <pic:blipFill>
                    <a:blip r:embed="rId77"/>
                    <a:stretch>
                      <a:fillRect/>
                    </a:stretch>
                  </pic:blipFill>
                  <pic:spPr>
                    <a:xfrm>
                      <a:off x="0" y="0"/>
                      <a:ext cx="3032235" cy="3840479"/>
                    </a:xfrm>
                    <a:prstGeom prst="rect"/>
                  </pic:spPr>
                </pic:pic>
              </a:graphicData>
            </a:graphic>
          </wp:inline>
        </w:drawing>
      </w:r>
    </w:p>
    <w:p>
      <w:pPr>
        <w:spacing w:after="240"/>
        <w:jc w:val="center"/>
      </w:pPr>
      <w:r>
        <w:rPr>
          <w:b/>
          <w:color w:val="1B335F"/>
          <w:sz w:val="19"/>
        </w:rPr>
        <w:t>M-D8. Overall exploded views I and II</w:t>
        <w:br/>
      </w: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68" name="Picture 68"/>
            <wp:cNvGraphicFramePr>
              <a:graphicFrameLocks noChangeAspect="1"/>
            </wp:cNvGraphicFramePr>
            <a:graphic>
              <a:graphicData uri="http://schemas.openxmlformats.org/drawingml/2006/picture">
                <pic:pic>
                  <pic:nvPicPr>
                    <pic:cNvPr id="0" name="pkg_26.jpg"/>
                    <pic:cNvPicPr/>
                  </pic:nvPicPr>
                  <pic:blipFill>
                    <a:blip r:embed="rId78"/>
                    <a:stretch>
                      <a:fillRect/>
                    </a:stretch>
                  </pic:blipFill>
                  <pic:spPr>
                    <a:xfrm>
                      <a:off x="0" y="0"/>
                      <a:ext cx="3661204" cy="3840479"/>
                    </a:xfrm>
                    <a:prstGeom prst="rect"/>
                  </pic:spPr>
                </pic:pic>
              </a:graphicData>
            </a:graphic>
          </wp:inline>
        </w:drawing>
      </w:r>
    </w:p>
    <w:p>
      <w:pPr>
        <w:spacing w:after="240"/>
        <w:jc w:val="center"/>
      </w:pPr>
      <w:r>
        <w:rPr>
          <w:b/>
          <w:color w:val="1B335F"/>
          <w:sz w:val="19"/>
        </w:rPr>
        <w:t>M-D9. Overall exploded view III</w:t>
        <w:br/>
      </w: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69" name="Picture 69"/>
            <wp:cNvGraphicFramePr>
              <a:graphicFrameLocks noChangeAspect="1"/>
            </wp:cNvGraphicFramePr>
            <a:graphic>
              <a:graphicData uri="http://schemas.openxmlformats.org/drawingml/2006/picture">
                <pic:pic>
                  <pic:nvPicPr>
                    <pic:cNvPr id="0" name="pkg_27.jpg"/>
                    <pic:cNvPicPr/>
                  </pic:nvPicPr>
                  <pic:blipFill>
                    <a:blip r:embed="rId79"/>
                    <a:stretch>
                      <a:fillRect/>
                    </a:stretch>
                  </pic:blipFill>
                  <pic:spPr>
                    <a:xfrm>
                      <a:off x="0" y="0"/>
                      <a:ext cx="2216090" cy="3840478"/>
                    </a:xfrm>
                    <a:prstGeom prst="rect"/>
                  </pic:spPr>
                </pic:pic>
              </a:graphicData>
            </a:graphic>
          </wp:inline>
        </w:drawing>
      </w:r>
    </w:p>
    <w:p>
      <w:pPr>
        <w:spacing w:after="240"/>
        <w:jc w:val="center"/>
      </w:pPr>
      <w:r>
        <w:rPr>
          <w:b/>
          <w:color w:val="1B335F"/>
          <w:sz w:val="19"/>
        </w:rPr>
        <w:t>M-D10. Motherboard PCB power-in and PCB cover (terminal module)</w:t>
        <w:br/>
      </w: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70" name="Picture 70"/>
            <wp:cNvGraphicFramePr>
              <a:graphicFrameLocks noChangeAspect="1"/>
            </wp:cNvGraphicFramePr>
            <a:graphic>
              <a:graphicData uri="http://schemas.openxmlformats.org/drawingml/2006/picture">
                <pic:pic>
                  <pic:nvPicPr>
                    <pic:cNvPr id="0" name="pkg_28.jpg"/>
                    <pic:cNvPicPr/>
                  </pic:nvPicPr>
                  <pic:blipFill>
                    <a:blip r:embed="rId80"/>
                    <a:stretch>
                      <a:fillRect/>
                    </a:stretch>
                  </pic:blipFill>
                  <pic:spPr>
                    <a:xfrm>
                      <a:off x="0" y="0"/>
                      <a:ext cx="2529930" cy="3840479"/>
                    </a:xfrm>
                    <a:prstGeom prst="rect"/>
                  </pic:spPr>
                </pic:pic>
              </a:graphicData>
            </a:graphic>
          </wp:inline>
        </w:drawing>
      </w:r>
    </w:p>
    <w:p>
      <w:pPr>
        <w:spacing w:after="240"/>
        <w:jc w:val="center"/>
      </w:pPr>
      <w:r>
        <w:rPr>
          <w:b/>
          <w:color w:val="1B335F"/>
          <w:sz w:val="19"/>
        </w:rPr>
        <w:t>M-D11. Motherboard and PCB cover</w:t>
        <w:br/>
      </w: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71" name="Picture 71"/>
            <wp:cNvGraphicFramePr>
              <a:graphicFrameLocks noChangeAspect="1"/>
            </wp:cNvGraphicFramePr>
            <a:graphic>
              <a:graphicData uri="http://schemas.openxmlformats.org/drawingml/2006/picture">
                <pic:pic>
                  <pic:nvPicPr>
                    <pic:cNvPr id="0" name="pkg_42.jpg"/>
                    <pic:cNvPicPr/>
                  </pic:nvPicPr>
                  <pic:blipFill>
                    <a:blip r:embed="rId81"/>
                    <a:stretch>
                      <a:fillRect/>
                    </a:stretch>
                  </pic:blipFill>
                  <pic:spPr>
                    <a:xfrm>
                      <a:off x="0" y="0"/>
                      <a:ext cx="2245554" cy="3840480"/>
                    </a:xfrm>
                    <a:prstGeom prst="rect"/>
                  </pic:spPr>
                </pic:pic>
              </a:graphicData>
            </a:graphic>
          </wp:inline>
        </w:drawing>
      </w:r>
    </w:p>
    <w:p>
      <w:pPr>
        <w:spacing w:after="240"/>
        <w:jc w:val="center"/>
      </w:pPr>
      <w:r>
        <w:rPr>
          <w:b/>
          <w:color w:val="1B335F"/>
          <w:sz w:val="19"/>
        </w:rPr>
        <w:t>M-D12. Component drawing</w:t>
        <w:br/>
      </w: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72" name="Picture 72"/>
            <wp:cNvGraphicFramePr>
              <a:graphicFrameLocks noChangeAspect="1"/>
            </wp:cNvGraphicFramePr>
            <a:graphic>
              <a:graphicData uri="http://schemas.openxmlformats.org/drawingml/2006/picture">
                <pic:pic>
                  <pic:nvPicPr>
                    <pic:cNvPr id="0" name="pkg_43.jpg"/>
                    <pic:cNvPicPr/>
                  </pic:nvPicPr>
                  <pic:blipFill>
                    <a:blip r:embed="rId82"/>
                    <a:stretch>
                      <a:fillRect/>
                    </a:stretch>
                  </pic:blipFill>
                  <pic:spPr>
                    <a:xfrm>
                      <a:off x="0" y="0"/>
                      <a:ext cx="2870633" cy="3840479"/>
                    </a:xfrm>
                    <a:prstGeom prst="rect"/>
                  </pic:spPr>
                </pic:pic>
              </a:graphicData>
            </a:graphic>
          </wp:inline>
        </w:drawing>
      </w:r>
    </w:p>
    <w:p>
      <w:pPr>
        <w:spacing w:after="240"/>
        <w:jc w:val="center"/>
      </w:pPr>
      <w:r>
        <w:rPr>
          <w:b/>
          <w:color w:val="1B335F"/>
          <w:sz w:val="19"/>
        </w:rPr>
        <w:t>M-D13. Electrical block diagram and enclosure structure</w:t>
        <w:br/>
      </w: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73" name="Picture 73"/>
            <wp:cNvGraphicFramePr>
              <a:graphicFrameLocks noChangeAspect="1"/>
            </wp:cNvGraphicFramePr>
            <a:graphic>
              <a:graphicData uri="http://schemas.openxmlformats.org/drawingml/2006/picture">
                <pic:pic>
                  <pic:nvPicPr>
                    <pic:cNvPr id="0" name="pkg_44.jpg"/>
                    <pic:cNvPicPr/>
                  </pic:nvPicPr>
                  <pic:blipFill>
                    <a:blip r:embed="rId83"/>
                    <a:stretch>
                      <a:fillRect/>
                    </a:stretch>
                  </pic:blipFill>
                  <pic:spPr>
                    <a:xfrm>
                      <a:off x="0" y="0"/>
                      <a:ext cx="4048436" cy="3840480"/>
                    </a:xfrm>
                    <a:prstGeom prst="rect"/>
                  </pic:spPr>
                </pic:pic>
              </a:graphicData>
            </a:graphic>
          </wp:inline>
        </w:drawing>
      </w:r>
    </w:p>
    <w:p>
      <w:pPr>
        <w:spacing w:after="240"/>
        <w:jc w:val="center"/>
      </w:pPr>
      <w:r>
        <w:rPr>
          <w:b/>
          <w:color w:val="1B335F"/>
          <w:sz w:val="19"/>
        </w:rPr>
        <w:t>M-D14. Terminal — 24 VDC power in</w:t>
        <w:br/>
      </w: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74" name="Picture 74"/>
            <wp:cNvGraphicFramePr>
              <a:graphicFrameLocks noChangeAspect="1"/>
            </wp:cNvGraphicFramePr>
            <a:graphic>
              <a:graphicData uri="http://schemas.openxmlformats.org/drawingml/2006/picture">
                <pic:pic>
                  <pic:nvPicPr>
                    <pic:cNvPr id="0" name="pkg_45.jpg"/>
                    <pic:cNvPicPr/>
                  </pic:nvPicPr>
                  <pic:blipFill>
                    <a:blip r:embed="rId84"/>
                    <a:stretch>
                      <a:fillRect/>
                    </a:stretch>
                  </pic:blipFill>
                  <pic:spPr>
                    <a:xfrm>
                      <a:off x="0" y="0"/>
                      <a:ext cx="5669280" cy="3380612"/>
                    </a:xfrm>
                    <a:prstGeom prst="rect"/>
                  </pic:spPr>
                </pic:pic>
              </a:graphicData>
            </a:graphic>
          </wp:inline>
        </w:drawing>
      </w:r>
    </w:p>
    <w:p>
      <w:pPr>
        <w:spacing w:after="240"/>
        <w:jc w:val="center"/>
      </w:pPr>
      <w:r>
        <w:rPr>
          <w:b/>
          <w:color w:val="1B335F"/>
          <w:sz w:val="19"/>
        </w:rPr>
        <w:t>M-D15. Grounding</w:t>
        <w:br/>
      </w:r>
      <w:r>
        <w:rPr>
          <w:color w:val="555B66"/>
          <w:sz w:val="17"/>
        </w:rPr>
        <w:t>External grounding stud, marked with the protective-earth symbol, installed on the enclosure body.</w:t>
      </w:r>
    </w:p>
    <w:p>
      <w:r>
        <w:br w:type="page"/>
      </w:r>
    </w:p>
    <w:p>
      <w:pPr>
        <w:keepNext/>
        <w:spacing w:after="80"/>
      </w:pPr>
      <w:r>
        <w:rPr>
          <w:b/>
          <w:i w:val="0"/>
          <w:color w:val="1B335F"/>
          <w:sz w:val="23"/>
        </w:rPr>
        <w:t>E. Assembly sequence</w:t>
      </w:r>
    </w:p>
    <w:p>
      <w:pPr>
        <w:keepNext/>
        <w:spacing w:after="40"/>
        <w:jc w:val="center"/>
      </w:pPr>
      <w:r>
        <w:drawing>
          <wp:inline xmlns:a="http://schemas.openxmlformats.org/drawingml/2006/main" xmlns:pic="http://schemas.openxmlformats.org/drawingml/2006/picture">
            <wp:extent cx="5669280" cy="5902664"/>
            <wp:docPr id="75" name="Picture 75"/>
            <wp:cNvGraphicFramePr>
              <a:graphicFrameLocks noChangeAspect="1"/>
            </wp:cNvGraphicFramePr>
            <a:graphic>
              <a:graphicData uri="http://schemas.openxmlformats.org/drawingml/2006/picture">
                <pic:pic>
                  <pic:nvPicPr>
                    <pic:cNvPr id="0" name="pkg_33.jpg"/>
                    <pic:cNvPicPr/>
                  </pic:nvPicPr>
                  <pic:blipFill>
                    <a:blip r:embed="rId85"/>
                    <a:stretch>
                      <a:fillRect/>
                    </a:stretch>
                  </pic:blipFill>
                  <pic:spPr>
                    <a:xfrm>
                      <a:off x="0" y="0"/>
                      <a:ext cx="5669280" cy="5902664"/>
                    </a:xfrm>
                    <a:prstGeom prst="rect"/>
                  </pic:spPr>
                </pic:pic>
              </a:graphicData>
            </a:graphic>
          </wp:inline>
        </w:drawing>
      </w:r>
    </w:p>
    <w:p>
      <w:pPr>
        <w:spacing w:after="240"/>
        <w:jc w:val="center"/>
      </w:pPr>
      <w:r>
        <w:rPr>
          <w:b/>
          <w:color w:val="1B335F"/>
          <w:sz w:val="19"/>
        </w:rPr>
        <w:t>M-E1. Assembly drawing — exploded view</w:t>
        <w:br/>
      </w: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76" name="Picture 76"/>
            <wp:cNvGraphicFramePr>
              <a:graphicFrameLocks noChangeAspect="1"/>
            </wp:cNvGraphicFramePr>
            <a:graphic>
              <a:graphicData uri="http://schemas.openxmlformats.org/drawingml/2006/picture">
                <pic:pic>
                  <pic:nvPicPr>
                    <pic:cNvPr id="0" name="pkg_34.jpg"/>
                    <pic:cNvPicPr/>
                  </pic:nvPicPr>
                  <pic:blipFill>
                    <a:blip r:embed="rId86"/>
                    <a:stretch>
                      <a:fillRect/>
                    </a:stretch>
                  </pic:blipFill>
                  <pic:spPr>
                    <a:xfrm>
                      <a:off x="0" y="0"/>
                      <a:ext cx="3730095" cy="7589518"/>
                    </a:xfrm>
                    <a:prstGeom prst="rect"/>
                  </pic:spPr>
                </pic:pic>
              </a:graphicData>
            </a:graphic>
          </wp:inline>
        </w:drawing>
      </w:r>
    </w:p>
    <w:p>
      <w:pPr>
        <w:spacing w:after="240"/>
        <w:jc w:val="center"/>
      </w:pPr>
      <w:r>
        <w:rPr>
          <w:b/>
          <w:color w:val="1B335F"/>
          <w:sz w:val="19"/>
        </w:rPr>
        <w:t>M-E2. Assembly step — casing cover</w:t>
        <w:br/>
      </w: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77" name="Picture 77"/>
            <wp:cNvGraphicFramePr>
              <a:graphicFrameLocks noChangeAspect="1"/>
            </wp:cNvGraphicFramePr>
            <a:graphic>
              <a:graphicData uri="http://schemas.openxmlformats.org/drawingml/2006/picture">
                <pic:pic>
                  <pic:nvPicPr>
                    <pic:cNvPr id="0" name="pkg_35.jpg"/>
                    <pic:cNvPicPr/>
                  </pic:nvPicPr>
                  <pic:blipFill>
                    <a:blip r:embed="rId87"/>
                    <a:stretch>
                      <a:fillRect/>
                    </a:stretch>
                  </pic:blipFill>
                  <pic:spPr>
                    <a:xfrm>
                      <a:off x="0" y="0"/>
                      <a:ext cx="4426422" cy="7589519"/>
                    </a:xfrm>
                    <a:prstGeom prst="rect"/>
                  </pic:spPr>
                </pic:pic>
              </a:graphicData>
            </a:graphic>
          </wp:inline>
        </w:drawing>
      </w:r>
    </w:p>
    <w:p>
      <w:pPr>
        <w:spacing w:after="240"/>
        <w:jc w:val="center"/>
      </w:pPr>
      <w:r>
        <w:rPr>
          <w:b/>
          <w:color w:val="1B335F"/>
          <w:sz w:val="19"/>
        </w:rPr>
        <w:t>M-E3. Assembly step — sensor case and rubber gasket</w:t>
        <w:br/>
      </w: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78" name="Picture 78"/>
            <wp:cNvGraphicFramePr>
              <a:graphicFrameLocks noChangeAspect="1"/>
            </wp:cNvGraphicFramePr>
            <a:graphic>
              <a:graphicData uri="http://schemas.openxmlformats.org/drawingml/2006/picture">
                <pic:pic>
                  <pic:nvPicPr>
                    <pic:cNvPr id="0" name="pkg_36.jpg"/>
                    <pic:cNvPicPr/>
                  </pic:nvPicPr>
                  <pic:blipFill>
                    <a:blip r:embed="rId88"/>
                    <a:stretch>
                      <a:fillRect/>
                    </a:stretch>
                  </pic:blipFill>
                  <pic:spPr>
                    <a:xfrm>
                      <a:off x="0" y="0"/>
                      <a:ext cx="5669280" cy="3180806"/>
                    </a:xfrm>
                    <a:prstGeom prst="rect"/>
                  </pic:spPr>
                </pic:pic>
              </a:graphicData>
            </a:graphic>
          </wp:inline>
        </w:drawing>
      </w:r>
    </w:p>
    <w:p>
      <w:pPr>
        <w:spacing w:after="240"/>
        <w:jc w:val="center"/>
      </w:pPr>
      <w:r>
        <w:rPr>
          <w:b/>
          <w:color w:val="1B335F"/>
          <w:sz w:val="19"/>
        </w:rPr>
        <w:t>M-E4. Assembly step — LED &amp; buzzer</w:t>
        <w:br/>
      </w: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79" name="Picture 79"/>
            <wp:cNvGraphicFramePr>
              <a:graphicFrameLocks noChangeAspect="1"/>
            </wp:cNvGraphicFramePr>
            <a:graphic>
              <a:graphicData uri="http://schemas.openxmlformats.org/drawingml/2006/picture">
                <pic:pic>
                  <pic:nvPicPr>
                    <pic:cNvPr id="0" name="pkg_37.jpg"/>
                    <pic:cNvPicPr/>
                  </pic:nvPicPr>
                  <pic:blipFill>
                    <a:blip r:embed="rId89"/>
                    <a:stretch>
                      <a:fillRect/>
                    </a:stretch>
                  </pic:blipFill>
                  <pic:spPr>
                    <a:xfrm>
                      <a:off x="0" y="0"/>
                      <a:ext cx="5638157" cy="7589519"/>
                    </a:xfrm>
                    <a:prstGeom prst="rect"/>
                  </pic:spPr>
                </pic:pic>
              </a:graphicData>
            </a:graphic>
          </wp:inline>
        </w:drawing>
      </w:r>
    </w:p>
    <w:p>
      <w:pPr>
        <w:spacing w:after="240"/>
        <w:jc w:val="center"/>
      </w:pPr>
      <w:r>
        <w:rPr>
          <w:b/>
          <w:color w:val="1B335F"/>
          <w:sz w:val="19"/>
        </w:rPr>
        <w:t>M-E5. Assembly step — 24 VDC power in</w:t>
        <w:br/>
      </w: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80" name="Picture 80"/>
            <wp:cNvGraphicFramePr>
              <a:graphicFrameLocks noChangeAspect="1"/>
            </wp:cNvGraphicFramePr>
            <a:graphic>
              <a:graphicData uri="http://schemas.openxmlformats.org/drawingml/2006/picture">
                <pic:pic>
                  <pic:nvPicPr>
                    <pic:cNvPr id="0" name="pkg_38.jpg"/>
                    <pic:cNvPicPr/>
                  </pic:nvPicPr>
                  <pic:blipFill>
                    <a:blip r:embed="rId90"/>
                    <a:stretch>
                      <a:fillRect/>
                    </a:stretch>
                  </pic:blipFill>
                  <pic:spPr>
                    <a:xfrm>
                      <a:off x="0" y="0"/>
                      <a:ext cx="4272448" cy="7589519"/>
                    </a:xfrm>
                    <a:prstGeom prst="rect"/>
                  </pic:spPr>
                </pic:pic>
              </a:graphicData>
            </a:graphic>
          </wp:inline>
        </w:drawing>
      </w:r>
    </w:p>
    <w:p>
      <w:pPr>
        <w:spacing w:after="240"/>
        <w:jc w:val="center"/>
      </w:pPr>
      <w:r>
        <w:rPr>
          <w:b/>
          <w:color w:val="1B335F"/>
          <w:sz w:val="19"/>
        </w:rPr>
        <w:t>M-E6. Assembly step — put motherboard into base casing</w:t>
        <w:br/>
      </w: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81" name="Picture 81"/>
            <wp:cNvGraphicFramePr>
              <a:graphicFrameLocks noChangeAspect="1"/>
            </wp:cNvGraphicFramePr>
            <a:graphic>
              <a:graphicData uri="http://schemas.openxmlformats.org/drawingml/2006/picture">
                <pic:pic>
                  <pic:nvPicPr>
                    <pic:cNvPr id="0" name="pkg_39.jpg"/>
                    <pic:cNvPicPr/>
                  </pic:nvPicPr>
                  <pic:blipFill>
                    <a:blip r:embed="rId91"/>
                    <a:stretch>
                      <a:fillRect/>
                    </a:stretch>
                  </pic:blipFill>
                  <pic:spPr>
                    <a:xfrm>
                      <a:off x="0" y="0"/>
                      <a:ext cx="5669280" cy="6613229"/>
                    </a:xfrm>
                    <a:prstGeom prst="rect"/>
                  </pic:spPr>
                </pic:pic>
              </a:graphicData>
            </a:graphic>
          </wp:inline>
        </w:drawing>
      </w:r>
    </w:p>
    <w:p>
      <w:pPr>
        <w:spacing w:after="240"/>
        <w:jc w:val="center"/>
      </w:pPr>
      <w:r>
        <w:rPr>
          <w:b/>
          <w:color w:val="1B335F"/>
          <w:sz w:val="19"/>
        </w:rPr>
        <w:t>M-E7. Assembly step — secure motherboard; install LoRa antenna cable</w:t>
        <w:br/>
      </w: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82" name="Picture 82"/>
            <wp:cNvGraphicFramePr>
              <a:graphicFrameLocks noChangeAspect="1"/>
            </wp:cNvGraphicFramePr>
            <a:graphic>
              <a:graphicData uri="http://schemas.openxmlformats.org/drawingml/2006/picture">
                <pic:pic>
                  <pic:nvPicPr>
                    <pic:cNvPr id="0" name="pkg_40.jpg"/>
                    <pic:cNvPicPr/>
                  </pic:nvPicPr>
                  <pic:blipFill>
                    <a:blip r:embed="rId92"/>
                    <a:stretch>
                      <a:fillRect/>
                    </a:stretch>
                  </pic:blipFill>
                  <pic:spPr>
                    <a:xfrm>
                      <a:off x="0" y="0"/>
                      <a:ext cx="4829101" cy="7589520"/>
                    </a:xfrm>
                    <a:prstGeom prst="rect"/>
                  </pic:spPr>
                </pic:pic>
              </a:graphicData>
            </a:graphic>
          </wp:inline>
        </w:drawing>
      </w:r>
    </w:p>
    <w:p>
      <w:pPr>
        <w:spacing w:after="240"/>
        <w:jc w:val="center"/>
      </w:pPr>
      <w:r>
        <w:rPr>
          <w:b/>
          <w:color w:val="1B335F"/>
          <w:sz w:val="19"/>
        </w:rPr>
        <w:t>M-E8. Assembly step — antenna position</w:t>
        <w:br/>
      </w: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83" name="Picture 83"/>
            <wp:cNvGraphicFramePr>
              <a:graphicFrameLocks noChangeAspect="1"/>
            </wp:cNvGraphicFramePr>
            <a:graphic>
              <a:graphicData uri="http://schemas.openxmlformats.org/drawingml/2006/picture">
                <pic:pic>
                  <pic:nvPicPr>
                    <pic:cNvPr id="0" name="pkg_41.jpg"/>
                    <pic:cNvPicPr/>
                  </pic:nvPicPr>
                  <pic:blipFill>
                    <a:blip r:embed="rId93"/>
                    <a:stretch>
                      <a:fillRect/>
                    </a:stretch>
                  </pic:blipFill>
                  <pic:spPr>
                    <a:xfrm>
                      <a:off x="0" y="0"/>
                      <a:ext cx="4333205" cy="7589519"/>
                    </a:xfrm>
                    <a:prstGeom prst="rect"/>
                  </pic:spPr>
                </pic:pic>
              </a:graphicData>
            </a:graphic>
          </wp:inline>
        </w:drawing>
      </w:r>
    </w:p>
    <w:p>
      <w:pPr>
        <w:spacing w:after="240"/>
        <w:jc w:val="center"/>
      </w:pPr>
      <w:r>
        <w:rPr>
          <w:b/>
          <w:color w:val="1B335F"/>
          <w:sz w:val="19"/>
        </w:rPr>
        <w:t>M-E9. Assembly step — alarm cables, DC fan and cover closure</w:t>
        <w:br/>
      </w:r>
      <w:r>
        <w:rPr>
          <w:color w:val="555B66"/>
          <w:sz w:val="17"/>
        </w:rPr>
        <w:t>Connect LED/buzzer cables; attach DC fan to the cover behind the stainless-steel mesh plate; connect the fan cable; close the cover by turning it clockwise.</w:t>
      </w:r>
    </w:p>
    <w:p>
      <w:r>
        <w:br w:type="page"/>
      </w:r>
    </w:p>
    <w:p>
      <w:pPr>
        <w:keepNext/>
        <w:spacing w:after="80"/>
      </w:pPr>
      <w:r>
        <w:rPr>
          <w:b/>
          <w:i w:val="0"/>
          <w:color w:val="1B335F"/>
          <w:sz w:val="23"/>
        </w:rPr>
        <w:t>F. MQ sensor dimension drawings</w:t>
      </w:r>
    </w:p>
    <w:p>
      <w:pPr>
        <w:keepNext/>
        <w:spacing w:after="40"/>
        <w:jc w:val="center"/>
      </w:pPr>
      <w:r>
        <w:drawing>
          <wp:inline xmlns:a="http://schemas.openxmlformats.org/drawingml/2006/main" xmlns:pic="http://schemas.openxmlformats.org/drawingml/2006/picture">
            <wp:extent cx="5539409" cy="7589519"/>
            <wp:docPr id="84" name="Picture 84"/>
            <wp:cNvGraphicFramePr>
              <a:graphicFrameLocks noChangeAspect="1"/>
            </wp:cNvGraphicFramePr>
            <a:graphic>
              <a:graphicData uri="http://schemas.openxmlformats.org/drawingml/2006/picture">
                <pic:pic>
                  <pic:nvPicPr>
                    <pic:cNvPr id="0" name="pkg_29.jpg"/>
                    <pic:cNvPicPr/>
                  </pic:nvPicPr>
                  <pic:blipFill>
                    <a:blip r:embed="rId94"/>
                    <a:stretch>
                      <a:fillRect/>
                    </a:stretch>
                  </pic:blipFill>
                  <pic:spPr>
                    <a:xfrm>
                      <a:off x="0" y="0"/>
                      <a:ext cx="5539409" cy="7589519"/>
                    </a:xfrm>
                    <a:prstGeom prst="rect"/>
                  </pic:spPr>
                </pic:pic>
              </a:graphicData>
            </a:graphic>
          </wp:inline>
        </w:drawing>
      </w:r>
    </w:p>
    <w:p>
      <w:pPr>
        <w:spacing w:after="240"/>
        <w:jc w:val="center"/>
      </w:pPr>
      <w:r>
        <w:rPr>
          <w:b/>
          <w:color w:val="1B335F"/>
          <w:sz w:val="19"/>
        </w:rPr>
        <w:t>M-F1. MQ-2 and MQ-3 — sensor parameters and dimension drawings</w:t>
      </w:r>
    </w:p>
    <w:p>
      <w:r>
        <w:br w:type="page"/>
      </w:r>
    </w:p>
    <w:p>
      <w:pPr>
        <w:keepNext/>
        <w:spacing w:after="40"/>
        <w:jc w:val="center"/>
      </w:pPr>
      <w:r>
        <w:drawing>
          <wp:inline xmlns:a="http://schemas.openxmlformats.org/drawingml/2006/main" xmlns:pic="http://schemas.openxmlformats.org/drawingml/2006/picture">
            <wp:extent cx="4768231" cy="7589519"/>
            <wp:docPr id="85" name="Picture 85"/>
            <wp:cNvGraphicFramePr>
              <a:graphicFrameLocks noChangeAspect="1"/>
            </wp:cNvGraphicFramePr>
            <a:graphic>
              <a:graphicData uri="http://schemas.openxmlformats.org/drawingml/2006/picture">
                <pic:pic>
                  <pic:nvPicPr>
                    <pic:cNvPr id="0" name="pkg_30.jpg"/>
                    <pic:cNvPicPr/>
                  </pic:nvPicPr>
                  <pic:blipFill>
                    <a:blip r:embed="rId95"/>
                    <a:stretch>
                      <a:fillRect/>
                    </a:stretch>
                  </pic:blipFill>
                  <pic:spPr>
                    <a:xfrm>
                      <a:off x="0" y="0"/>
                      <a:ext cx="4768231" cy="7589519"/>
                    </a:xfrm>
                    <a:prstGeom prst="rect"/>
                  </pic:spPr>
                </pic:pic>
              </a:graphicData>
            </a:graphic>
          </wp:inline>
        </w:drawing>
      </w:r>
    </w:p>
    <w:p>
      <w:pPr>
        <w:spacing w:after="240"/>
        <w:jc w:val="center"/>
      </w:pPr>
      <w:r>
        <w:rPr>
          <w:b/>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86" name="Picture 86"/>
            <wp:cNvGraphicFramePr>
              <a:graphicFrameLocks noChangeAspect="1"/>
            </wp:cNvGraphicFramePr>
            <a:graphic>
              <a:graphicData uri="http://schemas.openxmlformats.org/drawingml/2006/picture">
                <pic:pic>
                  <pic:nvPicPr>
                    <pic:cNvPr id="0" name="pkg_31.jpg"/>
                    <pic:cNvPicPr/>
                  </pic:nvPicPr>
                  <pic:blipFill>
                    <a:blip r:embed="rId96"/>
                    <a:stretch>
                      <a:fillRect/>
                    </a:stretch>
                  </pic:blipFill>
                  <pic:spPr>
                    <a:xfrm>
                      <a:off x="0" y="0"/>
                      <a:ext cx="5015544" cy="7589519"/>
                    </a:xfrm>
                    <a:prstGeom prst="rect"/>
                  </pic:spPr>
                </pic:pic>
              </a:graphicData>
            </a:graphic>
          </wp:inline>
        </w:drawing>
      </w:r>
    </w:p>
    <w:p>
      <w:pPr>
        <w:spacing w:after="240"/>
        <w:jc w:val="center"/>
      </w:pPr>
      <w:r>
        <w:rPr>
          <w:b/>
          <w:color w:val="1B335F"/>
          <w:sz w:val="19"/>
        </w:rPr>
        <w:t>M-F3. MQ-6 and MQ-7 — sensor parameters and dimension drawings</w:t>
      </w:r>
    </w:p>
    <w:p>
      <w:r>
        <w:br w:type="page"/>
      </w:r>
    </w:p>
    <w:p>
      <w:pPr>
        <w:keepNext/>
        <w:spacing w:after="40"/>
        <w:jc w:val="center"/>
      </w:pPr>
      <w:r>
        <w:drawing>
          <wp:inline xmlns:a="http://schemas.openxmlformats.org/drawingml/2006/main" xmlns:pic="http://schemas.openxmlformats.org/drawingml/2006/picture">
            <wp:extent cx="5139876" cy="7589519"/>
            <wp:docPr id="87" name="Picture 87"/>
            <wp:cNvGraphicFramePr>
              <a:graphicFrameLocks noChangeAspect="1"/>
            </wp:cNvGraphicFramePr>
            <a:graphic>
              <a:graphicData uri="http://schemas.openxmlformats.org/drawingml/2006/picture">
                <pic:pic>
                  <pic:nvPicPr>
                    <pic:cNvPr id="0" name="pkg_32.jpg"/>
                    <pic:cNvPicPr/>
                  </pic:nvPicPr>
                  <pic:blipFill>
                    <a:blip r:embed="rId97"/>
                    <a:stretch>
                      <a:fillRect/>
                    </a:stretch>
                  </pic:blipFill>
                  <pic:spPr>
                    <a:xfrm>
                      <a:off x="0" y="0"/>
                      <a:ext cx="5139876" cy="7589519"/>
                    </a:xfrm>
                    <a:prstGeom prst="rect"/>
                  </pic:spPr>
                </pic:pic>
              </a:graphicData>
            </a:graphic>
          </wp:inline>
        </w:drawing>
      </w:r>
    </w:p>
    <w:p>
      <w:pPr>
        <w:spacing w:after="240"/>
        <w:jc w:val="center"/>
      </w:pPr>
      <w:r>
        <w:rPr>
          <w:b/>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88" name="Picture 88"/>
            <wp:cNvGraphicFramePr>
              <a:graphicFrameLocks noChangeAspect="1"/>
            </wp:cNvGraphicFramePr>
            <a:graphic>
              <a:graphicData uri="http://schemas.openxmlformats.org/drawingml/2006/picture">
                <pic:pic>
                  <pic:nvPicPr>
                    <pic:cNvPr id="0" name="sheet-02.png"/>
                    <pic:cNvPicPr/>
                  </pic:nvPicPr>
                  <pic:blipFill>
                    <a:blip r:embed="rId9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9" name="Picture 89"/>
            <wp:cNvGraphicFramePr>
              <a:graphicFrameLocks noChangeAspect="1"/>
            </wp:cNvGraphicFramePr>
            <a:graphic>
              <a:graphicData uri="http://schemas.openxmlformats.org/drawingml/2006/picture">
                <pic:pic>
                  <pic:nvPicPr>
                    <pic:cNvPr id="0" name="sheet-03.png"/>
                    <pic:cNvPicPr/>
                  </pic:nvPicPr>
                  <pic:blipFill>
                    <a:blip r:embed="rId9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0" name="Picture 90"/>
            <wp:cNvGraphicFramePr>
              <a:graphicFrameLocks noChangeAspect="1"/>
            </wp:cNvGraphicFramePr>
            <a:graphic>
              <a:graphicData uri="http://schemas.openxmlformats.org/drawingml/2006/picture">
                <pic:pic>
                  <pic:nvPicPr>
                    <pic:cNvPr id="0" name="sheet-04.png"/>
                    <pic:cNvPicPr/>
                  </pic:nvPicPr>
                  <pic:blipFill>
                    <a:blip r:embed="rId10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1" name="Picture 91"/>
            <wp:cNvGraphicFramePr>
              <a:graphicFrameLocks noChangeAspect="1"/>
            </wp:cNvGraphicFramePr>
            <a:graphic>
              <a:graphicData uri="http://schemas.openxmlformats.org/drawingml/2006/picture">
                <pic:pic>
                  <pic:nvPicPr>
                    <pic:cNvPr id="0" name="sheet-05.png"/>
                    <pic:cNvPicPr/>
                  </pic:nvPicPr>
                  <pic:blipFill>
                    <a:blip r:embed="rId10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2" name="Picture 92"/>
            <wp:cNvGraphicFramePr>
              <a:graphicFrameLocks noChangeAspect="1"/>
            </wp:cNvGraphicFramePr>
            <a:graphic>
              <a:graphicData uri="http://schemas.openxmlformats.org/drawingml/2006/picture">
                <pic:pic>
                  <pic:nvPicPr>
                    <pic:cNvPr id="0" name="sheet-06.png"/>
                    <pic:cNvPicPr/>
                  </pic:nvPicPr>
                  <pic:blipFill>
                    <a:blip r:embed="rId10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3" name="Picture 93"/>
            <wp:cNvGraphicFramePr>
              <a:graphicFrameLocks noChangeAspect="1"/>
            </wp:cNvGraphicFramePr>
            <a:graphic>
              <a:graphicData uri="http://schemas.openxmlformats.org/drawingml/2006/picture">
                <pic:pic>
                  <pic:nvPicPr>
                    <pic:cNvPr id="0" name="sheet-07.png"/>
                    <pic:cNvPicPr/>
                  </pic:nvPicPr>
                  <pic:blipFill>
                    <a:blip r:embed="rId10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4" name="Picture 94"/>
            <wp:cNvGraphicFramePr>
              <a:graphicFrameLocks noChangeAspect="1"/>
            </wp:cNvGraphicFramePr>
            <a:graphic>
              <a:graphicData uri="http://schemas.openxmlformats.org/drawingml/2006/picture">
                <pic:pic>
                  <pic:nvPicPr>
                    <pic:cNvPr id="0" name="sheet-08.png"/>
                    <pic:cNvPicPr/>
                  </pic:nvPicPr>
                  <pic:blipFill>
                    <a:blip r:embed="rId10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5" name="Picture 95"/>
            <wp:cNvGraphicFramePr>
              <a:graphicFrameLocks noChangeAspect="1"/>
            </wp:cNvGraphicFramePr>
            <a:graphic>
              <a:graphicData uri="http://schemas.openxmlformats.org/drawingml/2006/picture">
                <pic:pic>
                  <pic:nvPicPr>
                    <pic:cNvPr id="0" name="sheet-09.png"/>
                    <pic:cNvPicPr/>
                  </pic:nvPicPr>
                  <pic:blipFill>
                    <a:blip r:embed="rId10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6" name="Picture 96"/>
            <wp:cNvGraphicFramePr>
              <a:graphicFrameLocks noChangeAspect="1"/>
            </wp:cNvGraphicFramePr>
            <a:graphic>
              <a:graphicData uri="http://schemas.openxmlformats.org/drawingml/2006/picture">
                <pic:pic>
                  <pic:nvPicPr>
                    <pic:cNvPr id="0" name="sheet-10.png"/>
                    <pic:cNvPicPr/>
                  </pic:nvPicPr>
                  <pic:blipFill>
                    <a:blip r:embed="rId10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7" name="Picture 97"/>
            <wp:cNvGraphicFramePr>
              <a:graphicFrameLocks noChangeAspect="1"/>
            </wp:cNvGraphicFramePr>
            <a:graphic>
              <a:graphicData uri="http://schemas.openxmlformats.org/drawingml/2006/picture">
                <pic:pic>
                  <pic:nvPicPr>
                    <pic:cNvPr id="0" name="sheet-11.png"/>
                    <pic:cNvPicPr/>
                  </pic:nvPicPr>
                  <pic:blipFill>
                    <a:blip r:embed="rId10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8" name="Picture 98"/>
            <wp:cNvGraphicFramePr>
              <a:graphicFrameLocks noChangeAspect="1"/>
            </wp:cNvGraphicFramePr>
            <a:graphic>
              <a:graphicData uri="http://schemas.openxmlformats.org/drawingml/2006/picture">
                <pic:pic>
                  <pic:nvPicPr>
                    <pic:cNvPr id="0" name="sheet-12.png"/>
                    <pic:cNvPicPr/>
                  </pic:nvPicPr>
                  <pic:blipFill>
                    <a:blip r:embed="rId10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9" name="Picture 99"/>
            <wp:cNvGraphicFramePr>
              <a:graphicFrameLocks noChangeAspect="1"/>
            </wp:cNvGraphicFramePr>
            <a:graphic>
              <a:graphicData uri="http://schemas.openxmlformats.org/drawingml/2006/picture">
                <pic:pic>
                  <pic:nvPicPr>
                    <pic:cNvPr id="0" name="sheet-13.png"/>
                    <pic:cNvPicPr/>
                  </pic:nvPicPr>
                  <pic:blipFill>
                    <a:blip r:embed="rId10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0" name="Picture 100"/>
            <wp:cNvGraphicFramePr>
              <a:graphicFrameLocks noChangeAspect="1"/>
            </wp:cNvGraphicFramePr>
            <a:graphic>
              <a:graphicData uri="http://schemas.openxmlformats.org/drawingml/2006/picture">
                <pic:pic>
                  <pic:nvPicPr>
                    <pic:cNvPr id="0" name="sheet-14.png"/>
                    <pic:cNvPicPr/>
                  </pic:nvPicPr>
                  <pic:blipFill>
                    <a:blip r:embed="rId11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1" name="Picture 101"/>
            <wp:cNvGraphicFramePr>
              <a:graphicFrameLocks noChangeAspect="1"/>
            </wp:cNvGraphicFramePr>
            <a:graphic>
              <a:graphicData uri="http://schemas.openxmlformats.org/drawingml/2006/picture">
                <pic:pic>
                  <pic:nvPicPr>
                    <pic:cNvPr id="0" name="sheet-15.png"/>
                    <pic:cNvPicPr/>
                  </pic:nvPicPr>
                  <pic:blipFill>
                    <a:blip r:embed="rId11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2" name="Picture 102"/>
            <wp:cNvGraphicFramePr>
              <a:graphicFrameLocks noChangeAspect="1"/>
            </wp:cNvGraphicFramePr>
            <a:graphic>
              <a:graphicData uri="http://schemas.openxmlformats.org/drawingml/2006/picture">
                <pic:pic>
                  <pic:nvPicPr>
                    <pic:cNvPr id="0" name="sheet-16.png"/>
                    <pic:cNvPicPr/>
                  </pic:nvPicPr>
                  <pic:blipFill>
                    <a:blip r:embed="rId11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3" name="Picture 103"/>
            <wp:cNvGraphicFramePr>
              <a:graphicFrameLocks noChangeAspect="1"/>
            </wp:cNvGraphicFramePr>
            <a:graphic>
              <a:graphicData uri="http://schemas.openxmlformats.org/drawingml/2006/picture">
                <pic:pic>
                  <pic:nvPicPr>
                    <pic:cNvPr id="0" name="sheet-17.png"/>
                    <pic:cNvPicPr/>
                  </pic:nvPicPr>
                  <pic:blipFill>
                    <a:blip r:embed="rId11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4" name="Picture 104"/>
            <wp:cNvGraphicFramePr>
              <a:graphicFrameLocks noChangeAspect="1"/>
            </wp:cNvGraphicFramePr>
            <a:graphic>
              <a:graphicData uri="http://schemas.openxmlformats.org/drawingml/2006/picture">
                <pic:pic>
                  <pic:nvPicPr>
                    <pic:cNvPr id="0" name="sheet-18.png"/>
                    <pic:cNvPicPr/>
                  </pic:nvPicPr>
                  <pic:blipFill>
                    <a:blip r:embed="rId11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5" name="Picture 105"/>
            <wp:cNvGraphicFramePr>
              <a:graphicFrameLocks noChangeAspect="1"/>
            </wp:cNvGraphicFramePr>
            <a:graphic>
              <a:graphicData uri="http://schemas.openxmlformats.org/drawingml/2006/picture">
                <pic:pic>
                  <pic:nvPicPr>
                    <pic:cNvPr id="0" name="sheet-19.png"/>
                    <pic:cNvPicPr/>
                  </pic:nvPicPr>
                  <pic:blipFill>
                    <a:blip r:embed="rId11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6" name="Picture 106"/>
            <wp:cNvGraphicFramePr>
              <a:graphicFrameLocks noChangeAspect="1"/>
            </wp:cNvGraphicFramePr>
            <a:graphic>
              <a:graphicData uri="http://schemas.openxmlformats.org/drawingml/2006/picture">
                <pic:pic>
                  <pic:nvPicPr>
                    <pic:cNvPr id="0" name="sheet-20.png"/>
                    <pic:cNvPicPr/>
                  </pic:nvPicPr>
                  <pic:blipFill>
                    <a:blip r:embed="rId11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7" name="Picture 107"/>
            <wp:cNvGraphicFramePr>
              <a:graphicFrameLocks noChangeAspect="1"/>
            </wp:cNvGraphicFramePr>
            <a:graphic>
              <a:graphicData uri="http://schemas.openxmlformats.org/drawingml/2006/picture">
                <pic:pic>
                  <pic:nvPicPr>
                    <pic:cNvPr id="0" name="sheet-21.png"/>
                    <pic:cNvPicPr/>
                  </pic:nvPicPr>
                  <pic:blipFill>
                    <a:blip r:embed="rId11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8" name="Picture 108"/>
            <wp:cNvGraphicFramePr>
              <a:graphicFrameLocks noChangeAspect="1"/>
            </wp:cNvGraphicFramePr>
            <a:graphic>
              <a:graphicData uri="http://schemas.openxmlformats.org/drawingml/2006/picture">
                <pic:pic>
                  <pic:nvPicPr>
                    <pic:cNvPr id="0" name="sheet-22.png"/>
                    <pic:cNvPicPr/>
                  </pic:nvPicPr>
                  <pic:blipFill>
                    <a:blip r:embed="rId11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9" name="Picture 109"/>
            <wp:cNvGraphicFramePr>
              <a:graphicFrameLocks noChangeAspect="1"/>
            </wp:cNvGraphicFramePr>
            <a:graphic>
              <a:graphicData uri="http://schemas.openxmlformats.org/drawingml/2006/picture">
                <pic:pic>
                  <pic:nvPicPr>
                    <pic:cNvPr id="0" name="sheet-23.png"/>
                    <pic:cNvPicPr/>
                  </pic:nvPicPr>
                  <pic:blipFill>
                    <a:blip r:embed="rId119"/>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10" name="Picture 110"/>
            <wp:cNvGraphicFramePr>
              <a:graphicFrameLocks noChangeAspect="1"/>
            </wp:cNvGraphicFramePr>
            <a:graphic>
              <a:graphicData uri="http://schemas.openxmlformats.org/drawingml/2006/picture">
                <pic:pic>
                  <pic:nvPicPr>
                    <pic:cNvPr id="0" name="view01.jpg"/>
                    <pic:cNvPicPr/>
                  </pic:nvPicPr>
                  <pic:blipFill>
                    <a:blip r:embed="rId120"/>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1" name="Picture 111"/>
            <wp:cNvGraphicFramePr>
              <a:graphicFrameLocks noChangeAspect="1"/>
            </wp:cNvGraphicFramePr>
            <a:graphic>
              <a:graphicData uri="http://schemas.openxmlformats.org/drawingml/2006/picture">
                <pic:pic>
                  <pic:nvPicPr>
                    <pic:cNvPr id="0" name="view02.jpg"/>
                    <pic:cNvPicPr/>
                  </pic:nvPicPr>
                  <pic:blipFill>
                    <a:blip r:embed="rId121"/>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12" name="Picture 112"/>
            <wp:cNvGraphicFramePr>
              <a:graphicFrameLocks noChangeAspect="1"/>
            </wp:cNvGraphicFramePr>
            <a:graphic>
              <a:graphicData uri="http://schemas.openxmlformats.org/drawingml/2006/picture">
                <pic:pic>
                  <pic:nvPicPr>
                    <pic:cNvPr id="0" name="view03.jpg"/>
                    <pic:cNvPicPr/>
                  </pic:nvPicPr>
                  <pic:blipFill>
                    <a:blip r:embed="rId122"/>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113" name="Picture 113"/>
            <wp:cNvGraphicFramePr>
              <a:graphicFrameLocks noChangeAspect="1"/>
            </wp:cNvGraphicFramePr>
            <a:graphic>
              <a:graphicData uri="http://schemas.openxmlformats.org/drawingml/2006/picture">
                <pic:pic>
                  <pic:nvPicPr>
                    <pic:cNvPr id="0" name="view04.jpg"/>
                    <pic:cNvPicPr/>
                  </pic:nvPicPr>
                  <pic:blipFill>
                    <a:blip r:embed="rId123"/>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4" name="Picture 114"/>
            <wp:cNvGraphicFramePr>
              <a:graphicFrameLocks noChangeAspect="1"/>
            </wp:cNvGraphicFramePr>
            <a:graphic>
              <a:graphicData uri="http://schemas.openxmlformats.org/drawingml/2006/picture">
                <pic:pic>
                  <pic:nvPicPr>
                    <pic:cNvPr id="0" name="view05.jpg"/>
                    <pic:cNvPicPr/>
                  </pic:nvPicPr>
                  <pic:blipFill>
                    <a:blip r:embed="rId124"/>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5" name="Picture 115"/>
            <wp:cNvGraphicFramePr>
              <a:graphicFrameLocks noChangeAspect="1"/>
            </wp:cNvGraphicFramePr>
            <a:graphic>
              <a:graphicData uri="http://schemas.openxmlformats.org/drawingml/2006/picture">
                <pic:pic>
                  <pic:nvPicPr>
                    <pic:cNvPr id="0" name="view06.jpg"/>
                    <pic:cNvPicPr/>
                  </pic:nvPicPr>
                  <pic:blipFill>
                    <a:blip r:embed="rId125"/>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6" name="Picture 116"/>
            <wp:cNvGraphicFramePr>
              <a:graphicFrameLocks noChangeAspect="1"/>
            </wp:cNvGraphicFramePr>
            <a:graphic>
              <a:graphicData uri="http://schemas.openxmlformats.org/drawingml/2006/picture">
                <pic:pic>
                  <pic:nvPicPr>
                    <pic:cNvPr id="0" name="view07.jpg"/>
                    <pic:cNvPicPr/>
                  </pic:nvPicPr>
                  <pic:blipFill>
                    <a:blip r:embed="rId126"/>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7" name="Picture 117"/>
            <wp:cNvGraphicFramePr>
              <a:graphicFrameLocks noChangeAspect="1"/>
            </wp:cNvGraphicFramePr>
            <a:graphic>
              <a:graphicData uri="http://schemas.openxmlformats.org/drawingml/2006/picture">
                <pic:pic>
                  <pic:nvPicPr>
                    <pic:cNvPr id="0" name="view08.jpg"/>
                    <pic:cNvPicPr/>
                  </pic:nvPicPr>
                  <pic:blipFill>
                    <a:blip r:embed="rId127"/>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8" name="Picture 118"/>
            <wp:cNvGraphicFramePr>
              <a:graphicFrameLocks noChangeAspect="1"/>
            </wp:cNvGraphicFramePr>
            <a:graphic>
              <a:graphicData uri="http://schemas.openxmlformats.org/drawingml/2006/picture">
                <pic:pic>
                  <pic:nvPicPr>
                    <pic:cNvPr id="0" name="view09.jpg"/>
                    <pic:cNvPicPr/>
                  </pic:nvPicPr>
                  <pic:blipFill>
                    <a:blip r:embed="rId128"/>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9" name="Picture 119"/>
            <wp:cNvGraphicFramePr>
              <a:graphicFrameLocks noChangeAspect="1"/>
            </wp:cNvGraphicFramePr>
            <a:graphic>
              <a:graphicData uri="http://schemas.openxmlformats.org/drawingml/2006/picture">
                <pic:pic>
                  <pic:nvPicPr>
                    <pic:cNvPr id="0" name="view10.jpg"/>
                    <pic:cNvPicPr/>
                  </pic:nvPicPr>
                  <pic:blipFill>
                    <a:blip r:embed="rId129"/>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r>
        <w:br w:type="page"/>
      </w:r>
    </w:p>
    <w:p>
      <w:pPr>
        <w:spacing w:after="80"/>
      </w:pPr>
      <w:r>
        <w:rPr>
          <w:b/>
          <w:i w:val="0"/>
          <w:color w:val="1B335F"/>
          <w:sz w:val="24"/>
        </w:rPr>
        <w:t>3D renders — main board and PCB cover (terminal board), GLD V4</w:t>
      </w:r>
    </w:p>
    <w:p>
      <w:pPr>
        <w:spacing w:after="120"/>
      </w:pPr>
      <w:r>
        <w:rPr>
          <w:b w:val="0"/>
          <w:i w:val="0"/>
          <w:color w:val="262321"/>
          <w:sz w:val="20"/>
        </w:rPr>
        <w:t>The GLD V4 electronics consist of two stacked circular boards: the main board (motherboard) and a separate PCB cover (terminal board) that carries the field-wiring terminals and covers the motherboard. Renders exported from the PCB design; they show the boards as designed, not a dimensioned drawing.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651760" cy="2268130"/>
                  <wp:docPr id="120" name="Picture 120"/>
                  <wp:cNvGraphicFramePr>
                    <a:graphicFrameLocks noChangeAspect="1"/>
                  </wp:cNvGraphicFramePr>
                  <a:graphic>
                    <a:graphicData uri="http://schemas.openxmlformats.org/drawingml/2006/picture">
                      <pic:pic>
                        <pic:nvPicPr>
                          <pic:cNvPr id="0" name="render_mb_top.png"/>
                          <pic:cNvPicPr/>
                        </pic:nvPicPr>
                        <pic:blipFill>
                          <a:blip r:embed="rId130"/>
                          <a:stretch>
                            <a:fillRect/>
                          </a:stretch>
                        </pic:blipFill>
                        <pic:spPr>
                          <a:xfrm>
                            <a:off x="0" y="0"/>
                            <a:ext cx="2651760" cy="2268130"/>
                          </a:xfrm>
                          <a:prstGeom prst="rect"/>
                        </pic:spPr>
                      </pic:pic>
                    </a:graphicData>
                  </a:graphic>
                </wp:inline>
              </w:drawing>
            </w:r>
          </w:p>
          <w:p>
            <w:pPr>
              <w:jc w:val="center"/>
            </w:pPr>
            <w:r>
              <w:rPr>
                <w:color w:val="555B66"/>
                <w:sz w:val="17"/>
              </w:rPr>
              <w:t>Main board — top (component side)</w:t>
            </w:r>
          </w:p>
        </w:tc>
        <w:tc>
          <w:tcPr>
            <w:tcW w:type="dxa" w:w="4873"/>
          </w:tcPr>
          <w:p>
            <w:pPr>
              <w:jc w:val="center"/>
            </w:pPr>
            <w:r>
              <w:drawing>
                <wp:inline xmlns:a="http://schemas.openxmlformats.org/drawingml/2006/main" xmlns:pic="http://schemas.openxmlformats.org/drawingml/2006/picture">
                  <wp:extent cx="2651760" cy="2531567"/>
                  <wp:docPr id="121" name="Picture 121"/>
                  <wp:cNvGraphicFramePr>
                    <a:graphicFrameLocks noChangeAspect="1"/>
                  </wp:cNvGraphicFramePr>
                  <a:graphic>
                    <a:graphicData uri="http://schemas.openxmlformats.org/drawingml/2006/picture">
                      <pic:pic>
                        <pic:nvPicPr>
                          <pic:cNvPr id="0" name="render_mb_bottom.png"/>
                          <pic:cNvPicPr/>
                        </pic:nvPicPr>
                        <pic:blipFill>
                          <a:blip r:embed="rId131"/>
                          <a:stretch>
                            <a:fillRect/>
                          </a:stretch>
                        </pic:blipFill>
                        <pic:spPr>
                          <a:xfrm>
                            <a:off x="0" y="0"/>
                            <a:ext cx="2651760" cy="2531567"/>
                          </a:xfrm>
                          <a:prstGeom prst="rect"/>
                        </pic:spPr>
                      </pic:pic>
                    </a:graphicData>
                  </a:graphic>
                </wp:inline>
              </w:drawing>
            </w:r>
          </w:p>
          <w:p>
            <w:pPr>
              <w:jc w:val="center"/>
            </w:pPr>
            <w:r>
              <w:rPr>
                <w:color w:val="555B66"/>
                <w:sz w:val="17"/>
              </w:rPr>
              <w:t>Main board — bottom</w:t>
            </w:r>
          </w:p>
        </w:tc>
      </w:tr>
      <w:tr>
        <w:tc>
          <w:tcPr>
            <w:tcW w:type="dxa" w:w="4873"/>
          </w:tcPr>
          <w:p>
            <w:pPr>
              <w:jc w:val="center"/>
            </w:pPr>
            <w:r>
              <w:drawing>
                <wp:inline xmlns:a="http://schemas.openxmlformats.org/drawingml/2006/main" xmlns:pic="http://schemas.openxmlformats.org/drawingml/2006/picture">
                  <wp:extent cx="2651760" cy="2309155"/>
                  <wp:docPr id="122" name="Picture 122"/>
                  <wp:cNvGraphicFramePr>
                    <a:graphicFrameLocks noChangeAspect="1"/>
                  </wp:cNvGraphicFramePr>
                  <a:graphic>
                    <a:graphicData uri="http://schemas.openxmlformats.org/drawingml/2006/picture">
                      <pic:pic>
                        <pic:nvPicPr>
                          <pic:cNvPr id="0" name="render_cover_top.png"/>
                          <pic:cNvPicPr/>
                        </pic:nvPicPr>
                        <pic:blipFill>
                          <a:blip r:embed="rId132"/>
                          <a:stretch>
                            <a:fillRect/>
                          </a:stretch>
                        </pic:blipFill>
                        <pic:spPr>
                          <a:xfrm>
                            <a:off x="0" y="0"/>
                            <a:ext cx="2651760" cy="2309155"/>
                          </a:xfrm>
                          <a:prstGeom prst="rect"/>
                        </pic:spPr>
                      </pic:pic>
                    </a:graphicData>
                  </a:graphic>
                </wp:inline>
              </w:drawing>
            </w:r>
          </w:p>
          <w:p>
            <w:pPr>
              <w:jc w:val="center"/>
            </w:pPr>
            <w:r>
              <w:rPr>
                <w:color w:val="555B66"/>
                <w:sz w:val="17"/>
              </w:rPr>
              <w:t>PCB cover (terminal board) — top</w:t>
            </w:r>
          </w:p>
        </w:tc>
        <w:tc>
          <w:tcPr>
            <w:tcW w:type="dxa" w:w="4873"/>
          </w:tcPr>
          <w:p>
            <w:pPr>
              <w:jc w:val="center"/>
            </w:pPr>
            <w:r>
              <w:drawing>
                <wp:inline xmlns:a="http://schemas.openxmlformats.org/drawingml/2006/main" xmlns:pic="http://schemas.openxmlformats.org/drawingml/2006/picture">
                  <wp:extent cx="2651760" cy="2486495"/>
                  <wp:docPr id="123" name="Picture 123"/>
                  <wp:cNvGraphicFramePr>
                    <a:graphicFrameLocks noChangeAspect="1"/>
                  </wp:cNvGraphicFramePr>
                  <a:graphic>
                    <a:graphicData uri="http://schemas.openxmlformats.org/drawingml/2006/picture">
                      <pic:pic>
                        <pic:nvPicPr>
                          <pic:cNvPr id="0" name="render_cover_bottom.png"/>
                          <pic:cNvPicPr/>
                        </pic:nvPicPr>
                        <pic:blipFill>
                          <a:blip r:embed="rId133"/>
                          <a:stretch>
                            <a:fillRect/>
                          </a:stretch>
                        </pic:blipFill>
                        <pic:spPr>
                          <a:xfrm>
                            <a:off x="0" y="0"/>
                            <a:ext cx="2651760" cy="2486495"/>
                          </a:xfrm>
                          <a:prstGeom prst="rect"/>
                        </pic:spPr>
                      </pic:pic>
                    </a:graphicData>
                  </a:graphic>
                </wp:inline>
              </w:drawing>
            </w:r>
          </w:p>
          <w:p>
            <w:pPr>
              <w:jc w:val="center"/>
            </w:pPr>
            <w:r>
              <w:rPr>
                <w:color w:val="555B66"/>
                <w:sz w:val="17"/>
              </w:rPr>
              <w:t>PCB cover (terminal board) — bottom</w:t>
            </w:r>
          </w:p>
        </w:tc>
      </w:tr>
    </w:tbl>
    <w:p>
      <w:pPr>
        <w:spacing w:after="60"/>
        <w:jc w:val="center"/>
      </w:pPr>
      <w:r>
        <w:rPr>
          <w:b/>
          <w:i w:val="0"/>
          <w:color w:val="1B335F"/>
          <w:sz w:val="18"/>
        </w:rPr>
        <w:t>Figure 8-11. GLD V4 — main board and PCB cover (terminal board), top and bottom renders</w:t>
      </w:r>
    </w:p>
    <w:tbl>
      <w:tblPr>
        <w:tblStyle w:val="TableGrid"/>
        <w:tblW w:type="auto" w:w="0"/>
        <w:jc w:val="center"/>
        <w:tblLayout w:type="fixed"/>
        <w:tblLook w:firstColumn="1" w:firstRow="1" w:lastColumn="0" w:lastRow="0" w:noHBand="0" w:noVBand="1" w:val="04A0"/>
        <w:tblLayout w:type="fixed"/>
      </w:tblPr>
      <w:tblGrid>
        <w:gridCol w:w="2880"/>
        <w:gridCol w:w="6623"/>
      </w:tblGrid>
      <w:tr>
        <w:trPr>
          <w:tblHeader w:val="true"/>
        </w:trPr>
        <w:tc>
          <w:tcPr>
            <w:tcW w:type="dxa" w:w="2880"/>
            <w:shd w:val="clear" w:fill="EAEFF9"/>
          </w:tcPr>
          <w:p>
            <w:pPr>
              <w:spacing w:after="20"/>
            </w:pPr>
            <w:r>
              <w:rPr>
                <w:b/>
                <w:color w:val="1B335F"/>
                <w:sz w:val="17"/>
              </w:rPr>
              <w:t>Item</w:t>
            </w:r>
          </w:p>
        </w:tc>
        <w:tc>
          <w:tcPr>
            <w:tcW w:type="dxa" w:w="6624"/>
            <w:shd w:val="clear" w:fill="EAEFF9"/>
          </w:tcPr>
          <w:p>
            <w:pPr>
              <w:spacing w:after="20"/>
            </w:pPr>
            <w:r>
              <w:rPr>
                <w:b/>
                <w:color w:val="1B335F"/>
                <w:sz w:val="17"/>
              </w:rPr>
              <w:t>Description</w:t>
            </w:r>
          </w:p>
        </w:tc>
      </w:tr>
      <w:tr>
        <w:trPr>
          <w:cantSplit/>
        </w:trPr>
        <w:tc>
          <w:tcPr>
            <w:tcW w:type="dxa" w:w="2880"/>
          </w:tcPr>
          <w:p>
            <w:pPr>
              <w:spacing w:after="20" w:before="20"/>
            </w:pPr>
            <w:r>
              <w:rPr>
                <w:b/>
                <w:sz w:val="17"/>
              </w:rPr>
              <w:t>Terminal designations (PCB cover, top)</w:t>
            </w:r>
          </w:p>
        </w:tc>
        <w:tc>
          <w:tcPr>
            <w:tcW w:type="dxa" w:w="6624"/>
          </w:tcPr>
          <w:p>
            <w:pPr>
              <w:spacing w:after="20" w:before="20"/>
            </w:pPr>
            <w:r>
              <w:rPr>
                <w:sz w:val="17"/>
              </w:rPr>
              <w:t>RS485 A, B · FAN 5V, 0V · ALARM −, + · BAT −, + · 24V +, −</w:t>
            </w:r>
          </w:p>
        </w:tc>
      </w:tr>
      <w:tr>
        <w:trPr>
          <w:cantSplit/>
        </w:trPr>
        <w:tc>
          <w:tcPr>
            <w:tcW w:type="dxa" w:w="2880"/>
          </w:tcPr>
          <w:p>
            <w:pPr>
              <w:spacing w:after="20" w:before="20"/>
            </w:pPr>
            <w:r>
              <w:rPr>
                <w:b/>
                <w:sz w:val="17"/>
              </w:rPr>
              <w:t>Board-to-board interconnection</w:t>
            </w:r>
          </w:p>
        </w:tc>
        <w:tc>
          <w:tcPr>
            <w:tcW w:type="dxa" w:w="6624"/>
          </w:tcPr>
          <w:p>
            <w:pPr>
              <w:spacing w:after="20" w:before="20"/>
            </w:pPr>
            <w:r>
              <w:rPr>
                <w:sz w:val="17"/>
              </w:rPr>
              <w:t>Header connectors at the board edge (four positions) and pin rows on the underside of the PCB cover</w:t>
            </w:r>
          </w:p>
        </w:tc>
      </w:tr>
      <w:tr>
        <w:trPr>
          <w:cantSplit/>
        </w:trPr>
        <w:tc>
          <w:tcPr>
            <w:tcW w:type="dxa" w:w="2880"/>
          </w:tcPr>
          <w:p>
            <w:pPr>
              <w:spacing w:after="20" w:before="20"/>
            </w:pPr>
            <w:r>
              <w:rPr>
                <w:b/>
                <w:sz w:val="17"/>
              </w:rPr>
              <w:t>Change from V3 — mounting</w:t>
            </w:r>
          </w:p>
        </w:tc>
        <w:tc>
          <w:tcPr>
            <w:tcW w:type="dxa" w:w="6624"/>
          </w:tcPr>
          <w:p>
            <w:pPr>
              <w:spacing w:after="20" w:before="20"/>
            </w:pPr>
            <w:r>
              <w:rPr>
                <w:sz w:val="17"/>
              </w:rPr>
              <w:t>Bolt holes added for mounting the motherboard to the PCB cover</w:t>
            </w:r>
          </w:p>
        </w:tc>
      </w:tr>
      <w:tr>
        <w:trPr>
          <w:cantSplit/>
        </w:trPr>
        <w:tc>
          <w:tcPr>
            <w:tcW w:type="dxa" w:w="2880"/>
          </w:tcPr>
          <w:p>
            <w:pPr>
              <w:spacing w:after="20" w:before="20"/>
            </w:pPr>
            <w:r>
              <w:rPr>
                <w:b/>
                <w:sz w:val="17"/>
              </w:rPr>
              <w:t>Change from V3 — PCB cover</w:t>
            </w:r>
          </w:p>
        </w:tc>
        <w:tc>
          <w:tcPr>
            <w:tcW w:type="dxa" w:w="6624"/>
          </w:tcPr>
          <w:p>
            <w:pPr>
              <w:spacing w:after="20" w:before="20"/>
            </w:pPr>
            <w:r>
              <w:rPr>
                <w:sz w:val="17"/>
              </w:rPr>
              <w:t>A separate PCB cover added to terminate the field connections and to cover the motherboard</w:t>
            </w:r>
          </w:p>
        </w:tc>
      </w:tr>
      <w:tr>
        <w:trPr>
          <w:cantSplit/>
        </w:trPr>
        <w:tc>
          <w:tcPr>
            <w:tcW w:type="dxa" w:w="2880"/>
          </w:tcPr>
          <w:p>
            <w:pPr>
              <w:spacing w:after="20" w:before="20"/>
            </w:pPr>
            <w:r>
              <w:rPr>
                <w:b/>
                <w:sz w:val="17"/>
              </w:rPr>
              <w:t>Note</w:t>
            </w:r>
          </w:p>
        </w:tc>
        <w:tc>
          <w:tcPr>
            <w:tcW w:type="dxa" w:w="6624"/>
          </w:tcPr>
          <w:p>
            <w:pPr>
              <w:spacing w:after="20" w:before="20"/>
            </w:pPr>
            <w:r>
              <w:rPr>
                <w:sz w:val="17"/>
              </w:rPr>
              <w:t>The BAT −/+ terminal is present on the PCB cover; its status in the certified configuration (24 VDC only) is to be decided together with the battery path on the main board.</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 (e) dimensioned/layout drawings of the PCB cover (terminal board).</w:t>
            </w:r>
          </w:p>
        </w:tc>
      </w:tr>
    </w:tbl>
    <w:p>
      <w:pPr>
        <w:spacing w:after="40"/>
      </w:pPr>
    </w:p>
    <w:p>
      <w:r>
        <w:br w:type="page"/>
      </w:r>
    </w:p>
    <w:p>
      <w:pPr>
        <w:pStyle w:val="Heading3"/>
      </w:pPr>
      <w:r>
        <w:t>2.6.b · Bill of Materials (BOM) for Explosion-Safety-Relevant Components</w:t>
      </w:r>
    </w:p>
    <w:p>
      <w:pPr>
        <w:spacing w:after="160"/>
      </w:pPr>
      <w:r>
        <w:rPr>
          <w:b w:val="0"/>
          <w:i w:val="0"/>
          <w:sz w:val="21"/>
        </w:rP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pPr>
        <w:spacing w:after="160"/>
      </w:pPr>
      <w:r>
        <w:rPr>
          <w:b w:val="0"/>
          <w:i w:val="0"/>
          <w:sz w:val="21"/>
        </w:rP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C1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CL21B105KBFNNNE</w:t>
            </w:r>
          </w:p>
        </w:tc>
        <w:tc>
          <w:tcPr>
            <w:tcW w:type="dxa" w:w="1224"/>
          </w:tcPr>
          <w:p>
            <w:pPr>
              <w:spacing w:after="40"/>
            </w:pPr>
            <w:r>
              <w:rPr>
                <w:sz w:val="15"/>
              </w:rPr>
              <w:t>C28323</w:t>
            </w:r>
          </w:p>
        </w:tc>
      </w:tr>
      <w:tr>
        <w:trPr>
          <w:cantSplit/>
        </w:trPr>
        <w:tc>
          <w:tcPr>
            <w:tcW w:type="dxa" w:w="1440"/>
          </w:tcPr>
          <w:p>
            <w:pPr>
              <w:spacing w:after="40"/>
            </w:pPr>
            <w:r>
              <w:rPr>
                <w:b/>
                <w:sz w:val="15"/>
              </w:rPr>
              <w:t>C2,C3</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CC0805KRX7R9BB104</w:t>
            </w:r>
          </w:p>
        </w:tc>
        <w:tc>
          <w:tcPr>
            <w:tcW w:type="dxa" w:w="1224"/>
          </w:tcPr>
          <w:p>
            <w:pPr>
              <w:spacing w:after="40"/>
            </w:pPr>
            <w:r>
              <w:rPr>
                <w:sz w:val="15"/>
              </w:rPr>
              <w:t>C49678</w:t>
            </w:r>
          </w:p>
        </w:tc>
      </w:tr>
      <w:tr>
        <w:trPr>
          <w:cantSplit/>
        </w:trPr>
        <w:tc>
          <w:tcPr>
            <w:tcW w:type="dxa" w:w="1440"/>
          </w:tcPr>
          <w:p>
            <w:pPr>
              <w:spacing w:after="40"/>
            </w:pPr>
            <w:r>
              <w:rPr>
                <w:b/>
                <w:sz w:val="15"/>
              </w:rPr>
              <w:t>C4,C59,C60,C10</w:t>
            </w:r>
          </w:p>
        </w:tc>
        <w:tc>
          <w:tcPr>
            <w:tcW w:type="dxa" w:w="1944"/>
          </w:tcPr>
          <w:p>
            <w:pPr>
              <w:spacing w:after="40"/>
            </w:pPr>
            <w:r>
              <w:rPr>
                <w:sz w:val="15"/>
              </w:rPr>
              <w:t>10uF</w:t>
            </w:r>
          </w:p>
        </w:tc>
        <w:tc>
          <w:tcPr>
            <w:tcW w:type="dxa" w:w="576"/>
          </w:tcPr>
          <w:p>
            <w:pPr>
              <w:spacing w:after="40"/>
            </w:pPr>
            <w:r>
              <w:rPr>
                <w:sz w:val="15"/>
              </w:rPr>
              <w:t>4</w:t>
            </w:r>
          </w:p>
        </w:tc>
        <w:tc>
          <w:tcPr>
            <w:tcW w:type="dxa" w:w="1656"/>
          </w:tcPr>
          <w:p>
            <w:pPr>
              <w:spacing w:after="40"/>
            </w:pPr>
            <w:r>
              <w:rPr>
                <w:sz w:val="15"/>
              </w:rPr>
              <w:t>muRata</w:t>
            </w:r>
          </w:p>
        </w:tc>
        <w:tc>
          <w:tcPr>
            <w:tcW w:type="dxa" w:w="2376"/>
          </w:tcPr>
          <w:p>
            <w:pPr>
              <w:spacing w:after="40"/>
            </w:pPr>
            <w:r>
              <w:rPr>
                <w:sz w:val="15"/>
              </w:rPr>
              <w:t>GRM21BR61H106KE43L</w:t>
            </w:r>
          </w:p>
        </w:tc>
        <w:tc>
          <w:tcPr>
            <w:tcW w:type="dxa" w:w="1224"/>
          </w:tcPr>
          <w:p>
            <w:pPr>
              <w:spacing w:after="40"/>
            </w:pPr>
            <w:r>
              <w:rPr>
                <w:sz w:val="15"/>
              </w:rPr>
              <w:t>C440198</w:t>
            </w:r>
          </w:p>
        </w:tc>
      </w:tr>
      <w:tr>
        <w:trPr>
          <w:cantSplit/>
        </w:trPr>
        <w:tc>
          <w:tcPr>
            <w:tcW w:type="dxa" w:w="1440"/>
          </w:tcPr>
          <w:p>
            <w:pPr>
              <w:spacing w:after="40"/>
            </w:pPr>
            <w:r>
              <w:rPr>
                <w:b/>
                <w:sz w:val="15"/>
              </w:rPr>
              <w:t>C72,C73</w:t>
            </w:r>
          </w:p>
        </w:tc>
        <w:tc>
          <w:tcPr>
            <w:tcW w:type="dxa" w:w="1944"/>
          </w:tcPr>
          <w:p>
            <w:pPr>
              <w:spacing w:after="40"/>
            </w:pPr>
            <w:r>
              <w:rPr>
                <w:sz w:val="15"/>
              </w:rPr>
              <w:t>33uF</w:t>
            </w:r>
          </w:p>
        </w:tc>
        <w:tc>
          <w:tcPr>
            <w:tcW w:type="dxa" w:w="576"/>
          </w:tcPr>
          <w:p>
            <w:pPr>
              <w:spacing w:after="40"/>
            </w:pPr>
            <w:r>
              <w:rPr>
                <w:sz w:val="15"/>
              </w:rPr>
              <w:t>2</w:t>
            </w:r>
          </w:p>
        </w:tc>
        <w:tc>
          <w:tcPr>
            <w:tcW w:type="dxa" w:w="1656"/>
          </w:tcPr>
          <w:p>
            <w:pPr>
              <w:spacing w:after="40"/>
            </w:pPr>
            <w:r>
              <w:rPr>
                <w:sz w:val="15"/>
              </w:rPr>
              <w:t>TDK</w:t>
            </w:r>
          </w:p>
        </w:tc>
        <w:tc>
          <w:tcPr>
            <w:tcW w:type="dxa" w:w="2376"/>
          </w:tcPr>
          <w:p>
            <w:pPr>
              <w:spacing w:after="40"/>
            </w:pPr>
            <w:r>
              <w:rPr>
                <w:sz w:val="15"/>
              </w:rPr>
              <w:t>C2012X5R1A336MTJ00E</w:t>
            </w:r>
          </w:p>
        </w:tc>
        <w:tc>
          <w:tcPr>
            <w:tcW w:type="dxa" w:w="1224"/>
          </w:tcPr>
          <w:p>
            <w:pPr>
              <w:spacing w:after="40"/>
            </w:pPr>
            <w:r>
              <w:rPr>
                <w:sz w:val="15"/>
              </w:rPr>
              <w:t>C342635</w:t>
            </w:r>
          </w:p>
        </w:tc>
      </w:tr>
      <w:tr>
        <w:trPr>
          <w:cantSplit/>
        </w:trPr>
        <w:tc>
          <w:tcPr>
            <w:tcW w:type="dxa" w:w="1440"/>
          </w:tcPr>
          <w:p>
            <w:pPr>
              <w:spacing w:after="40"/>
            </w:pPr>
            <w:r>
              <w:rPr>
                <w:b/>
                <w:sz w:val="15"/>
              </w:rPr>
              <w:t>C7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CL10B473KB8NNNC</w:t>
            </w:r>
          </w:p>
        </w:tc>
        <w:tc>
          <w:tcPr>
            <w:tcW w:type="dxa" w:w="1224"/>
          </w:tcPr>
          <w:p>
            <w:pPr>
              <w:spacing w:after="40"/>
            </w:pPr>
            <w:r>
              <w:rPr>
                <w:sz w:val="15"/>
              </w:rPr>
              <w:t>C1622</w:t>
            </w:r>
          </w:p>
        </w:tc>
      </w:tr>
      <w:tr>
        <w:trPr>
          <w:cantSplit/>
        </w:trPr>
        <w:tc>
          <w:tcPr>
            <w:tcW w:type="dxa" w:w="1440"/>
          </w:tcPr>
          <w:p>
            <w:pPr>
              <w:spacing w:after="40"/>
            </w:pPr>
            <w:r>
              <w:rPr>
                <w:b/>
                <w:sz w:val="15"/>
              </w:rPr>
              <w:t>C8</w:t>
            </w:r>
          </w:p>
        </w:tc>
        <w:tc>
          <w:tcPr>
            <w:tcW w:type="dxa" w:w="1944"/>
          </w:tcPr>
          <w:p>
            <w:pPr>
              <w:spacing w:after="40"/>
            </w:pPr>
            <w:r>
              <w:rPr>
                <w:sz w:val="15"/>
              </w:rPr>
              <w:t>22nF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CL10B223KB8NNNC</w:t>
            </w:r>
          </w:p>
        </w:tc>
        <w:tc>
          <w:tcPr>
            <w:tcW w:type="dxa" w:w="1224"/>
          </w:tcPr>
          <w:p>
            <w:pPr>
              <w:spacing w:after="40"/>
            </w:pPr>
            <w:r>
              <w:rPr>
                <w:sz w:val="15"/>
              </w:rPr>
              <w:t>C21122</w:t>
            </w:r>
          </w:p>
        </w:tc>
      </w:tr>
      <w:tr>
        <w:trPr>
          <w:cantSplit/>
        </w:trPr>
        <w:tc>
          <w:tcPr>
            <w:tcW w:type="dxa" w:w="1440"/>
          </w:tcPr>
          <w:p>
            <w:pPr>
              <w:spacing w:after="40"/>
            </w:pPr>
            <w:r>
              <w:rPr>
                <w:b/>
                <w:sz w:val="15"/>
              </w:rPr>
              <w:t>C70</w:t>
            </w:r>
          </w:p>
        </w:tc>
        <w:tc>
          <w:tcPr>
            <w:tcW w:type="dxa" w:w="1944"/>
          </w:tcPr>
          <w:p>
            <w:pPr>
              <w:spacing w:after="40"/>
            </w:pPr>
            <w:r>
              <w:rPr>
                <w:sz w:val="15"/>
              </w:rPr>
              <w:t>33pF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CL10C330JB8NNNC</w:t>
            </w:r>
          </w:p>
        </w:tc>
        <w:tc>
          <w:tcPr>
            <w:tcW w:type="dxa" w:w="1224"/>
          </w:tcPr>
          <w:p>
            <w:pPr>
              <w:spacing w:after="40"/>
            </w:pPr>
            <w:r>
              <w:rPr>
                <w:sz w:val="15"/>
              </w:rPr>
              <w:t>C1663</w:t>
            </w:r>
          </w:p>
        </w:tc>
      </w:tr>
      <w:tr>
        <w:trPr>
          <w:cantSplit/>
        </w:trPr>
        <w:tc>
          <w:tcPr>
            <w:tcW w:type="dxa" w:w="1440"/>
          </w:tcPr>
          <w:p>
            <w:pPr>
              <w:spacing w:after="40"/>
            </w:pPr>
            <w:r>
              <w:rPr>
                <w:b/>
                <w:sz w:val="15"/>
              </w:rPr>
              <w:t>C61,C69</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CC0603KRX7R9BB104</w:t>
            </w:r>
          </w:p>
        </w:tc>
        <w:tc>
          <w:tcPr>
            <w:tcW w:type="dxa" w:w="1224"/>
          </w:tcPr>
          <w:p>
            <w:pPr>
              <w:spacing w:after="40"/>
            </w:pPr>
            <w:r>
              <w:rPr>
                <w:sz w:val="15"/>
              </w:rPr>
              <w:t>C14663</w:t>
            </w:r>
          </w:p>
        </w:tc>
      </w:tr>
      <w:tr>
        <w:trPr>
          <w:cantSplit/>
        </w:trPr>
        <w:tc>
          <w:tcPr>
            <w:tcW w:type="dxa" w:w="1440"/>
          </w:tcPr>
          <w:p>
            <w:pPr>
              <w:spacing w:after="40"/>
            </w:pPr>
            <w:r>
              <w:rPr>
                <w:b/>
                <w:sz w:val="15"/>
              </w:rPr>
              <w:t>C87,C12,C13,C14,C41,C42,C43,C44,C46,C47,C48,C49,C50,C51,C52,C54,C55,C58,C65,C66,C15,C6,C19,C20,C21,C22,C23,C24,C25,C26,C27,C28,C29,C30,C31,C84,C78,C81</w:t>
            </w:r>
          </w:p>
        </w:tc>
        <w:tc>
          <w:tcPr>
            <w:tcW w:type="dxa" w:w="1944"/>
          </w:tcPr>
          <w:p>
            <w:pPr>
              <w:spacing w:after="40"/>
            </w:pPr>
            <w:r>
              <w:rPr>
                <w:sz w:val="15"/>
              </w:rPr>
              <w:t>100nF</w:t>
            </w:r>
          </w:p>
        </w:tc>
        <w:tc>
          <w:tcPr>
            <w:tcW w:type="dxa" w:w="576"/>
          </w:tcPr>
          <w:p>
            <w:pPr>
              <w:spacing w:after="40"/>
            </w:pPr>
            <w:r>
              <w:rPr>
                <w:sz w:val="15"/>
              </w:rPr>
              <w:t>38</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CN3,CN1</w:t>
            </w:r>
          </w:p>
        </w:tc>
        <w:tc>
          <w:tcPr>
            <w:tcW w:type="dxa" w:w="1944"/>
          </w:tcPr>
          <w:p>
            <w:pPr>
              <w:spacing w:after="40"/>
            </w:pPr>
            <w:r>
              <w:rPr>
                <w:sz w:val="15"/>
              </w:rPr>
              <w:t>XH-2A-black</w:t>
            </w:r>
          </w:p>
        </w:tc>
        <w:tc>
          <w:tcPr>
            <w:tcW w:type="dxa" w:w="576"/>
          </w:tcPr>
          <w:p>
            <w:pPr>
              <w:spacing w:after="40"/>
            </w:pPr>
            <w:r>
              <w:rPr>
                <w:sz w:val="15"/>
              </w:rPr>
              <w:t>2</w:t>
            </w:r>
          </w:p>
        </w:tc>
        <w:tc>
          <w:tcPr>
            <w:tcW w:type="dxa" w:w="1656"/>
          </w:tcPr>
          <w:p>
            <w:pPr>
              <w:spacing w:after="40"/>
            </w:pPr>
            <w:r>
              <w:rPr>
                <w:sz w:val="15"/>
              </w:rPr>
              <w:t>BOOMELE</w:t>
            </w:r>
          </w:p>
        </w:tc>
        <w:tc>
          <w:tcPr>
            <w:tcW w:type="dxa" w:w="2376"/>
          </w:tcPr>
          <w:p>
            <w:pPr>
              <w:spacing w:after="40"/>
            </w:pPr>
            <w:r>
              <w:rPr>
                <w:sz w:val="15"/>
              </w:rPr>
              <w:t>XH-2A黑色</w:t>
            </w:r>
          </w:p>
        </w:tc>
        <w:tc>
          <w:tcPr>
            <w:tcW w:type="dxa" w:w="1224"/>
          </w:tcPr>
          <w:p>
            <w:pPr>
              <w:spacing w:after="40"/>
            </w:pPr>
            <w:r>
              <w:rPr>
                <w:sz w:val="15"/>
              </w:rPr>
              <w:t>C24193</w:t>
            </w:r>
          </w:p>
        </w:tc>
      </w:tr>
      <w:tr>
        <w:trPr>
          <w:cantSplit/>
        </w:trPr>
        <w:tc>
          <w:tcPr>
            <w:tcW w:type="dxa" w:w="1440"/>
          </w:tcPr>
          <w:p>
            <w:pPr>
              <w:spacing w:after="40"/>
            </w:pPr>
            <w:r>
              <w:rPr>
                <w:b/>
                <w:sz w:val="15"/>
              </w:rPr>
              <w:t>D1</w:t>
            </w:r>
          </w:p>
        </w:tc>
        <w:tc>
          <w:tcPr>
            <w:tcW w:type="dxa" w:w="1944"/>
          </w:tcPr>
          <w:p>
            <w:pPr>
              <w:spacing w:after="40"/>
            </w:pPr>
            <w:r>
              <w:rPr>
                <w:sz w:val="15"/>
              </w:rPr>
              <w:t>SMBJ33A</w:t>
            </w:r>
          </w:p>
        </w:tc>
        <w:tc>
          <w:tcPr>
            <w:tcW w:type="dxa" w:w="576"/>
          </w:tcPr>
          <w:p>
            <w:pPr>
              <w:spacing w:after="40"/>
            </w:pPr>
            <w:r>
              <w:rPr>
                <w:sz w:val="15"/>
              </w:rPr>
              <w:t>1</w:t>
            </w:r>
          </w:p>
        </w:tc>
        <w:tc>
          <w:tcPr>
            <w:tcW w:type="dxa" w:w="1656"/>
          </w:tcPr>
          <w:p>
            <w:pPr>
              <w:spacing w:after="40"/>
            </w:pPr>
            <w:r>
              <w:rPr>
                <w:sz w:val="15"/>
              </w:rPr>
              <w:t>RUILON</w:t>
            </w:r>
          </w:p>
        </w:tc>
        <w:tc>
          <w:tcPr>
            <w:tcW w:type="dxa" w:w="2376"/>
          </w:tcPr>
          <w:p>
            <w:pPr>
              <w:spacing w:after="40"/>
            </w:pPr>
            <w:r>
              <w:rPr>
                <w:sz w:val="15"/>
              </w:rPr>
              <w:t>SMBJ33A</w:t>
            </w:r>
          </w:p>
        </w:tc>
        <w:tc>
          <w:tcPr>
            <w:tcW w:type="dxa" w:w="1224"/>
          </w:tcPr>
          <w:p>
            <w:pPr>
              <w:spacing w:after="40"/>
            </w:pPr>
            <w:r>
              <w:rPr>
                <w:sz w:val="15"/>
              </w:rPr>
              <w:t>C10219</w:t>
            </w:r>
          </w:p>
        </w:tc>
      </w:tr>
      <w:tr>
        <w:trPr>
          <w:cantSplit/>
        </w:trPr>
        <w:tc>
          <w:tcPr>
            <w:tcW w:type="dxa" w:w="1440"/>
          </w:tcPr>
          <w:p>
            <w:pPr>
              <w:spacing w:after="40"/>
            </w:pPr>
            <w:r>
              <w:rPr>
                <w:b/>
                <w:sz w:val="15"/>
              </w:rPr>
              <w:t>D2</w:t>
            </w:r>
          </w:p>
        </w:tc>
        <w:tc>
          <w:tcPr>
            <w:tcW w:type="dxa" w:w="1944"/>
          </w:tcPr>
          <w:p>
            <w:pPr>
              <w:spacing w:after="40"/>
            </w:pPr>
            <w:r>
              <w:rPr>
                <w:sz w:val="15"/>
              </w:rPr>
              <w:t>LBZT52C12T1G</w:t>
            </w:r>
          </w:p>
        </w:tc>
        <w:tc>
          <w:tcPr>
            <w:tcW w:type="dxa" w:w="576"/>
          </w:tcPr>
          <w:p>
            <w:pPr>
              <w:spacing w:after="40"/>
            </w:pPr>
            <w:r>
              <w:rPr>
                <w:sz w:val="15"/>
              </w:rPr>
              <w:t>1</w:t>
            </w:r>
          </w:p>
        </w:tc>
        <w:tc>
          <w:tcPr>
            <w:tcW w:type="dxa" w:w="1656"/>
          </w:tcPr>
          <w:p>
            <w:pPr>
              <w:spacing w:after="40"/>
            </w:pPr>
            <w:r>
              <w:rPr>
                <w:sz w:val="15"/>
              </w:rPr>
              <w:t>LRC</w:t>
            </w:r>
          </w:p>
        </w:tc>
        <w:tc>
          <w:tcPr>
            <w:tcW w:type="dxa" w:w="2376"/>
          </w:tcPr>
          <w:p>
            <w:pPr>
              <w:spacing w:after="40"/>
            </w:pPr>
            <w:r>
              <w:rPr>
                <w:sz w:val="15"/>
              </w:rPr>
              <w:t>LBZT52C12T1G</w:t>
            </w:r>
          </w:p>
        </w:tc>
        <w:tc>
          <w:tcPr>
            <w:tcW w:type="dxa" w:w="1224"/>
          </w:tcPr>
          <w:p>
            <w:pPr>
              <w:spacing w:after="40"/>
            </w:pPr>
            <w:r>
              <w:rPr>
                <w:sz w:val="15"/>
              </w:rPr>
              <w:t>C12747</w:t>
            </w:r>
          </w:p>
        </w:tc>
      </w:tr>
      <w:tr>
        <w:trPr>
          <w:cantSplit/>
        </w:trPr>
        <w:tc>
          <w:tcPr>
            <w:tcW w:type="dxa" w:w="1440"/>
          </w:tcPr>
          <w:p>
            <w:pPr>
              <w:spacing w:after="40"/>
            </w:pPr>
            <w:r>
              <w:rPr>
                <w:b/>
                <w:sz w:val="15"/>
              </w:rPr>
              <w:t>D3,D10</w:t>
            </w:r>
          </w:p>
        </w:tc>
        <w:tc>
          <w:tcPr>
            <w:tcW w:type="dxa" w:w="1944"/>
          </w:tcPr>
          <w:p>
            <w:pPr>
              <w:spacing w:after="40"/>
            </w:pPr>
            <w:r>
              <w:rPr>
                <w:sz w:val="15"/>
              </w:rPr>
              <w:t>BAT54C</w:t>
            </w:r>
          </w:p>
        </w:tc>
        <w:tc>
          <w:tcPr>
            <w:tcW w:type="dxa" w:w="576"/>
          </w:tcPr>
          <w:p>
            <w:pPr>
              <w:spacing w:after="40"/>
            </w:pPr>
            <w:r>
              <w:rPr>
                <w:sz w:val="15"/>
              </w:rPr>
              <w:t>2</w:t>
            </w:r>
          </w:p>
        </w:tc>
        <w:tc>
          <w:tcPr>
            <w:tcW w:type="dxa" w:w="1656"/>
          </w:tcPr>
          <w:p>
            <w:pPr>
              <w:spacing w:after="40"/>
            </w:pPr>
            <w:r>
              <w:rPr>
                <w:sz w:val="15"/>
              </w:rPr>
              <w:t>CJ</w:t>
            </w:r>
          </w:p>
        </w:tc>
        <w:tc>
          <w:tcPr>
            <w:tcW w:type="dxa" w:w="2376"/>
          </w:tcPr>
          <w:p>
            <w:pPr>
              <w:spacing w:after="40"/>
            </w:pPr>
            <w:r>
              <w:rPr>
                <w:sz w:val="15"/>
              </w:rPr>
              <w:t>BAT54C</w:t>
            </w:r>
          </w:p>
        </w:tc>
        <w:tc>
          <w:tcPr>
            <w:tcW w:type="dxa" w:w="1224"/>
          </w:tcPr>
          <w:p>
            <w:pPr>
              <w:spacing w:after="40"/>
            </w:pPr>
            <w:r>
              <w:rPr>
                <w:sz w:val="15"/>
              </w:rPr>
              <w:t>C2135</w:t>
            </w:r>
          </w:p>
        </w:tc>
      </w:tr>
      <w:tr>
        <w:trPr>
          <w:cantSplit/>
        </w:trPr>
        <w:tc>
          <w:tcPr>
            <w:tcW w:type="dxa" w:w="1440"/>
          </w:tcPr>
          <w:p>
            <w:pPr>
              <w:spacing w:after="40"/>
            </w:pPr>
            <w:r>
              <w:rPr>
                <w:b/>
                <w:sz w:val="15"/>
              </w:rPr>
              <w:t>D4,D5,D11</w:t>
            </w:r>
          </w:p>
        </w:tc>
        <w:tc>
          <w:tcPr>
            <w:tcW w:type="dxa" w:w="1944"/>
          </w:tcPr>
          <w:p>
            <w:pPr>
              <w:spacing w:after="40"/>
            </w:pPr>
            <w:r>
              <w:rPr>
                <w:sz w:val="15"/>
              </w:rPr>
              <w:t>LESD5D5.0CT1G_C5199850</w:t>
            </w:r>
          </w:p>
        </w:tc>
        <w:tc>
          <w:tcPr>
            <w:tcW w:type="dxa" w:w="576"/>
          </w:tcPr>
          <w:p>
            <w:pPr>
              <w:spacing w:after="40"/>
            </w:pPr>
            <w:r>
              <w:rPr>
                <w:sz w:val="15"/>
              </w:rPr>
              <w:t>3</w:t>
            </w:r>
          </w:p>
        </w:tc>
        <w:tc>
          <w:tcPr>
            <w:tcW w:type="dxa" w:w="1656"/>
          </w:tcPr>
          <w:p>
            <w:pPr>
              <w:spacing w:after="40"/>
            </w:pPr>
            <w:r>
              <w:rPr>
                <w:sz w:val="15"/>
              </w:rPr>
              <w:t>UMW</w:t>
            </w:r>
          </w:p>
        </w:tc>
        <w:tc>
          <w:tcPr>
            <w:tcW w:type="dxa" w:w="2376"/>
          </w:tcPr>
          <w:p>
            <w:pPr>
              <w:spacing w:after="40"/>
            </w:pPr>
            <w:r>
              <w:rPr>
                <w:sz w:val="15"/>
              </w:rPr>
              <w:t>LESD5D5.0CT1G</w:t>
            </w:r>
          </w:p>
        </w:tc>
        <w:tc>
          <w:tcPr>
            <w:tcW w:type="dxa" w:w="1224"/>
          </w:tcPr>
          <w:p>
            <w:pPr>
              <w:spacing w:after="40"/>
            </w:pPr>
            <w:r>
              <w:rPr>
                <w:sz w:val="15"/>
              </w:rPr>
              <w:t>C5199850</w:t>
            </w:r>
          </w:p>
        </w:tc>
      </w:tr>
      <w:tr>
        <w:trPr>
          <w:cantSplit/>
        </w:trPr>
        <w:tc>
          <w:tcPr>
            <w:tcW w:type="dxa" w:w="1440"/>
          </w:tcPr>
          <w:p>
            <w:pPr>
              <w:spacing w:after="40"/>
            </w:pPr>
            <w:r>
              <w:rPr>
                <w:b/>
                <w:sz w:val="15"/>
              </w:rPr>
              <w:t>D6</w:t>
            </w:r>
          </w:p>
        </w:tc>
        <w:tc>
          <w:tcPr>
            <w:tcW w:type="dxa" w:w="1944"/>
          </w:tcPr>
          <w:p>
            <w:pPr>
              <w:spacing w:after="40"/>
            </w:pPr>
            <w:r>
              <w:rPr>
                <w:sz w:val="15"/>
              </w:rPr>
              <w:t>SM712</w:t>
            </w:r>
          </w:p>
        </w:tc>
        <w:tc>
          <w:tcPr>
            <w:tcW w:type="dxa" w:w="576"/>
          </w:tcPr>
          <w:p>
            <w:pPr>
              <w:spacing w:after="40"/>
            </w:pPr>
            <w:r>
              <w:rPr>
                <w:sz w:val="15"/>
              </w:rPr>
              <w:t>1</w:t>
            </w:r>
          </w:p>
        </w:tc>
        <w:tc>
          <w:tcPr>
            <w:tcW w:type="dxa" w:w="1656"/>
          </w:tcPr>
          <w:p>
            <w:pPr>
              <w:spacing w:after="40"/>
            </w:pPr>
            <w:r>
              <w:rPr>
                <w:sz w:val="15"/>
              </w:rPr>
              <w:t>DOWO</w:t>
            </w:r>
          </w:p>
        </w:tc>
        <w:tc>
          <w:tcPr>
            <w:tcW w:type="dxa" w:w="2376"/>
          </w:tcPr>
          <w:p>
            <w:pPr>
              <w:spacing w:after="40"/>
            </w:pPr>
            <w:r>
              <w:rPr>
                <w:sz w:val="15"/>
              </w:rPr>
              <w:t>SM712</w:t>
            </w:r>
          </w:p>
        </w:tc>
        <w:tc>
          <w:tcPr>
            <w:tcW w:type="dxa" w:w="1224"/>
          </w:tcPr>
          <w:p>
            <w:pPr>
              <w:spacing w:after="40"/>
            </w:pPr>
            <w:r>
              <w:rPr>
                <w:sz w:val="15"/>
              </w:rPr>
              <w:t>C293966</w:t>
            </w:r>
          </w:p>
        </w:tc>
      </w:tr>
      <w:tr>
        <w:trPr>
          <w:cantSplit/>
        </w:trPr>
        <w:tc>
          <w:tcPr>
            <w:tcW w:type="dxa" w:w="1440"/>
          </w:tcPr>
          <w:p>
            <w:pPr>
              <w:spacing w:after="40"/>
            </w:pPr>
            <w:r>
              <w:rPr>
                <w:b/>
                <w:sz w:val="15"/>
              </w:rPr>
              <w:t>D7,D13</w:t>
            </w:r>
          </w:p>
        </w:tc>
        <w:tc>
          <w:tcPr>
            <w:tcW w:type="dxa" w:w="1944"/>
          </w:tcPr>
          <w:p>
            <w:pPr>
              <w:spacing w:after="40"/>
            </w:pPr>
            <w:r>
              <w:rPr>
                <w:sz w:val="15"/>
              </w:rPr>
              <w:t>SS54_C22452</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SS54</w:t>
            </w:r>
          </w:p>
        </w:tc>
        <w:tc>
          <w:tcPr>
            <w:tcW w:type="dxa" w:w="1224"/>
          </w:tcPr>
          <w:p>
            <w:pPr>
              <w:spacing w:after="40"/>
            </w:pPr>
            <w:r>
              <w:rPr>
                <w:sz w:val="15"/>
              </w:rPr>
              <w:t>C22452</w:t>
            </w:r>
          </w:p>
        </w:tc>
      </w:tr>
      <w:tr>
        <w:trPr>
          <w:cantSplit/>
        </w:trPr>
        <w:tc>
          <w:tcPr>
            <w:tcW w:type="dxa" w:w="1440"/>
          </w:tcPr>
          <w:p>
            <w:pPr>
              <w:spacing w:after="40"/>
            </w:pPr>
            <w:r>
              <w:rPr>
                <w:b/>
                <w:sz w:val="15"/>
              </w:rPr>
              <w:t>D12</w:t>
            </w:r>
          </w:p>
        </w:tc>
        <w:tc>
          <w:tcPr>
            <w:tcW w:type="dxa" w:w="1944"/>
          </w:tcPr>
          <w:p>
            <w:pPr>
              <w:spacing w:after="40"/>
            </w:pPr>
            <w:r>
              <w:rPr>
                <w:sz w:val="15"/>
              </w:rPr>
              <w:t>SK36_C266330</w:t>
            </w:r>
          </w:p>
        </w:tc>
        <w:tc>
          <w:tcPr>
            <w:tcW w:type="dxa" w:w="576"/>
          </w:tcPr>
          <w:p>
            <w:pPr>
              <w:spacing w:after="40"/>
            </w:pPr>
            <w:r>
              <w:rPr>
                <w:sz w:val="15"/>
              </w:rPr>
              <w:t>1</w:t>
            </w:r>
          </w:p>
        </w:tc>
        <w:tc>
          <w:tcPr>
            <w:tcW w:type="dxa" w:w="1656"/>
          </w:tcPr>
          <w:p>
            <w:pPr>
              <w:spacing w:after="40"/>
            </w:pPr>
            <w:r>
              <w:rPr>
                <w:sz w:val="15"/>
              </w:rPr>
              <w:t>GOOD-ARK</w:t>
            </w:r>
          </w:p>
        </w:tc>
        <w:tc>
          <w:tcPr>
            <w:tcW w:type="dxa" w:w="2376"/>
          </w:tcPr>
          <w:p>
            <w:pPr>
              <w:spacing w:after="40"/>
            </w:pPr>
            <w:r>
              <w:rPr>
                <w:sz w:val="15"/>
              </w:rPr>
              <w:t>SK36</w:t>
            </w:r>
          </w:p>
        </w:tc>
        <w:tc>
          <w:tcPr>
            <w:tcW w:type="dxa" w:w="1224"/>
          </w:tcPr>
          <w:p>
            <w:pPr>
              <w:spacing w:after="40"/>
            </w:pPr>
            <w:r>
              <w:rPr>
                <w:sz w:val="15"/>
              </w:rPr>
              <w:t>C266330</w:t>
            </w:r>
          </w:p>
        </w:tc>
      </w:tr>
      <w:tr>
        <w:trPr>
          <w:cantSplit/>
        </w:trPr>
        <w:tc>
          <w:tcPr>
            <w:tcW w:type="dxa" w:w="1440"/>
          </w:tcPr>
          <w:p>
            <w:pPr>
              <w:spacing w:after="40"/>
            </w:pPr>
            <w:r>
              <w:rPr>
                <w:b/>
                <w:sz w:val="15"/>
              </w:rPr>
              <w:t>F1,F2</w:t>
            </w:r>
          </w:p>
        </w:tc>
        <w:tc>
          <w:tcPr>
            <w:tcW w:type="dxa" w:w="1944"/>
          </w:tcPr>
          <w:p>
            <w:pPr>
              <w:spacing w:after="40"/>
            </w:pPr>
            <w:r>
              <w:rPr>
                <w:sz w:val="15"/>
              </w:rPr>
              <w:t>MINISMDC260F/16</w:t>
            </w:r>
          </w:p>
        </w:tc>
        <w:tc>
          <w:tcPr>
            <w:tcW w:type="dxa" w:w="576"/>
          </w:tcPr>
          <w:p>
            <w:pPr>
              <w:spacing w:after="40"/>
            </w:pPr>
            <w:r>
              <w:rPr>
                <w:sz w:val="15"/>
              </w:rPr>
              <w:t>2</w:t>
            </w:r>
          </w:p>
        </w:tc>
        <w:tc>
          <w:tcPr>
            <w:tcW w:type="dxa" w:w="1656"/>
          </w:tcPr>
          <w:p>
            <w:pPr>
              <w:spacing w:after="40"/>
            </w:pPr>
            <w:r>
              <w:rPr>
                <w:sz w:val="15"/>
              </w:rPr>
              <w:t>Littelfuse</w:t>
            </w:r>
          </w:p>
        </w:tc>
        <w:tc>
          <w:tcPr>
            <w:tcW w:type="dxa" w:w="2376"/>
          </w:tcPr>
          <w:p>
            <w:pPr>
              <w:spacing w:after="40"/>
            </w:pPr>
            <w:r>
              <w:rPr>
                <w:sz w:val="15"/>
              </w:rPr>
              <w:t>MINISMDC260F/16-2</w:t>
            </w:r>
          </w:p>
        </w:tc>
        <w:tc>
          <w:tcPr>
            <w:tcW w:type="dxa" w:w="1224"/>
          </w:tcPr>
          <w:p>
            <w:pPr>
              <w:spacing w:after="40"/>
            </w:pPr>
            <w:r>
              <w:rPr>
                <w:sz w:val="15"/>
              </w:rPr>
              <w:t>C16490</w:t>
            </w:r>
          </w:p>
        </w:tc>
      </w:tr>
      <w:tr>
        <w:trPr>
          <w:cantSplit/>
        </w:trPr>
        <w:tc>
          <w:tcPr>
            <w:tcW w:type="dxa" w:w="1440"/>
          </w:tcPr>
          <w:p>
            <w:pPr>
              <w:spacing w:after="40"/>
            </w:pPr>
            <w:r>
              <w:rPr>
                <w:b/>
                <w:sz w:val="15"/>
              </w:rPr>
              <w:t>G$1</w:t>
            </w:r>
          </w:p>
        </w:tc>
        <w:tc>
          <w:tcPr>
            <w:tcW w:type="dxa" w:w="1944"/>
          </w:tcPr>
          <w:p>
            <w:pPr>
              <w:spacing w:after="40"/>
            </w:pPr>
            <w:r>
              <w:rPr>
                <w:sz w:val="15"/>
              </w:rPr>
              <w:t>UFL</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J1</w:t>
            </w:r>
          </w:p>
        </w:tc>
        <w:tc>
          <w:tcPr>
            <w:tcW w:type="dxa" w:w="1944"/>
          </w:tcPr>
          <w:p>
            <w:pPr>
              <w:spacing w:after="40"/>
            </w:pPr>
            <w:r>
              <w:rPr>
                <w:sz w:val="15"/>
              </w:rPr>
              <w:t>VIN</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C65114</w:t>
            </w:r>
          </w:p>
        </w:tc>
      </w:tr>
      <w:tr>
        <w:trPr>
          <w:cantSplit/>
        </w:trPr>
        <w:tc>
          <w:tcPr>
            <w:tcW w:type="dxa" w:w="1440"/>
          </w:tcPr>
          <w:p>
            <w:pPr>
              <w:spacing w:after="40"/>
            </w:pPr>
            <w:r>
              <w:rPr>
                <w:b/>
                <w:sz w:val="15"/>
              </w:rPr>
              <w:t>L1</w:t>
            </w:r>
          </w:p>
        </w:tc>
        <w:tc>
          <w:tcPr>
            <w:tcW w:type="dxa" w:w="1944"/>
          </w:tcPr>
          <w:p>
            <w:pPr>
              <w:spacing w:after="40"/>
            </w:pPr>
            <w:r>
              <w:rPr>
                <w:sz w:val="15"/>
              </w:rPr>
              <w:t>300Ω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ACM7060-301-2PL-TL01</w:t>
            </w:r>
          </w:p>
        </w:tc>
        <w:tc>
          <w:tcPr>
            <w:tcW w:type="dxa" w:w="1224"/>
          </w:tcPr>
          <w:p>
            <w:pPr>
              <w:spacing w:after="40"/>
            </w:pPr>
            <w:r>
              <w:rPr>
                <w:sz w:val="15"/>
              </w:rPr>
              <w:t>C76580</w:t>
            </w:r>
          </w:p>
        </w:tc>
      </w:tr>
      <w:tr>
        <w:trPr>
          <w:cantSplit/>
        </w:trPr>
        <w:tc>
          <w:tcPr>
            <w:tcW w:type="dxa" w:w="1440"/>
          </w:tcPr>
          <w:p>
            <w:pPr>
              <w:spacing w:after="40"/>
            </w:pPr>
            <w:r>
              <w:rPr>
                <w:b/>
                <w:sz w:val="15"/>
              </w:rPr>
              <w:t>L2</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SMDRH105R-2R2NT</w:t>
            </w:r>
          </w:p>
        </w:tc>
        <w:tc>
          <w:tcPr>
            <w:tcW w:type="dxa" w:w="1224"/>
          </w:tcPr>
          <w:p>
            <w:pPr>
              <w:spacing w:after="40"/>
            </w:pPr>
            <w:r>
              <w:rPr>
                <w:sz w:val="15"/>
              </w:rPr>
              <w:t>C10164</w:t>
            </w:r>
          </w:p>
        </w:tc>
      </w:tr>
      <w:tr>
        <w:trPr>
          <w:cantSplit/>
        </w:trPr>
        <w:tc>
          <w:tcPr>
            <w:tcW w:type="dxa" w:w="1440"/>
          </w:tcPr>
          <w:p>
            <w:pPr>
              <w:spacing w:after="40"/>
            </w:pPr>
            <w:r>
              <w:rPr>
                <w:b/>
                <w:sz w:val="15"/>
              </w:rPr>
              <w:t>L3</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APV</w:t>
            </w:r>
          </w:p>
        </w:tc>
        <w:tc>
          <w:tcPr>
            <w:tcW w:type="dxa" w:w="2376"/>
          </w:tcPr>
          <w:p>
            <w:pPr>
              <w:spacing w:after="40"/>
            </w:pPr>
            <w:r>
              <w:rPr>
                <w:sz w:val="15"/>
              </w:rPr>
              <w:t>ANR3015T2R2M</w:t>
            </w:r>
          </w:p>
        </w:tc>
        <w:tc>
          <w:tcPr>
            <w:tcW w:type="dxa" w:w="1224"/>
          </w:tcPr>
          <w:p>
            <w:pPr>
              <w:spacing w:after="40"/>
            </w:pPr>
            <w:r>
              <w:rPr>
                <w:sz w:val="15"/>
              </w:rPr>
              <w:t>C6364793</w:t>
            </w:r>
          </w:p>
        </w:tc>
      </w:tr>
      <w:tr>
        <w:trPr>
          <w:cantSplit/>
        </w:trPr>
        <w:tc>
          <w:tcPr>
            <w:tcW w:type="dxa" w:w="1440"/>
          </w:tcPr>
          <w:p>
            <w:pPr>
              <w:spacing w:after="40"/>
            </w:pPr>
            <w:r>
              <w:rPr>
                <w:b/>
                <w:sz w:val="15"/>
              </w:rPr>
              <w:t>L4</w:t>
            </w:r>
          </w:p>
        </w:tc>
        <w:tc>
          <w:tcPr>
            <w:tcW w:type="dxa" w:w="1944"/>
          </w:tcPr>
          <w:p>
            <w:pPr>
              <w:spacing w:after="40"/>
            </w:pPr>
            <w:r>
              <w:rPr>
                <w:sz w:val="15"/>
              </w:rPr>
              <w:t>100Ω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MPZ2012S101AT000</w:t>
            </w:r>
          </w:p>
        </w:tc>
        <w:tc>
          <w:tcPr>
            <w:tcW w:type="dxa" w:w="1224"/>
          </w:tcPr>
          <w:p>
            <w:pPr>
              <w:spacing w:after="40"/>
            </w:pPr>
            <w:r>
              <w:rPr>
                <w:sz w:val="15"/>
              </w:rPr>
              <w:t>C15957</w:t>
            </w:r>
          </w:p>
        </w:tc>
      </w:tr>
      <w:tr>
        <w:trPr>
          <w:cantSplit/>
        </w:trPr>
        <w:tc>
          <w:tcPr>
            <w:tcW w:type="dxa" w:w="1440"/>
          </w:tcPr>
          <w:p>
            <w:pPr>
              <w:spacing w:after="40"/>
            </w:pPr>
            <w:r>
              <w:rPr>
                <w:b/>
                <w:sz w:val="15"/>
              </w:rPr>
              <w:t>L5</w:t>
            </w:r>
          </w:p>
        </w:tc>
        <w:tc>
          <w:tcPr>
            <w:tcW w:type="dxa" w:w="1944"/>
          </w:tcPr>
          <w:p>
            <w:pPr>
              <w:spacing w:after="40"/>
            </w:pPr>
            <w:r>
              <w:rPr>
                <w:sz w:val="15"/>
              </w:rPr>
              <w:t>10uH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SMDRH105R-100MT</w:t>
            </w:r>
          </w:p>
        </w:tc>
        <w:tc>
          <w:tcPr>
            <w:tcW w:type="dxa" w:w="1224"/>
          </w:tcPr>
          <w:p>
            <w:pPr>
              <w:spacing w:after="40"/>
            </w:pPr>
            <w:r>
              <w:rPr>
                <w:sz w:val="15"/>
              </w:rPr>
              <w:t>C9185</w:t>
            </w:r>
          </w:p>
        </w:tc>
      </w:tr>
      <w:tr>
        <w:trPr>
          <w:cantSplit/>
        </w:trPr>
        <w:tc>
          <w:tcPr>
            <w:tcW w:type="dxa" w:w="1440"/>
          </w:tcPr>
          <w:p>
            <w:pPr>
              <w:spacing w:after="40"/>
            </w:pPr>
            <w:r>
              <w:rPr>
                <w:b/>
                <w:sz w:val="15"/>
              </w:rPr>
              <w:t>LED1</w:t>
            </w:r>
          </w:p>
        </w:tc>
        <w:tc>
          <w:tcPr>
            <w:tcW w:type="dxa" w:w="1944"/>
          </w:tcPr>
          <w:p>
            <w:pPr>
              <w:spacing w:after="40"/>
            </w:pPr>
            <w:r>
              <w:rPr>
                <w:sz w:val="15"/>
              </w:rPr>
              <w:t>19-217/BHC-ZL1M2RY/3T</w:t>
            </w:r>
          </w:p>
        </w:tc>
        <w:tc>
          <w:tcPr>
            <w:tcW w:type="dxa" w:w="576"/>
          </w:tcPr>
          <w:p>
            <w:pPr>
              <w:spacing w:after="40"/>
            </w:pPr>
            <w:r>
              <w:rPr>
                <w:sz w:val="15"/>
              </w:rPr>
              <w:t>1</w:t>
            </w:r>
          </w:p>
        </w:tc>
        <w:tc>
          <w:tcPr>
            <w:tcW w:type="dxa" w:w="1656"/>
          </w:tcPr>
          <w:p>
            <w:pPr>
              <w:spacing w:after="40"/>
            </w:pPr>
            <w:r>
              <w:rPr>
                <w:sz w:val="15"/>
              </w:rPr>
              <w:t>EVERLIGHT</w:t>
            </w:r>
          </w:p>
        </w:tc>
        <w:tc>
          <w:tcPr>
            <w:tcW w:type="dxa" w:w="2376"/>
          </w:tcPr>
          <w:p>
            <w:pPr>
              <w:spacing w:after="40"/>
            </w:pPr>
            <w:r>
              <w:rPr>
                <w:sz w:val="15"/>
              </w:rPr>
              <w:t>19-217/BHC-ZL1M2RY/3T</w:t>
            </w:r>
          </w:p>
        </w:tc>
        <w:tc>
          <w:tcPr>
            <w:tcW w:type="dxa" w:w="1224"/>
          </w:tcPr>
          <w:p>
            <w:pPr>
              <w:spacing w:after="40"/>
            </w:pPr>
            <w:r>
              <w:rPr>
                <w:sz w:val="15"/>
              </w:rPr>
              <w:t>C72041</w:t>
            </w:r>
          </w:p>
        </w:tc>
      </w:tr>
      <w:tr>
        <w:trPr>
          <w:cantSplit/>
        </w:trPr>
        <w:tc>
          <w:tcPr>
            <w:tcW w:type="dxa" w:w="1440"/>
          </w:tcPr>
          <w:p>
            <w:pPr>
              <w:spacing w:after="40"/>
            </w:pPr>
            <w:r>
              <w:rPr>
                <w:b/>
                <w:sz w:val="15"/>
              </w:rPr>
              <w:t>Q1</w:t>
            </w:r>
          </w:p>
        </w:tc>
        <w:tc>
          <w:tcPr>
            <w:tcW w:type="dxa" w:w="1944"/>
          </w:tcPr>
          <w:p>
            <w:pPr>
              <w:spacing w:after="40"/>
            </w:pPr>
            <w:r>
              <w:rPr>
                <w:sz w:val="15"/>
              </w:rPr>
              <w:t>UMH3NTN</w:t>
            </w:r>
          </w:p>
        </w:tc>
        <w:tc>
          <w:tcPr>
            <w:tcW w:type="dxa" w:w="576"/>
          </w:tcPr>
          <w:p>
            <w:pPr>
              <w:spacing w:after="40"/>
            </w:pPr>
            <w:r>
              <w:rPr>
                <w:sz w:val="15"/>
              </w:rPr>
              <w:t>1</w:t>
            </w:r>
          </w:p>
        </w:tc>
        <w:tc>
          <w:tcPr>
            <w:tcW w:type="dxa" w:w="1656"/>
          </w:tcPr>
          <w:p>
            <w:pPr>
              <w:spacing w:after="40"/>
            </w:pPr>
            <w:r>
              <w:rPr>
                <w:sz w:val="15"/>
              </w:rPr>
              <w:t>ROHM</w:t>
            </w:r>
          </w:p>
        </w:tc>
        <w:tc>
          <w:tcPr>
            <w:tcW w:type="dxa" w:w="2376"/>
          </w:tcPr>
          <w:p>
            <w:pPr>
              <w:spacing w:after="40"/>
            </w:pPr>
            <w:r>
              <w:rPr>
                <w:sz w:val="15"/>
              </w:rPr>
              <w:t>UMH3NTN</w:t>
            </w:r>
          </w:p>
        </w:tc>
        <w:tc>
          <w:tcPr>
            <w:tcW w:type="dxa" w:w="1224"/>
          </w:tcPr>
          <w:p>
            <w:pPr>
              <w:spacing w:after="40"/>
            </w:pPr>
            <w:r>
              <w:rPr>
                <w:sz w:val="15"/>
              </w:rPr>
              <w:t>C123008</w:t>
            </w:r>
          </w:p>
        </w:tc>
      </w:tr>
      <w:tr>
        <w:trPr>
          <w:cantSplit/>
        </w:trPr>
        <w:tc>
          <w:tcPr>
            <w:tcW w:type="dxa" w:w="1440"/>
          </w:tcPr>
          <w:p>
            <w:pPr>
              <w:spacing w:after="40"/>
            </w:pPr>
            <w:r>
              <w:rPr>
                <w:b/>
                <w:sz w:val="15"/>
              </w:rPr>
              <w:t>Q2</w:t>
            </w:r>
          </w:p>
        </w:tc>
        <w:tc>
          <w:tcPr>
            <w:tcW w:type="dxa" w:w="1944"/>
          </w:tcPr>
          <w:p>
            <w:pPr>
              <w:spacing w:after="40"/>
            </w:pPr>
            <w:r>
              <w:rPr>
                <w:sz w:val="15"/>
              </w:rPr>
              <w:t>AO4407_C5155210</w:t>
            </w:r>
          </w:p>
        </w:tc>
        <w:tc>
          <w:tcPr>
            <w:tcW w:type="dxa" w:w="576"/>
          </w:tcPr>
          <w:p>
            <w:pPr>
              <w:spacing w:after="40"/>
            </w:pPr>
            <w:r>
              <w:rPr>
                <w:sz w:val="15"/>
              </w:rPr>
              <w:t>1</w:t>
            </w:r>
          </w:p>
        </w:tc>
        <w:tc>
          <w:tcPr>
            <w:tcW w:type="dxa" w:w="1656"/>
          </w:tcPr>
          <w:p>
            <w:pPr>
              <w:spacing w:after="40"/>
            </w:pPr>
            <w:r>
              <w:rPr>
                <w:sz w:val="15"/>
              </w:rPr>
              <w:t>JSMSEMI</w:t>
            </w:r>
          </w:p>
        </w:tc>
        <w:tc>
          <w:tcPr>
            <w:tcW w:type="dxa" w:w="2376"/>
          </w:tcPr>
          <w:p>
            <w:pPr>
              <w:spacing w:after="40"/>
            </w:pPr>
            <w:r>
              <w:rPr>
                <w:sz w:val="15"/>
              </w:rPr>
              <w:t>AO4407</w:t>
            </w:r>
          </w:p>
        </w:tc>
        <w:tc>
          <w:tcPr>
            <w:tcW w:type="dxa" w:w="1224"/>
          </w:tcPr>
          <w:p>
            <w:pPr>
              <w:spacing w:after="40"/>
            </w:pPr>
            <w:r>
              <w:rPr>
                <w:sz w:val="15"/>
              </w:rPr>
              <w:t>C5155210</w:t>
            </w:r>
          </w:p>
        </w:tc>
      </w:tr>
      <w:tr>
        <w:trPr>
          <w:cantSplit/>
        </w:trPr>
        <w:tc>
          <w:tcPr>
            <w:tcW w:type="dxa" w:w="1440"/>
          </w:tcPr>
          <w:p>
            <w:pPr>
              <w:spacing w:after="40"/>
            </w:pPr>
            <w:r>
              <w:rPr>
                <w:b/>
                <w:sz w:val="15"/>
              </w:rPr>
              <w:t>Q3</w:t>
            </w:r>
          </w:p>
        </w:tc>
        <w:tc>
          <w:tcPr>
            <w:tcW w:type="dxa" w:w="1944"/>
          </w:tcPr>
          <w:p>
            <w:pPr>
              <w:spacing w:after="40"/>
            </w:pPr>
            <w:r>
              <w:rPr>
                <w:sz w:val="15"/>
              </w:rPr>
              <w:t>SI7465DP-T1-GE3</w:t>
            </w:r>
          </w:p>
        </w:tc>
        <w:tc>
          <w:tcPr>
            <w:tcW w:type="dxa" w:w="576"/>
          </w:tcPr>
          <w:p>
            <w:pPr>
              <w:spacing w:after="40"/>
            </w:pPr>
            <w:r>
              <w:rPr>
                <w:sz w:val="15"/>
              </w:rPr>
              <w:t>1</w:t>
            </w:r>
          </w:p>
        </w:tc>
        <w:tc>
          <w:tcPr>
            <w:tcW w:type="dxa" w:w="1656"/>
          </w:tcPr>
          <w:p>
            <w:pPr>
              <w:spacing w:after="40"/>
            </w:pPr>
            <w:r>
              <w:rPr>
                <w:sz w:val="15"/>
              </w:rPr>
              <w:t>VISHAY</w:t>
            </w:r>
          </w:p>
        </w:tc>
        <w:tc>
          <w:tcPr>
            <w:tcW w:type="dxa" w:w="2376"/>
          </w:tcPr>
          <w:p>
            <w:pPr>
              <w:spacing w:after="40"/>
            </w:pPr>
            <w:r>
              <w:rPr>
                <w:sz w:val="15"/>
              </w:rPr>
              <w:t>SI7465DP-T1-GE3</w:t>
            </w:r>
          </w:p>
        </w:tc>
        <w:tc>
          <w:tcPr>
            <w:tcW w:type="dxa" w:w="1224"/>
          </w:tcPr>
          <w:p>
            <w:pPr>
              <w:spacing w:after="40"/>
            </w:pPr>
            <w:r>
              <w:rPr>
                <w:sz w:val="15"/>
              </w:rPr>
              <w:t>C499482</w:t>
            </w:r>
          </w:p>
        </w:tc>
      </w:tr>
      <w:tr>
        <w:trPr>
          <w:cantSplit/>
        </w:trPr>
        <w:tc>
          <w:tcPr>
            <w:tcW w:type="dxa" w:w="1440"/>
          </w:tcPr>
          <w:p>
            <w:pPr>
              <w:spacing w:after="40"/>
            </w:pPr>
            <w:r>
              <w:rPr>
                <w:b/>
                <w:sz w:val="15"/>
              </w:rPr>
              <w:t>R3</w:t>
            </w:r>
          </w:p>
        </w:tc>
        <w:tc>
          <w:tcPr>
            <w:tcW w:type="dxa" w:w="1944"/>
          </w:tcPr>
          <w:p>
            <w:pPr>
              <w:spacing w:after="40"/>
            </w:pPr>
            <w:r>
              <w:rPr>
                <w:sz w:val="15"/>
              </w:rPr>
              <w:t>187kΩ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0603WAF1873T5E</w:t>
            </w:r>
          </w:p>
        </w:tc>
        <w:tc>
          <w:tcPr>
            <w:tcW w:type="dxa" w:w="1224"/>
          </w:tcPr>
          <w:p>
            <w:pPr>
              <w:spacing w:after="40"/>
            </w:pPr>
            <w:r>
              <w:rPr>
                <w:sz w:val="15"/>
              </w:rPr>
              <w:t>C22896</w:t>
            </w:r>
          </w:p>
        </w:tc>
      </w:tr>
      <w:tr>
        <w:trPr>
          <w:cantSplit/>
        </w:trPr>
        <w:tc>
          <w:tcPr>
            <w:tcW w:type="dxa" w:w="1440"/>
          </w:tcPr>
          <w:p>
            <w:pPr>
              <w:spacing w:after="40"/>
            </w:pPr>
            <w:r>
              <w:rPr>
                <w:b/>
                <w:sz w:val="15"/>
              </w:rPr>
              <w:t>R6</w:t>
            </w:r>
          </w:p>
        </w:tc>
        <w:tc>
          <w:tcPr>
            <w:tcW w:type="dxa" w:w="1944"/>
          </w:tcPr>
          <w:p>
            <w:pPr>
              <w:spacing w:after="40"/>
            </w:pPr>
            <w:r>
              <w:rPr>
                <w:sz w:val="15"/>
              </w:rPr>
              <w:t>82kΩ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0603WAF8202T5E</w:t>
            </w:r>
          </w:p>
        </w:tc>
        <w:tc>
          <w:tcPr>
            <w:tcW w:type="dxa" w:w="1224"/>
          </w:tcPr>
          <w:p>
            <w:pPr>
              <w:spacing w:after="40"/>
            </w:pPr>
            <w:r>
              <w:rPr>
                <w:sz w:val="15"/>
              </w:rPr>
              <w:t>C23254</w:t>
            </w:r>
          </w:p>
        </w:tc>
      </w:tr>
      <w:tr>
        <w:trPr>
          <w:cantSplit/>
        </w:trPr>
        <w:tc>
          <w:tcPr>
            <w:tcW w:type="dxa" w:w="1440"/>
          </w:tcPr>
          <w:p>
            <w:pPr>
              <w:spacing w:after="40"/>
            </w:pPr>
            <w:r>
              <w:rPr>
                <w:b/>
                <w:sz w:val="15"/>
              </w:rPr>
              <w:t>R86</w:t>
            </w:r>
          </w:p>
        </w:tc>
        <w:tc>
          <w:tcPr>
            <w:tcW w:type="dxa" w:w="1944"/>
          </w:tcPr>
          <w:p>
            <w:pPr>
              <w:spacing w:after="40"/>
            </w:pPr>
            <w:r>
              <w:rPr>
                <w:sz w:val="15"/>
              </w:rPr>
              <w:t>19.1kΩ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0603WAF1912T5E</w:t>
            </w:r>
          </w:p>
        </w:tc>
        <w:tc>
          <w:tcPr>
            <w:tcW w:type="dxa" w:w="1224"/>
          </w:tcPr>
          <w:p>
            <w:pPr>
              <w:spacing w:after="40"/>
            </w:pPr>
            <w:r>
              <w:rPr>
                <w:sz w:val="15"/>
              </w:rPr>
              <w:t>C22897</w:t>
            </w:r>
          </w:p>
        </w:tc>
      </w:tr>
      <w:tr>
        <w:trPr>
          <w:cantSplit/>
        </w:trPr>
        <w:tc>
          <w:tcPr>
            <w:tcW w:type="dxa" w:w="1440"/>
          </w:tcPr>
          <w:p>
            <w:pPr>
              <w:spacing w:after="40"/>
            </w:pPr>
            <w:r>
              <w:rPr>
                <w:b/>
                <w:sz w:val="15"/>
              </w:rPr>
              <w:t>R87</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0603WAF1001T5E</w:t>
            </w:r>
          </w:p>
        </w:tc>
        <w:tc>
          <w:tcPr>
            <w:tcW w:type="dxa" w:w="1224"/>
          </w:tcPr>
          <w:p>
            <w:pPr>
              <w:spacing w:after="40"/>
            </w:pPr>
            <w:r>
              <w:rPr>
                <w:sz w:val="15"/>
              </w:rPr>
              <w:t>C21190</w:t>
            </w:r>
          </w:p>
        </w:tc>
      </w:tr>
      <w:tr>
        <w:trPr>
          <w:cantSplit/>
        </w:trPr>
        <w:tc>
          <w:tcPr>
            <w:tcW w:type="dxa" w:w="1440"/>
          </w:tcPr>
          <w:p>
            <w:pPr>
              <w:spacing w:after="40"/>
            </w:pPr>
            <w:r>
              <w:rPr>
                <w:b/>
                <w:sz w:val="15"/>
              </w:rPr>
              <w:t>R89,R36</w:t>
            </w:r>
          </w:p>
        </w:tc>
        <w:tc>
          <w:tcPr>
            <w:tcW w:type="dxa" w:w="1944"/>
          </w:tcPr>
          <w:p>
            <w:pPr>
              <w:spacing w:after="40"/>
            </w:pPr>
            <w:r>
              <w:rPr>
                <w:sz w:val="15"/>
              </w:rPr>
              <w:t>56kΩ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0603WAF5602T5E</w:t>
            </w:r>
          </w:p>
        </w:tc>
        <w:tc>
          <w:tcPr>
            <w:tcW w:type="dxa" w:w="1224"/>
          </w:tcPr>
          <w:p>
            <w:pPr>
              <w:spacing w:after="40"/>
            </w:pPr>
            <w:r>
              <w:rPr>
                <w:sz w:val="15"/>
              </w:rPr>
              <w:t>C23206</w:t>
            </w:r>
          </w:p>
        </w:tc>
      </w:tr>
      <w:tr>
        <w:trPr>
          <w:cantSplit/>
        </w:trPr>
        <w:tc>
          <w:tcPr>
            <w:tcW w:type="dxa" w:w="1440"/>
          </w:tcPr>
          <w:p>
            <w:pPr>
              <w:spacing w:after="40"/>
            </w:pPr>
            <w:r>
              <w:rPr>
                <w:b/>
                <w:sz w:val="15"/>
              </w:rPr>
              <w:t>R90</w:t>
            </w:r>
          </w:p>
        </w:tc>
        <w:tc>
          <w:tcPr>
            <w:tcW w:type="dxa" w:w="1944"/>
          </w:tcPr>
          <w:p>
            <w:pPr>
              <w:spacing w:after="40"/>
            </w:pPr>
            <w:r>
              <w:rPr>
                <w:sz w:val="15"/>
              </w:rPr>
              <w:t>189k</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RT0603BRD07189KL</w:t>
            </w:r>
          </w:p>
        </w:tc>
        <w:tc>
          <w:tcPr>
            <w:tcW w:type="dxa" w:w="1224"/>
          </w:tcPr>
          <w:p>
            <w:pPr>
              <w:spacing w:after="40"/>
            </w:pPr>
            <w:r>
              <w:rPr>
                <w:sz w:val="15"/>
              </w:rPr>
              <w:t>C861174</w:t>
            </w:r>
          </w:p>
        </w:tc>
      </w:tr>
      <w:tr>
        <w:trPr>
          <w:cantSplit/>
        </w:trPr>
        <w:tc>
          <w:tcPr>
            <w:tcW w:type="dxa" w:w="1440"/>
          </w:tcPr>
          <w:p>
            <w:pPr>
              <w:spacing w:after="40"/>
            </w:pPr>
            <w:r>
              <w:rPr>
                <w:b/>
                <w:sz w:val="15"/>
              </w:rPr>
              <w:t>R92</w:t>
            </w:r>
          </w:p>
        </w:tc>
        <w:tc>
          <w:tcPr>
            <w:tcW w:type="dxa" w:w="1944"/>
          </w:tcPr>
          <w:p>
            <w:pPr>
              <w:spacing w:after="40"/>
            </w:pPr>
            <w:r>
              <w:rPr>
                <w:sz w:val="15"/>
              </w:rPr>
              <w:t>33kΩ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0603WAF3302T5E</w:t>
            </w:r>
          </w:p>
        </w:tc>
        <w:tc>
          <w:tcPr>
            <w:tcW w:type="dxa" w:w="1224"/>
          </w:tcPr>
          <w:p>
            <w:pPr>
              <w:spacing w:after="40"/>
            </w:pPr>
            <w:r>
              <w:rPr>
                <w:sz w:val="15"/>
              </w:rPr>
              <w:t>C4216</w:t>
            </w:r>
          </w:p>
        </w:tc>
      </w:tr>
      <w:tr>
        <w:trPr>
          <w:cantSplit/>
        </w:trPr>
        <w:tc>
          <w:tcPr>
            <w:tcW w:type="dxa" w:w="1440"/>
          </w:tcPr>
          <w:p>
            <w:pPr>
              <w:spacing w:after="40"/>
            </w:pPr>
            <w:r>
              <w:rPr>
                <w:b/>
                <w:sz w:val="15"/>
              </w:rPr>
              <w:t>R96</w:t>
            </w:r>
          </w:p>
        </w:tc>
        <w:tc>
          <w:tcPr>
            <w:tcW w:type="dxa" w:w="1944"/>
          </w:tcPr>
          <w:p>
            <w:pPr>
              <w:spacing w:after="40"/>
            </w:pPr>
            <w:r>
              <w:rPr>
                <w:sz w:val="15"/>
              </w:rPr>
              <w:t>470Ω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0603WAF4700T5E</w:t>
            </w:r>
          </w:p>
        </w:tc>
        <w:tc>
          <w:tcPr>
            <w:tcW w:type="dxa" w:w="1224"/>
          </w:tcPr>
          <w:p>
            <w:pPr>
              <w:spacing w:after="40"/>
            </w:pPr>
            <w:r>
              <w:rPr>
                <w:sz w:val="15"/>
              </w:rPr>
              <w:t>C23179</w:t>
            </w:r>
          </w:p>
        </w:tc>
      </w:tr>
      <w:tr>
        <w:trPr>
          <w:cantSplit/>
        </w:trPr>
        <w:tc>
          <w:tcPr>
            <w:tcW w:type="dxa" w:w="1440"/>
          </w:tcPr>
          <w:p>
            <w:pPr>
              <w:spacing w:after="40"/>
            </w:pPr>
            <w:r>
              <w:rPr>
                <w:b/>
                <w:sz w:val="15"/>
              </w:rPr>
              <w:t>SW1</w:t>
            </w:r>
          </w:p>
        </w:tc>
        <w:tc>
          <w:tcPr>
            <w:tcW w:type="dxa" w:w="1944"/>
          </w:tcPr>
          <w:p>
            <w:pPr>
              <w:spacing w:after="40"/>
            </w:pPr>
            <w:r>
              <w:rPr>
                <w:sz w:val="15"/>
              </w:rPr>
              <w:t>SKQYAAE010</w:t>
            </w:r>
          </w:p>
        </w:tc>
        <w:tc>
          <w:tcPr>
            <w:tcW w:type="dxa" w:w="576"/>
          </w:tcPr>
          <w:p>
            <w:pPr>
              <w:spacing w:after="40"/>
            </w:pPr>
            <w:r>
              <w:rPr>
                <w:sz w:val="15"/>
              </w:rPr>
              <w:t>1</w:t>
            </w:r>
          </w:p>
        </w:tc>
        <w:tc>
          <w:tcPr>
            <w:tcW w:type="dxa" w:w="1656"/>
          </w:tcPr>
          <w:p>
            <w:pPr>
              <w:spacing w:after="40"/>
            </w:pPr>
            <w:r>
              <w:rPr>
                <w:sz w:val="15"/>
              </w:rPr>
              <w:t>ALPSALPINE</w:t>
            </w:r>
          </w:p>
        </w:tc>
        <w:tc>
          <w:tcPr>
            <w:tcW w:type="dxa" w:w="2376"/>
          </w:tcPr>
          <w:p>
            <w:pPr>
              <w:spacing w:after="40"/>
            </w:pPr>
            <w:r>
              <w:rPr>
                <w:sz w:val="15"/>
              </w:rPr>
              <w:t>SKQYAAE010</w:t>
            </w:r>
          </w:p>
        </w:tc>
        <w:tc>
          <w:tcPr>
            <w:tcW w:type="dxa" w:w="1224"/>
          </w:tcPr>
          <w:p>
            <w:pPr>
              <w:spacing w:after="40"/>
            </w:pPr>
            <w:r>
              <w:rPr>
                <w:sz w:val="15"/>
              </w:rPr>
              <w:t>C115352</w:t>
            </w:r>
          </w:p>
        </w:tc>
      </w:tr>
      <w:tr>
        <w:trPr>
          <w:cantSplit/>
        </w:trPr>
        <w:tc>
          <w:tcPr>
            <w:tcW w:type="dxa" w:w="1440"/>
          </w:tcPr>
          <w:p>
            <w:pPr>
              <w:spacing w:after="40"/>
            </w:pPr>
            <w:r>
              <w:rPr>
                <w:b/>
                <w:sz w:val="15"/>
              </w:rPr>
              <w:t>U1</w:t>
            </w:r>
          </w:p>
        </w:tc>
        <w:tc>
          <w:tcPr>
            <w:tcW w:type="dxa" w:w="1944"/>
          </w:tcPr>
          <w:p>
            <w:pPr>
              <w:spacing w:after="40"/>
            </w:pPr>
            <w:r>
              <w:rPr>
                <w:sz w:val="15"/>
              </w:rPr>
              <w:t>TPS61175PWP</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TPS61175PWP</w:t>
            </w:r>
          </w:p>
        </w:tc>
        <w:tc>
          <w:tcPr>
            <w:tcW w:type="dxa" w:w="1224"/>
          </w:tcPr>
          <w:p>
            <w:pPr>
              <w:spacing w:after="40"/>
            </w:pPr>
            <w:r>
              <w:rPr>
                <w:sz w:val="15"/>
              </w:rPr>
              <w:t>C2879383</w:t>
            </w:r>
          </w:p>
        </w:tc>
      </w:tr>
      <w:tr>
        <w:trPr>
          <w:cantSplit/>
        </w:trPr>
        <w:tc>
          <w:tcPr>
            <w:tcW w:type="dxa" w:w="1440"/>
          </w:tcPr>
          <w:p>
            <w:pPr>
              <w:spacing w:after="40"/>
            </w:pPr>
            <w:r>
              <w:rPr>
                <w:b/>
                <w:sz w:val="15"/>
              </w:rPr>
              <w:t>U36</w:t>
            </w:r>
          </w:p>
        </w:tc>
        <w:tc>
          <w:tcPr>
            <w:tcW w:type="dxa" w:w="1944"/>
          </w:tcPr>
          <w:p>
            <w:pPr>
              <w:spacing w:after="40"/>
            </w:pPr>
            <w:r>
              <w:rPr>
                <w:sz w:val="15"/>
              </w:rPr>
              <w:t>LMR51450SDRRR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LMR51450SDRRR</w:t>
            </w:r>
          </w:p>
        </w:tc>
        <w:tc>
          <w:tcPr>
            <w:tcW w:type="dxa" w:w="1224"/>
          </w:tcPr>
          <w:p>
            <w:pPr>
              <w:spacing w:after="40"/>
            </w:pPr>
            <w:r>
              <w:rPr>
                <w:sz w:val="15"/>
              </w:rPr>
              <w:t>C6890985</w:t>
            </w:r>
          </w:p>
        </w:tc>
      </w:tr>
      <w:tr>
        <w:trPr>
          <w:cantSplit/>
        </w:trPr>
        <w:tc>
          <w:tcPr>
            <w:tcW w:type="dxa" w:w="1440"/>
          </w:tcPr>
          <w:p>
            <w:pPr>
              <w:spacing w:after="40"/>
            </w:pPr>
            <w:r>
              <w:rPr>
                <w:b/>
                <w:sz w:val="15"/>
              </w:rPr>
              <w:t>U40</w:t>
            </w:r>
          </w:p>
        </w:tc>
        <w:tc>
          <w:tcPr>
            <w:tcW w:type="dxa" w:w="1944"/>
          </w:tcPr>
          <w:p>
            <w:pPr>
              <w:spacing w:after="40"/>
            </w:pPr>
            <w:r>
              <w:rPr>
                <w:sz w:val="15"/>
              </w:rPr>
              <w:t>4.7uH</w:t>
            </w:r>
          </w:p>
        </w:tc>
        <w:tc>
          <w:tcPr>
            <w:tcW w:type="dxa" w:w="576"/>
          </w:tcPr>
          <w:p>
            <w:pPr>
              <w:spacing w:after="40"/>
            </w:pPr>
            <w:r>
              <w:rPr>
                <w:sz w:val="15"/>
              </w:rPr>
              <w:t>1</w:t>
            </w:r>
          </w:p>
        </w:tc>
        <w:tc>
          <w:tcPr>
            <w:tcW w:type="dxa" w:w="1656"/>
          </w:tcPr>
          <w:p>
            <w:pPr>
              <w:spacing w:after="40"/>
            </w:pPr>
            <w:r>
              <w:rPr>
                <w:sz w:val="15"/>
              </w:rPr>
              <w:t>ABC</w:t>
            </w:r>
          </w:p>
        </w:tc>
        <w:tc>
          <w:tcPr>
            <w:tcW w:type="dxa" w:w="2376"/>
          </w:tcPr>
          <w:p>
            <w:pPr>
              <w:spacing w:after="40"/>
            </w:pPr>
            <w:r>
              <w:rPr>
                <w:sz w:val="15"/>
              </w:rPr>
              <w:t>GSSM06304R7M2AU</w:t>
            </w:r>
          </w:p>
        </w:tc>
        <w:tc>
          <w:tcPr>
            <w:tcW w:type="dxa" w:w="1224"/>
          </w:tcPr>
          <w:p>
            <w:pPr>
              <w:spacing w:after="40"/>
            </w:pPr>
            <w:r>
              <w:rPr>
                <w:sz w:val="15"/>
              </w:rPr>
              <w:t>C2928306</w:t>
            </w:r>
          </w:p>
        </w:tc>
      </w:tr>
      <w:tr>
        <w:trPr>
          <w:cantSplit/>
        </w:trPr>
        <w:tc>
          <w:tcPr>
            <w:tcW w:type="dxa" w:w="1440"/>
          </w:tcPr>
          <w:p>
            <w:pPr>
              <w:spacing w:after="40"/>
            </w:pPr>
            <w:r>
              <w:rPr>
                <w:b/>
                <w:sz w:val="15"/>
              </w:rPr>
              <w:t>U41</w:t>
            </w:r>
          </w:p>
        </w:tc>
        <w:tc>
          <w:tcPr>
            <w:tcW w:type="dxa" w:w="1944"/>
          </w:tcPr>
          <w:p>
            <w:pPr>
              <w:spacing w:after="40"/>
            </w:pPr>
            <w:r>
              <w:rPr>
                <w:sz w:val="15"/>
              </w:rPr>
              <w:t>TPS61088RHLR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TPS61088RHLR</w:t>
            </w:r>
          </w:p>
        </w:tc>
        <w:tc>
          <w:tcPr>
            <w:tcW w:type="dxa" w:w="1224"/>
          </w:tcPr>
          <w:p>
            <w:pPr>
              <w:spacing w:after="40"/>
            </w:pPr>
            <w:r>
              <w:rPr>
                <w:sz w:val="15"/>
              </w:rPr>
              <w:t>C87357</w:t>
            </w:r>
          </w:p>
        </w:tc>
      </w:tr>
      <w:tr>
        <w:trPr>
          <w:cantSplit/>
        </w:trPr>
        <w:tc>
          <w:tcPr>
            <w:tcW w:type="dxa" w:w="1440"/>
          </w:tcPr>
          <w:p>
            <w:pPr>
              <w:spacing w:after="40"/>
            </w:pPr>
            <w:r>
              <w:rPr>
                <w:b/>
                <w:sz w:val="15"/>
              </w:rPr>
              <w:t>U42</w:t>
            </w:r>
          </w:p>
        </w:tc>
        <w:tc>
          <w:tcPr>
            <w:tcW w:type="dxa" w:w="1944"/>
          </w:tcPr>
          <w:p>
            <w:pPr>
              <w:spacing w:after="40"/>
            </w:pPr>
            <w:r>
              <w:rPr>
                <w:sz w:val="15"/>
              </w:rPr>
              <w:t>TPS7A0233DBVR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TPS7A0233DBVR</w:t>
            </w:r>
          </w:p>
        </w:tc>
        <w:tc>
          <w:tcPr>
            <w:tcW w:type="dxa" w:w="1224"/>
          </w:tcPr>
          <w:p>
            <w:pPr>
              <w:spacing w:after="40"/>
            </w:pPr>
            <w:r>
              <w:rPr>
                <w:sz w:val="15"/>
              </w:rPr>
              <w:t>C5142805</w:t>
            </w:r>
          </w:p>
        </w:tc>
      </w:tr>
      <w:tr>
        <w:trPr>
          <w:cantSplit/>
        </w:trPr>
        <w:tc>
          <w:tcPr>
            <w:tcW w:type="dxa" w:w="1440"/>
          </w:tcPr>
          <w:p>
            <w:pPr>
              <w:spacing w:after="40"/>
            </w:pPr>
            <w:r>
              <w:rPr>
                <w:b/>
                <w:sz w:val="15"/>
              </w:rPr>
              <w:t>U43</w:t>
            </w:r>
          </w:p>
        </w:tc>
        <w:tc>
          <w:tcPr>
            <w:tcW w:type="dxa" w:w="1944"/>
          </w:tcPr>
          <w:p>
            <w:pPr>
              <w:spacing w:after="40"/>
            </w:pPr>
            <w:r>
              <w:rPr>
                <w:sz w:val="15"/>
              </w:rPr>
              <w:t>TPS62162DSG</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TPS62162DSGR</w:t>
            </w:r>
          </w:p>
        </w:tc>
        <w:tc>
          <w:tcPr>
            <w:tcW w:type="dxa" w:w="1224"/>
          </w:tcPr>
          <w:p>
            <w:pPr>
              <w:spacing w:after="40"/>
            </w:pPr>
            <w:r>
              <w:rPr>
                <w:sz w:val="15"/>
              </w:rPr>
              <w:t>C40256</w:t>
            </w:r>
          </w:p>
        </w:tc>
      </w:tr>
      <w:tr>
        <w:trPr>
          <w:cantSplit/>
        </w:trPr>
        <w:tc>
          <w:tcPr>
            <w:tcW w:type="dxa" w:w="1440"/>
          </w:tcPr>
          <w:p>
            <w:pPr>
              <w:spacing w:after="40"/>
            </w:pPr>
            <w:r>
              <w:rPr>
                <w:b/>
                <w:sz w:val="15"/>
              </w:rPr>
              <w:t>U46</w:t>
            </w:r>
          </w:p>
        </w:tc>
        <w:tc>
          <w:tcPr>
            <w:tcW w:type="dxa" w:w="1944"/>
          </w:tcPr>
          <w:p>
            <w:pPr>
              <w:spacing w:after="40"/>
            </w:pPr>
            <w:r>
              <w:rPr>
                <w:sz w:val="15"/>
              </w:rPr>
              <w:t>TPL5010</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TPL5010DDCR</w:t>
            </w:r>
          </w:p>
        </w:tc>
        <w:tc>
          <w:tcPr>
            <w:tcW w:type="dxa" w:w="1224"/>
          </w:tcPr>
          <w:p>
            <w:pPr>
              <w:spacing w:after="40"/>
            </w:pPr>
            <w:r>
              <w:rPr>
                <w:sz w:val="15"/>
              </w:rPr>
              <w:t>C473912</w:t>
            </w:r>
          </w:p>
        </w:tc>
      </w:tr>
      <w:tr>
        <w:trPr>
          <w:cantSplit/>
        </w:trPr>
        <w:tc>
          <w:tcPr>
            <w:tcW w:type="dxa" w:w="1440"/>
          </w:tcPr>
          <w:p>
            <w:pPr>
              <w:spacing w:after="40"/>
            </w:pPr>
            <w:r>
              <w:rPr>
                <w:b/>
                <w:sz w:val="15"/>
              </w:rPr>
              <w:t>U47</w:t>
            </w:r>
          </w:p>
        </w:tc>
        <w:tc>
          <w:tcPr>
            <w:tcW w:type="dxa" w:w="1944"/>
          </w:tcPr>
          <w:p>
            <w:pPr>
              <w:spacing w:after="40"/>
            </w:pPr>
            <w:r>
              <w:rPr>
                <w:sz w:val="15"/>
              </w:rPr>
              <w:t>THVD1410DR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THVD1410DR</w:t>
            </w:r>
          </w:p>
        </w:tc>
        <w:tc>
          <w:tcPr>
            <w:tcW w:type="dxa" w:w="1224"/>
          </w:tcPr>
          <w:p>
            <w:pPr>
              <w:spacing w:after="40"/>
            </w:pPr>
            <w:r>
              <w:rPr>
                <w:sz w:val="15"/>
              </w:rPr>
              <w:t>C2671345</w:t>
            </w:r>
          </w:p>
        </w:tc>
      </w:tr>
      <w:tr>
        <w:trPr>
          <w:cantSplit/>
        </w:trPr>
        <w:tc>
          <w:tcPr>
            <w:tcW w:type="dxa" w:w="1440"/>
          </w:tcPr>
          <w:p>
            <w:pPr>
              <w:spacing w:after="40"/>
            </w:pPr>
            <w:r>
              <w:rPr>
                <w:b/>
                <w:sz w:val="15"/>
              </w:rPr>
              <w:t>U48</w:t>
            </w:r>
          </w:p>
        </w:tc>
        <w:tc>
          <w:tcPr>
            <w:tcW w:type="dxa" w:w="1944"/>
          </w:tcPr>
          <w:p>
            <w:pPr>
              <w:spacing w:after="40"/>
            </w:pPr>
            <w:r>
              <w:rPr>
                <w:sz w:val="15"/>
              </w:rPr>
              <w:t>CH340C</w:t>
            </w:r>
          </w:p>
        </w:tc>
        <w:tc>
          <w:tcPr>
            <w:tcW w:type="dxa" w:w="576"/>
          </w:tcPr>
          <w:p>
            <w:pPr>
              <w:spacing w:after="40"/>
            </w:pPr>
            <w:r>
              <w:rPr>
                <w:sz w:val="15"/>
              </w:rPr>
              <w:t>1</w:t>
            </w:r>
          </w:p>
        </w:tc>
        <w:tc>
          <w:tcPr>
            <w:tcW w:type="dxa" w:w="1656"/>
          </w:tcPr>
          <w:p>
            <w:pPr>
              <w:spacing w:after="40"/>
            </w:pPr>
            <w:r>
              <w:rPr>
                <w:sz w:val="15"/>
              </w:rPr>
              <w:t>WCH</w:t>
            </w:r>
          </w:p>
        </w:tc>
        <w:tc>
          <w:tcPr>
            <w:tcW w:type="dxa" w:w="2376"/>
          </w:tcPr>
          <w:p>
            <w:pPr>
              <w:spacing w:after="40"/>
            </w:pPr>
            <w:r>
              <w:rPr>
                <w:sz w:val="15"/>
              </w:rPr>
              <w:t>CH340C</w:t>
            </w:r>
          </w:p>
        </w:tc>
        <w:tc>
          <w:tcPr>
            <w:tcW w:type="dxa" w:w="1224"/>
          </w:tcPr>
          <w:p>
            <w:pPr>
              <w:spacing w:after="40"/>
            </w:pPr>
            <w:r>
              <w:rPr>
                <w:sz w:val="15"/>
              </w:rPr>
              <w:t>C84681</w:t>
            </w:r>
          </w:p>
        </w:tc>
      </w:tr>
      <w:tr>
        <w:trPr>
          <w:cantSplit/>
        </w:trPr>
        <w:tc>
          <w:tcPr>
            <w:tcW w:type="dxa" w:w="1440"/>
          </w:tcPr>
          <w:p>
            <w:pPr>
              <w:spacing w:after="40"/>
            </w:pPr>
            <w:r>
              <w:rPr>
                <w:b/>
                <w:sz w:val="15"/>
              </w:rPr>
              <w:t>U50</w:t>
            </w:r>
          </w:p>
        </w:tc>
        <w:tc>
          <w:tcPr>
            <w:tcW w:type="dxa" w:w="1944"/>
          </w:tcPr>
          <w:p>
            <w:pPr>
              <w:spacing w:after="40"/>
            </w:pPr>
            <w:r>
              <w:rPr>
                <w:sz w:val="15"/>
              </w:rPr>
              <w:t>casingAlGasLeak</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U51</w:t>
            </w:r>
          </w:p>
        </w:tc>
        <w:tc>
          <w:tcPr>
            <w:tcW w:type="dxa" w:w="1944"/>
          </w:tcPr>
          <w:p>
            <w:pPr>
              <w:spacing w:after="40"/>
            </w:pPr>
            <w:r>
              <w:rPr>
                <w:sz w:val="15"/>
              </w:rPr>
              <w:t>SN74AUP1G74DCUR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SN74AUP1G74DCUR</w:t>
            </w:r>
          </w:p>
        </w:tc>
        <w:tc>
          <w:tcPr>
            <w:tcW w:type="dxa" w:w="1224"/>
          </w:tcPr>
          <w:p>
            <w:pPr>
              <w:spacing w:after="40"/>
            </w:pPr>
            <w:r>
              <w:rPr>
                <w:sz w:val="15"/>
              </w:rPr>
              <w:t>C140267</w:t>
            </w:r>
          </w:p>
        </w:tc>
      </w:tr>
      <w:tr>
        <w:trPr>
          <w:cantSplit/>
        </w:trPr>
        <w:tc>
          <w:tcPr>
            <w:tcW w:type="dxa" w:w="1440"/>
          </w:tcPr>
          <w:p>
            <w:pPr>
              <w:spacing w:after="40"/>
            </w:pPr>
            <w:r>
              <w:rPr>
                <w:b/>
                <w:sz w:val="15"/>
              </w:rPr>
              <w:t>USB1</w:t>
            </w:r>
          </w:p>
        </w:tc>
        <w:tc>
          <w:tcPr>
            <w:tcW w:type="dxa" w:w="1944"/>
          </w:tcPr>
          <w:p>
            <w:pPr>
              <w:spacing w:after="40"/>
            </w:pPr>
            <w:r>
              <w:rPr>
                <w:sz w:val="15"/>
              </w:rPr>
              <w:t>U-D-M5DD-W-1</w:t>
            </w:r>
          </w:p>
        </w:tc>
        <w:tc>
          <w:tcPr>
            <w:tcW w:type="dxa" w:w="576"/>
          </w:tcPr>
          <w:p>
            <w:pPr>
              <w:spacing w:after="40"/>
            </w:pPr>
            <w:r>
              <w:rPr>
                <w:sz w:val="15"/>
              </w:rPr>
              <w:t>1</w:t>
            </w:r>
          </w:p>
        </w:tc>
        <w:tc>
          <w:tcPr>
            <w:tcW w:type="dxa" w:w="1656"/>
          </w:tcPr>
          <w:p>
            <w:pPr>
              <w:spacing w:after="40"/>
            </w:pPr>
            <w:r>
              <w:rPr>
                <w:sz w:val="15"/>
              </w:rPr>
              <w:t>韩国韩荣</w:t>
            </w:r>
          </w:p>
        </w:tc>
        <w:tc>
          <w:tcPr>
            <w:tcW w:type="dxa" w:w="2376"/>
          </w:tcPr>
          <w:p>
            <w:pPr>
              <w:spacing w:after="40"/>
            </w:pPr>
            <w:r>
              <w:rPr>
                <w:sz w:val="15"/>
              </w:rPr>
              <w:t>U-D-M5DD-W-1</w:t>
            </w:r>
          </w:p>
        </w:tc>
        <w:tc>
          <w:tcPr>
            <w:tcW w:type="dxa" w:w="1224"/>
          </w:tcPr>
          <w:p>
            <w:pPr>
              <w:spacing w:after="40"/>
            </w:pPr>
            <w:r>
              <w:rPr>
                <w:sz w:val="15"/>
              </w:rPr>
              <w:t>C145795</w:t>
            </w:r>
          </w:p>
        </w:tc>
      </w:tr>
      <w:tr>
        <w:trPr>
          <w:cantSplit/>
        </w:trPr>
        <w:tc>
          <w:tcPr>
            <w:tcW w:type="dxa" w:w="1440"/>
          </w:tcPr>
          <w:p>
            <w:pPr>
              <w:spacing w:after="40"/>
            </w:pPr>
            <w:r>
              <w:rPr>
                <w:b/>
                <w:sz w:val="15"/>
              </w:rPr>
              <w:t>C11,C53,C32,C33,C34,C35,C36,C37,C16,C17,C18,C38,C85,C79,C80</w:t>
            </w:r>
          </w:p>
        </w:tc>
        <w:tc>
          <w:tcPr>
            <w:tcW w:type="dxa" w:w="1944"/>
          </w:tcPr>
          <w:p>
            <w:pPr>
              <w:spacing w:after="40"/>
            </w:pPr>
            <w:r>
              <w:rPr>
                <w:sz w:val="15"/>
              </w:rPr>
              <w:t>10uF</w:t>
            </w:r>
          </w:p>
        </w:tc>
        <w:tc>
          <w:tcPr>
            <w:tcW w:type="dxa" w:w="576"/>
          </w:tcPr>
          <w:p>
            <w:pPr>
              <w:spacing w:after="40"/>
            </w:pPr>
            <w:r>
              <w:rPr>
                <w:sz w:val="15"/>
              </w:rPr>
              <w:t>15</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C45,C57</w:t>
            </w:r>
          </w:p>
        </w:tc>
        <w:tc>
          <w:tcPr>
            <w:tcW w:type="dxa" w:w="1944"/>
          </w:tcPr>
          <w:p>
            <w:pPr>
              <w:spacing w:after="40"/>
            </w:pPr>
            <w:r>
              <w:rPr>
                <w:sz w:val="15"/>
              </w:rPr>
              <w:t>20pF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0402CG200J500NT</w:t>
            </w:r>
          </w:p>
        </w:tc>
        <w:tc>
          <w:tcPr>
            <w:tcW w:type="dxa" w:w="1224"/>
          </w:tcPr>
          <w:p>
            <w:pPr>
              <w:spacing w:after="40"/>
            </w:pPr>
            <w:r>
              <w:rPr>
                <w:sz w:val="15"/>
              </w:rPr>
              <w:t>C1554</w:t>
            </w:r>
          </w:p>
        </w:tc>
      </w:tr>
      <w:tr>
        <w:trPr>
          <w:cantSplit/>
        </w:trPr>
        <w:tc>
          <w:tcPr>
            <w:tcW w:type="dxa" w:w="1440"/>
          </w:tcPr>
          <w:p>
            <w:pPr>
              <w:spacing w:after="40"/>
            </w:pPr>
            <w:r>
              <w:rPr>
                <w:b/>
                <w:sz w:val="15"/>
              </w:rPr>
              <w:t>C56</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Kyocera AVX</w:t>
            </w:r>
          </w:p>
        </w:tc>
        <w:tc>
          <w:tcPr>
            <w:tcW w:type="dxa" w:w="2376"/>
          </w:tcPr>
          <w:p>
            <w:pPr>
              <w:spacing w:after="40"/>
            </w:pPr>
            <w:r>
              <w:rPr>
                <w:sz w:val="15"/>
              </w:rPr>
              <w:t>TAJA226M010RNJ</w:t>
            </w:r>
          </w:p>
        </w:tc>
        <w:tc>
          <w:tcPr>
            <w:tcW w:type="dxa" w:w="1224"/>
          </w:tcPr>
          <w:p>
            <w:pPr>
              <w:spacing w:after="40"/>
            </w:pPr>
            <w:r>
              <w:rPr>
                <w:sz w:val="15"/>
              </w:rPr>
              <w:t>C7183</w:t>
            </w:r>
          </w:p>
        </w:tc>
      </w:tr>
      <w:tr>
        <w:trPr>
          <w:cantSplit/>
        </w:trPr>
        <w:tc>
          <w:tcPr>
            <w:tcW w:type="dxa" w:w="1440"/>
          </w:tcPr>
          <w:p>
            <w:pPr>
              <w:spacing w:after="40"/>
            </w:pPr>
            <w:r>
              <w:rPr>
                <w:b/>
                <w:sz w:val="15"/>
              </w:rPr>
              <w:t>R8,R9,R10,R74</w:t>
            </w:r>
          </w:p>
        </w:tc>
        <w:tc>
          <w:tcPr>
            <w:tcW w:type="dxa" w:w="1944"/>
          </w:tcPr>
          <w:p>
            <w:pPr>
              <w:spacing w:after="40"/>
            </w:pPr>
            <w:r>
              <w:rPr>
                <w:sz w:val="15"/>
              </w:rPr>
              <w:t>22Ω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0402WGF220JTCE</w:t>
            </w:r>
          </w:p>
        </w:tc>
        <w:tc>
          <w:tcPr>
            <w:tcW w:type="dxa" w:w="1224"/>
          </w:tcPr>
          <w:p>
            <w:pPr>
              <w:spacing w:after="40"/>
            </w:pPr>
            <w:r>
              <w:rPr>
                <w:sz w:val="15"/>
              </w:rPr>
              <w:t>C25092</w:t>
            </w:r>
          </w:p>
        </w:tc>
      </w:tr>
      <w:tr>
        <w:trPr>
          <w:cantSplit/>
        </w:trPr>
        <w:tc>
          <w:tcPr>
            <w:tcW w:type="dxa" w:w="1440"/>
          </w:tcPr>
          <w:p>
            <w:pPr>
              <w:spacing w:after="40"/>
            </w:pPr>
            <w:r>
              <w:rPr>
                <w:b/>
                <w:sz w:val="15"/>
              </w:rPr>
              <w:t>R11,R65,R66,R67,R68,R69,R70,R71,R72</w:t>
            </w:r>
          </w:p>
        </w:tc>
        <w:tc>
          <w:tcPr>
            <w:tcW w:type="dxa" w:w="1944"/>
          </w:tcPr>
          <w:p>
            <w:pPr>
              <w:spacing w:after="40"/>
            </w:pPr>
            <w:r>
              <w:rPr>
                <w:sz w:val="15"/>
              </w:rPr>
              <w:t>49.9Ω</w:t>
            </w:r>
          </w:p>
        </w:tc>
        <w:tc>
          <w:tcPr>
            <w:tcW w:type="dxa" w:w="576"/>
          </w:tcPr>
          <w:p>
            <w:pPr>
              <w:spacing w:after="40"/>
            </w:pPr>
            <w:r>
              <w:rPr>
                <w:sz w:val="15"/>
              </w:rPr>
              <w:t>9</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R73,R75,R77,R2,R15,R16,R17,R18,R19,R20,R21,R22,R7,R28,R29</w:t>
            </w:r>
          </w:p>
        </w:tc>
        <w:tc>
          <w:tcPr>
            <w:tcW w:type="dxa" w:w="1944"/>
          </w:tcPr>
          <w:p>
            <w:pPr>
              <w:spacing w:after="40"/>
            </w:pPr>
            <w:r>
              <w:rPr>
                <w:sz w:val="15"/>
              </w:rPr>
              <w:t>10kΩ</w:t>
            </w:r>
          </w:p>
        </w:tc>
        <w:tc>
          <w:tcPr>
            <w:tcW w:type="dxa" w:w="576"/>
          </w:tcPr>
          <w:p>
            <w:pPr>
              <w:spacing w:after="40"/>
            </w:pPr>
            <w:r>
              <w:rPr>
                <w:sz w:val="15"/>
              </w:rPr>
              <w:t>15</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R76,R5,R31</w:t>
            </w:r>
          </w:p>
        </w:tc>
        <w:tc>
          <w:tcPr>
            <w:tcW w:type="dxa" w:w="1944"/>
          </w:tcPr>
          <w:p>
            <w:pPr>
              <w:spacing w:after="40"/>
            </w:pPr>
            <w:r>
              <w:rPr>
                <w:sz w:val="15"/>
              </w:rPr>
              <w:t>1kΩ</w:t>
            </w:r>
          </w:p>
        </w:tc>
        <w:tc>
          <w:tcPr>
            <w:tcW w:type="dxa" w:w="576"/>
          </w:tcPr>
          <w:p>
            <w:pPr>
              <w:spacing w:after="40"/>
            </w:pPr>
            <w:r>
              <w:rPr>
                <w:sz w:val="15"/>
              </w:rPr>
              <w:t>3</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U2,U3</w:t>
            </w:r>
          </w:p>
        </w:tc>
        <w:tc>
          <w:tcPr>
            <w:tcW w:type="dxa" w:w="1944"/>
          </w:tcPr>
          <w:p>
            <w:pPr>
              <w:spacing w:after="40"/>
            </w:pPr>
            <w:r>
              <w:rPr>
                <w:sz w:val="15"/>
              </w:rPr>
              <w:t>OPA320AIDBVR</w:t>
            </w:r>
          </w:p>
        </w:tc>
        <w:tc>
          <w:tcPr>
            <w:tcW w:type="dxa" w:w="576"/>
          </w:tcPr>
          <w:p>
            <w:pPr>
              <w:spacing w:after="40"/>
            </w:pPr>
            <w:r>
              <w:rPr>
                <w:sz w:val="15"/>
              </w:rPr>
              <w:t>2</w:t>
            </w:r>
          </w:p>
        </w:tc>
        <w:tc>
          <w:tcPr>
            <w:tcW w:type="dxa" w:w="1656"/>
          </w:tcPr>
          <w:p>
            <w:pPr>
              <w:spacing w:after="40"/>
            </w:pPr>
            <w:r>
              <w:rPr>
                <w:sz w:val="15"/>
              </w:rPr>
              <w:t>TI</w:t>
            </w:r>
          </w:p>
        </w:tc>
        <w:tc>
          <w:tcPr>
            <w:tcW w:type="dxa" w:w="2376"/>
          </w:tcPr>
          <w:p>
            <w:pPr>
              <w:spacing w:after="40"/>
            </w:pPr>
            <w:r>
              <w:rPr>
                <w:sz w:val="15"/>
              </w:rPr>
              <w:t>OPA320AIDBVR</w:t>
            </w:r>
          </w:p>
        </w:tc>
        <w:tc>
          <w:tcPr>
            <w:tcW w:type="dxa" w:w="1224"/>
          </w:tcPr>
          <w:p>
            <w:pPr>
              <w:spacing w:after="40"/>
            </w:pPr>
            <w:r>
              <w:rPr>
                <w:sz w:val="15"/>
              </w:rPr>
              <w:t>C92494</w:t>
            </w:r>
          </w:p>
        </w:tc>
      </w:tr>
      <w:tr>
        <w:trPr>
          <w:cantSplit/>
        </w:trPr>
        <w:tc>
          <w:tcPr>
            <w:tcW w:type="dxa" w:w="1440"/>
          </w:tcPr>
          <w:p>
            <w:pPr>
              <w:spacing w:after="40"/>
            </w:pPr>
            <w:r>
              <w:rPr>
                <w:b/>
                <w:sz w:val="15"/>
              </w:rPr>
              <w:t>U33</w:t>
            </w:r>
          </w:p>
        </w:tc>
        <w:tc>
          <w:tcPr>
            <w:tcW w:type="dxa" w:w="1944"/>
          </w:tcPr>
          <w:p>
            <w:pPr>
              <w:spacing w:after="40"/>
            </w:pPr>
            <w:r>
              <w:rPr>
                <w:sz w:val="15"/>
              </w:rPr>
              <w:t>TCA9548APWR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TCA9548APWR</w:t>
            </w:r>
          </w:p>
        </w:tc>
        <w:tc>
          <w:tcPr>
            <w:tcW w:type="dxa" w:w="1224"/>
          </w:tcPr>
          <w:p>
            <w:pPr>
              <w:spacing w:after="40"/>
            </w:pPr>
            <w:r>
              <w:rPr>
                <w:sz w:val="15"/>
              </w:rPr>
              <w:t>C130026</w:t>
            </w:r>
          </w:p>
        </w:tc>
      </w:tr>
      <w:tr>
        <w:trPr>
          <w:cantSplit/>
        </w:trPr>
        <w:tc>
          <w:tcPr>
            <w:tcW w:type="dxa" w:w="1440"/>
          </w:tcPr>
          <w:p>
            <w:pPr>
              <w:spacing w:after="40"/>
            </w:pPr>
            <w:r>
              <w:rPr>
                <w:b/>
                <w:sz w:val="15"/>
              </w:rPr>
              <w:t>U35</w:t>
            </w:r>
          </w:p>
        </w:tc>
        <w:tc>
          <w:tcPr>
            <w:tcW w:type="dxa" w:w="1944"/>
          </w:tcPr>
          <w:p>
            <w:pPr>
              <w:spacing w:after="40"/>
            </w:pPr>
            <w:r>
              <w:rPr>
                <w:sz w:val="15"/>
              </w:rPr>
              <w:t>ADS1256IDBR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ADS1256IDBR</w:t>
            </w:r>
          </w:p>
        </w:tc>
        <w:tc>
          <w:tcPr>
            <w:tcW w:type="dxa" w:w="1224"/>
          </w:tcPr>
          <w:p>
            <w:pPr>
              <w:spacing w:after="40"/>
            </w:pPr>
            <w:r>
              <w:rPr>
                <w:sz w:val="15"/>
              </w:rPr>
              <w:t>C28186</w:t>
            </w:r>
          </w:p>
        </w:tc>
      </w:tr>
      <w:tr>
        <w:trPr>
          <w:cantSplit/>
        </w:trPr>
        <w:tc>
          <w:tcPr>
            <w:tcW w:type="dxa" w:w="1440"/>
          </w:tcPr>
          <w:p>
            <w:pPr>
              <w:spacing w:after="40"/>
            </w:pPr>
            <w:r>
              <w:rPr>
                <w:b/>
                <w:sz w:val="15"/>
              </w:rPr>
              <w:t>U38</w:t>
            </w:r>
          </w:p>
        </w:tc>
        <w:tc>
          <w:tcPr>
            <w:tcW w:type="dxa" w:w="1944"/>
          </w:tcPr>
          <w:p>
            <w:pPr>
              <w:spacing w:after="40"/>
            </w:pPr>
            <w:r>
              <w:rPr>
                <w:sz w:val="15"/>
              </w:rPr>
              <w:t>ADR03AKSZ-REEL7</w:t>
            </w:r>
          </w:p>
        </w:tc>
        <w:tc>
          <w:tcPr>
            <w:tcW w:type="dxa" w:w="576"/>
          </w:tcPr>
          <w:p>
            <w:pPr>
              <w:spacing w:after="40"/>
            </w:pPr>
            <w:r>
              <w:rPr>
                <w:sz w:val="15"/>
              </w:rPr>
              <w:t>1</w:t>
            </w:r>
          </w:p>
        </w:tc>
        <w:tc>
          <w:tcPr>
            <w:tcW w:type="dxa" w:w="1656"/>
          </w:tcPr>
          <w:p>
            <w:pPr>
              <w:spacing w:after="40"/>
            </w:pPr>
            <w:r>
              <w:rPr>
                <w:sz w:val="15"/>
              </w:rPr>
              <w:t>ADI</w:t>
            </w:r>
          </w:p>
        </w:tc>
        <w:tc>
          <w:tcPr>
            <w:tcW w:type="dxa" w:w="2376"/>
          </w:tcPr>
          <w:p>
            <w:pPr>
              <w:spacing w:after="40"/>
            </w:pPr>
            <w:r>
              <w:rPr>
                <w:sz w:val="15"/>
              </w:rPr>
              <w:t>ADR03AKSZ-REEL7</w:t>
            </w:r>
          </w:p>
        </w:tc>
        <w:tc>
          <w:tcPr>
            <w:tcW w:type="dxa" w:w="1224"/>
          </w:tcPr>
          <w:p>
            <w:pPr>
              <w:spacing w:after="40"/>
            </w:pPr>
            <w:r>
              <w:rPr>
                <w:sz w:val="15"/>
              </w:rPr>
              <w:t>C206683</w:t>
            </w:r>
          </w:p>
        </w:tc>
      </w:tr>
      <w:tr>
        <w:trPr>
          <w:cantSplit/>
        </w:trPr>
        <w:tc>
          <w:tcPr>
            <w:tcW w:type="dxa" w:w="1440"/>
          </w:tcPr>
          <w:p>
            <w:pPr>
              <w:spacing w:after="40"/>
            </w:pPr>
            <w:r>
              <w:rPr>
                <w:b/>
                <w:sz w:val="15"/>
              </w:rPr>
              <w:t>U39</w:t>
            </w:r>
          </w:p>
        </w:tc>
        <w:tc>
          <w:tcPr>
            <w:tcW w:type="dxa" w:w="1944"/>
          </w:tcPr>
          <w:p>
            <w:pPr>
              <w:spacing w:after="40"/>
            </w:pPr>
            <w:r>
              <w:rPr>
                <w:sz w:val="15"/>
              </w:rPr>
              <w:t>8MHz</w:t>
            </w:r>
          </w:p>
        </w:tc>
        <w:tc>
          <w:tcPr>
            <w:tcW w:type="dxa" w:w="576"/>
          </w:tcPr>
          <w:p>
            <w:pPr>
              <w:spacing w:after="40"/>
            </w:pPr>
            <w:r>
              <w:rPr>
                <w:sz w:val="15"/>
              </w:rPr>
              <w:t>1</w:t>
            </w:r>
          </w:p>
        </w:tc>
        <w:tc>
          <w:tcPr>
            <w:tcW w:type="dxa" w:w="1656"/>
          </w:tcPr>
          <w:p>
            <w:pPr>
              <w:spacing w:after="40"/>
            </w:pPr>
            <w:r>
              <w:rPr>
                <w:sz w:val="15"/>
              </w:rPr>
              <w:t>JYJE</w:t>
            </w:r>
          </w:p>
        </w:tc>
        <w:tc>
          <w:tcPr>
            <w:tcW w:type="dxa" w:w="2376"/>
          </w:tcPr>
          <w:p>
            <w:pPr>
              <w:spacing w:after="40"/>
            </w:pPr>
            <w:r>
              <w:rPr>
                <w:sz w:val="15"/>
              </w:rPr>
              <w:t>3TJ480000NYLBC</w:t>
            </w:r>
          </w:p>
        </w:tc>
        <w:tc>
          <w:tcPr>
            <w:tcW w:type="dxa" w:w="1224"/>
          </w:tcPr>
          <w:p>
            <w:pPr>
              <w:spacing w:after="40"/>
            </w:pPr>
            <w:r>
              <w:rPr>
                <w:sz w:val="15"/>
              </w:rPr>
              <w:t>C2924618</w:t>
            </w:r>
          </w:p>
        </w:tc>
      </w:tr>
      <w:tr>
        <w:trPr>
          <w:cantSplit/>
        </w:trPr>
        <w:tc>
          <w:tcPr>
            <w:tcW w:type="dxa" w:w="1440"/>
          </w:tcPr>
          <w:p>
            <w:pPr>
              <w:spacing w:after="40"/>
            </w:pPr>
            <w:r>
              <w:rPr>
                <w:b/>
                <w:sz w:val="15"/>
              </w:rPr>
              <w:t>U44</w:t>
            </w:r>
          </w:p>
        </w:tc>
        <w:tc>
          <w:tcPr>
            <w:tcW w:type="dxa" w:w="1944"/>
          </w:tcPr>
          <w:p>
            <w:pPr>
              <w:spacing w:after="40"/>
            </w:pPr>
            <w:r>
              <w:rPr>
                <w:sz w:val="15"/>
              </w:rPr>
              <w:t>SHT40-AD1B-R2</w:t>
            </w:r>
          </w:p>
        </w:tc>
        <w:tc>
          <w:tcPr>
            <w:tcW w:type="dxa" w:w="576"/>
          </w:tcPr>
          <w:p>
            <w:pPr>
              <w:spacing w:after="40"/>
            </w:pPr>
            <w:r>
              <w:rPr>
                <w:sz w:val="15"/>
              </w:rPr>
              <w:t>1</w:t>
            </w:r>
          </w:p>
        </w:tc>
        <w:tc>
          <w:tcPr>
            <w:tcW w:type="dxa" w:w="1656"/>
          </w:tcPr>
          <w:p>
            <w:pPr>
              <w:spacing w:after="40"/>
            </w:pPr>
            <w:r>
              <w:rPr>
                <w:sz w:val="15"/>
              </w:rPr>
              <w:t>Sensirion</w:t>
            </w:r>
          </w:p>
        </w:tc>
        <w:tc>
          <w:tcPr>
            <w:tcW w:type="dxa" w:w="2376"/>
          </w:tcPr>
          <w:p>
            <w:pPr>
              <w:spacing w:after="40"/>
            </w:pPr>
            <w:r>
              <w:rPr>
                <w:sz w:val="15"/>
              </w:rPr>
              <w:t>SHT40-AD1B-R2</w:t>
            </w:r>
          </w:p>
        </w:tc>
        <w:tc>
          <w:tcPr>
            <w:tcW w:type="dxa" w:w="1224"/>
          </w:tcPr>
          <w:p>
            <w:pPr>
              <w:spacing w:after="40"/>
            </w:pPr>
            <w:r>
              <w:rPr>
                <w:sz w:val="15"/>
              </w:rPr>
              <w:t>C2909890</w:t>
            </w:r>
          </w:p>
        </w:tc>
      </w:tr>
      <w:tr>
        <w:trPr>
          <w:cantSplit/>
        </w:trPr>
        <w:tc>
          <w:tcPr>
            <w:tcW w:type="dxa" w:w="1440"/>
          </w:tcPr>
          <w:p>
            <w:pPr>
              <w:spacing w:after="40"/>
            </w:pPr>
            <w:r>
              <w:rPr>
                <w:b/>
                <w:sz w:val="15"/>
              </w:rPr>
              <w:t>U45</w:t>
            </w:r>
          </w:p>
        </w:tc>
        <w:tc>
          <w:tcPr>
            <w:tcW w:type="dxa" w:w="1944"/>
          </w:tcPr>
          <w:p>
            <w:pPr>
              <w:spacing w:after="40"/>
            </w:pPr>
            <w:r>
              <w:rPr>
                <w:sz w:val="15"/>
              </w:rPr>
              <w:t>E22-900MM22S</w:t>
            </w:r>
          </w:p>
        </w:tc>
        <w:tc>
          <w:tcPr>
            <w:tcW w:type="dxa" w:w="576"/>
          </w:tcPr>
          <w:p>
            <w:pPr>
              <w:spacing w:after="40"/>
            </w:pPr>
            <w:r>
              <w:rPr>
                <w:sz w:val="15"/>
              </w:rPr>
              <w:t>1</w:t>
            </w:r>
          </w:p>
        </w:tc>
        <w:tc>
          <w:tcPr>
            <w:tcW w:type="dxa" w:w="1656"/>
          </w:tcPr>
          <w:p>
            <w:pPr>
              <w:spacing w:after="40"/>
            </w:pPr>
            <w:r>
              <w:rPr>
                <w:sz w:val="15"/>
              </w:rPr>
              <w:t>EBYTE</w:t>
            </w:r>
          </w:p>
        </w:tc>
        <w:tc>
          <w:tcPr>
            <w:tcW w:type="dxa" w:w="2376"/>
          </w:tcPr>
          <w:p>
            <w:pPr>
              <w:spacing w:after="40"/>
            </w:pPr>
            <w:r>
              <w:rPr>
                <w:sz w:val="15"/>
              </w:rPr>
              <w:t>E22-900MM22S</w:t>
            </w:r>
          </w:p>
        </w:tc>
        <w:tc>
          <w:tcPr>
            <w:tcW w:type="dxa" w:w="1224"/>
          </w:tcPr>
          <w:p>
            <w:pPr>
              <w:spacing w:after="40"/>
            </w:pPr>
            <w:r>
              <w:rPr>
                <w:sz w:val="15"/>
              </w:rPr>
              <w:t>C5333985</w:t>
            </w:r>
          </w:p>
        </w:tc>
      </w:tr>
      <w:tr>
        <w:trPr>
          <w:cantSplit/>
        </w:trPr>
        <w:tc>
          <w:tcPr>
            <w:tcW w:type="dxa" w:w="1440"/>
          </w:tcPr>
          <w:p>
            <w:pPr>
              <w:spacing w:after="40"/>
            </w:pPr>
            <w:r>
              <w:rPr>
                <w:b/>
                <w:sz w:val="15"/>
              </w:rPr>
              <w:t>U49</w:t>
            </w:r>
          </w:p>
        </w:tc>
        <w:tc>
          <w:tcPr>
            <w:tcW w:type="dxa" w:w="1944"/>
          </w:tcPr>
          <w:p>
            <w:pPr>
              <w:spacing w:after="40"/>
            </w:pPr>
            <w:r>
              <w:rPr>
                <w:sz w:val="15"/>
              </w:rPr>
              <w:t>ESP32-S3-WROOM-1U-N16R8</w:t>
            </w:r>
          </w:p>
        </w:tc>
        <w:tc>
          <w:tcPr>
            <w:tcW w:type="dxa" w:w="576"/>
          </w:tcPr>
          <w:p>
            <w:pPr>
              <w:spacing w:after="40"/>
            </w:pPr>
            <w:r>
              <w:rPr>
                <w:sz w:val="15"/>
              </w:rPr>
              <w:t>1</w:t>
            </w:r>
          </w:p>
        </w:tc>
        <w:tc>
          <w:tcPr>
            <w:tcW w:type="dxa" w:w="1656"/>
          </w:tcPr>
          <w:p>
            <w:pPr>
              <w:spacing w:after="40"/>
            </w:pPr>
            <w:r>
              <w:rPr>
                <w:sz w:val="15"/>
              </w:rPr>
              <w:t>ESPRESSIF</w:t>
            </w:r>
          </w:p>
        </w:tc>
        <w:tc>
          <w:tcPr>
            <w:tcW w:type="dxa" w:w="2376"/>
          </w:tcPr>
          <w:p>
            <w:pPr>
              <w:spacing w:after="40"/>
            </w:pPr>
            <w:r>
              <w:rPr>
                <w:sz w:val="15"/>
              </w:rPr>
              <w:t>ESP32-S3-WROOM-1U-N16R8</w:t>
            </w:r>
          </w:p>
        </w:tc>
        <w:tc>
          <w:tcPr>
            <w:tcW w:type="dxa" w:w="1224"/>
          </w:tcPr>
          <w:p>
            <w:pPr>
              <w:spacing w:after="40"/>
            </w:pPr>
            <w:r>
              <w:rPr>
                <w:sz w:val="15"/>
              </w:rPr>
              <w:t>C3013946</w:t>
            </w:r>
          </w:p>
        </w:tc>
      </w:tr>
      <w:tr>
        <w:trPr>
          <w:cantSplit/>
        </w:trPr>
        <w:tc>
          <w:tcPr>
            <w:tcW w:type="dxa" w:w="1440"/>
          </w:tcPr>
          <w:p>
            <w:pPr>
              <w:spacing w:after="40"/>
            </w:pPr>
            <w:r>
              <w:rPr>
                <w:b/>
                <w:sz w:val="15"/>
              </w:rPr>
              <w:t>U12</w:t>
            </w:r>
          </w:p>
        </w:tc>
        <w:tc>
          <w:tcPr>
            <w:tcW w:type="dxa" w:w="1944"/>
          </w:tcPr>
          <w:p>
            <w:pPr>
              <w:spacing w:after="40"/>
            </w:pPr>
            <w:r>
              <w:rPr>
                <w:sz w:val="15"/>
              </w:rPr>
              <w:t>PCF8574T/TR</w:t>
            </w:r>
          </w:p>
        </w:tc>
        <w:tc>
          <w:tcPr>
            <w:tcW w:type="dxa" w:w="576"/>
          </w:tcPr>
          <w:p>
            <w:pPr>
              <w:spacing w:after="40"/>
            </w:pPr>
            <w:r>
              <w:rPr>
                <w:sz w:val="15"/>
              </w:rPr>
              <w:t>1</w:t>
            </w:r>
          </w:p>
        </w:tc>
        <w:tc>
          <w:tcPr>
            <w:tcW w:type="dxa" w:w="1656"/>
          </w:tcPr>
          <w:p>
            <w:pPr>
              <w:spacing w:after="40"/>
            </w:pPr>
            <w:r>
              <w:rPr>
                <w:sz w:val="15"/>
              </w:rPr>
              <w:t>HGSEMI</w:t>
            </w:r>
          </w:p>
        </w:tc>
        <w:tc>
          <w:tcPr>
            <w:tcW w:type="dxa" w:w="2376"/>
          </w:tcPr>
          <w:p>
            <w:pPr>
              <w:spacing w:after="40"/>
            </w:pPr>
            <w:r>
              <w:rPr>
                <w:sz w:val="15"/>
              </w:rPr>
              <w:t>PCF8574T/TR</w:t>
            </w:r>
          </w:p>
        </w:tc>
        <w:tc>
          <w:tcPr>
            <w:tcW w:type="dxa" w:w="1224"/>
          </w:tcPr>
          <w:p>
            <w:pPr>
              <w:spacing w:after="40"/>
            </w:pPr>
            <w:r>
              <w:rPr>
                <w:sz w:val="15"/>
              </w:rPr>
              <w:t>C2987288</w:t>
            </w:r>
          </w:p>
        </w:tc>
      </w:tr>
      <w:tr>
        <w:trPr>
          <w:cantSplit/>
        </w:trPr>
        <w:tc>
          <w:tcPr>
            <w:tcW w:type="dxa" w:w="1440"/>
          </w:tcPr>
          <w:p>
            <w:pPr>
              <w:spacing w:after="40"/>
            </w:pPr>
            <w:r>
              <w:rPr>
                <w:b/>
                <w:sz w:val="15"/>
              </w:rPr>
              <w:t>R13</w:t>
            </w:r>
          </w:p>
        </w:tc>
        <w:tc>
          <w:tcPr>
            <w:tcW w:type="dxa" w:w="1944"/>
          </w:tcPr>
          <w:p>
            <w:pPr>
              <w:spacing w:after="40"/>
            </w:pPr>
            <w:r>
              <w:rPr>
                <w:sz w:val="15"/>
              </w:rPr>
              <w:t>16kΩ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0402WGF1602TCE</w:t>
            </w:r>
          </w:p>
        </w:tc>
        <w:tc>
          <w:tcPr>
            <w:tcW w:type="dxa" w:w="1224"/>
          </w:tcPr>
          <w:p>
            <w:pPr>
              <w:spacing w:after="40"/>
            </w:pPr>
            <w:r>
              <w:rPr>
                <w:sz w:val="15"/>
              </w:rPr>
              <w:t>C25759</w:t>
            </w:r>
          </w:p>
        </w:tc>
      </w:tr>
      <w:tr>
        <w:trPr>
          <w:cantSplit/>
        </w:trPr>
        <w:tc>
          <w:tcPr>
            <w:tcW w:type="dxa" w:w="1440"/>
          </w:tcPr>
          <w:p>
            <w:pPr>
              <w:spacing w:after="40"/>
            </w:pPr>
            <w:r>
              <w:rPr>
                <w:b/>
                <w:sz w:val="15"/>
              </w:rPr>
              <w:t>R14</w:t>
            </w:r>
          </w:p>
        </w:tc>
        <w:tc>
          <w:tcPr>
            <w:tcW w:type="dxa" w:w="1944"/>
          </w:tcPr>
          <w:p>
            <w:pPr>
              <w:spacing w:after="40"/>
            </w:pPr>
            <w:r>
              <w:rPr>
                <w:sz w:val="15"/>
              </w:rPr>
              <w:t>4.99kΩ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RC0402FR-074K99L</w:t>
            </w:r>
          </w:p>
        </w:tc>
        <w:tc>
          <w:tcPr>
            <w:tcW w:type="dxa" w:w="1224"/>
          </w:tcPr>
          <w:p>
            <w:pPr>
              <w:spacing w:after="40"/>
            </w:pPr>
            <w:r>
              <w:rPr>
                <w:sz w:val="15"/>
              </w:rPr>
              <w:t>C137965</w:t>
            </w:r>
          </w:p>
        </w:tc>
      </w:tr>
      <w:tr>
        <w:trPr>
          <w:cantSplit/>
        </w:trPr>
        <w:tc>
          <w:tcPr>
            <w:tcW w:type="dxa" w:w="1440"/>
          </w:tcPr>
          <w:p>
            <w:pPr>
              <w:spacing w:after="40"/>
            </w:pPr>
            <w:r>
              <w:rPr>
                <w:b/>
                <w:sz w:val="15"/>
              </w:rPr>
              <w:t>U13</w:t>
            </w:r>
          </w:p>
        </w:tc>
        <w:tc>
          <w:tcPr>
            <w:tcW w:type="dxa" w:w="1944"/>
          </w:tcPr>
          <w:p>
            <w:pPr>
              <w:spacing w:after="40"/>
            </w:pPr>
            <w:r>
              <w:rPr>
                <w:sz w:val="15"/>
              </w:rPr>
              <w:t>TPS2116DRLR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TPS2116DRLR</w:t>
            </w:r>
          </w:p>
        </w:tc>
        <w:tc>
          <w:tcPr>
            <w:tcW w:type="dxa" w:w="1224"/>
          </w:tcPr>
          <w:p>
            <w:pPr>
              <w:spacing w:after="40"/>
            </w:pPr>
            <w:r>
              <w:rPr>
                <w:sz w:val="15"/>
              </w:rPr>
              <w:t>C3235557</w:t>
            </w:r>
          </w:p>
        </w:tc>
      </w:tr>
      <w:tr>
        <w:trPr>
          <w:cantSplit/>
        </w:trPr>
        <w:tc>
          <w:tcPr>
            <w:tcW w:type="dxa" w:w="1440"/>
          </w:tcPr>
          <w:p>
            <w:pPr>
              <w:spacing w:after="40"/>
            </w:pPr>
            <w:r>
              <w:rPr>
                <w:b/>
                <w:sz w:val="15"/>
              </w:rPr>
              <w:t>U14</w:t>
            </w:r>
          </w:p>
        </w:tc>
        <w:tc>
          <w:tcPr>
            <w:tcW w:type="dxa" w:w="1944"/>
          </w:tcPr>
          <w:p>
            <w:pPr>
              <w:spacing w:after="40"/>
            </w:pPr>
            <w:r>
              <w:rPr>
                <w:sz w:val="15"/>
              </w:rPr>
              <w:t>TPS22964CYZPR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TPS22964CYZPR</w:t>
            </w:r>
          </w:p>
        </w:tc>
        <w:tc>
          <w:tcPr>
            <w:tcW w:type="dxa" w:w="1224"/>
          </w:tcPr>
          <w:p>
            <w:pPr>
              <w:spacing w:after="40"/>
            </w:pPr>
            <w:r>
              <w:rPr>
                <w:sz w:val="15"/>
              </w:rPr>
              <w:t>C431579</w:t>
            </w:r>
          </w:p>
        </w:tc>
      </w:tr>
      <w:tr>
        <w:trPr>
          <w:cantSplit/>
        </w:trPr>
        <w:tc>
          <w:tcPr>
            <w:tcW w:type="dxa" w:w="1440"/>
          </w:tcPr>
          <w:p>
            <w:pPr>
              <w:spacing w:after="40"/>
            </w:pPr>
            <w:r>
              <w:rPr>
                <w:b/>
                <w:sz w:val="15"/>
              </w:rPr>
              <w:t>U15</w:t>
            </w:r>
          </w:p>
        </w:tc>
        <w:tc>
          <w:tcPr>
            <w:tcW w:type="dxa" w:w="1944"/>
          </w:tcPr>
          <w:p>
            <w:pPr>
              <w:spacing w:after="40"/>
            </w:pPr>
            <w:r>
              <w:rPr>
                <w:sz w:val="15"/>
              </w:rPr>
              <w:t>SN74LVC1G06DCKR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SN74LVC1G06DCKR</w:t>
            </w:r>
          </w:p>
        </w:tc>
        <w:tc>
          <w:tcPr>
            <w:tcW w:type="dxa" w:w="1224"/>
          </w:tcPr>
          <w:p>
            <w:pPr>
              <w:spacing w:after="40"/>
            </w:pPr>
            <w:r>
              <w:rPr>
                <w:sz w:val="15"/>
              </w:rPr>
              <w:t>C7828</w:t>
            </w:r>
          </w:p>
        </w:tc>
      </w:tr>
      <w:tr>
        <w:trPr>
          <w:cantSplit/>
        </w:trPr>
        <w:tc>
          <w:tcPr>
            <w:tcW w:type="dxa" w:w="1440"/>
          </w:tcPr>
          <w:p>
            <w:pPr>
              <w:spacing w:after="40"/>
            </w:pPr>
            <w:r>
              <w:rPr>
                <w:b/>
                <w:sz w:val="15"/>
              </w:rPr>
              <w:t>U16</w:t>
            </w:r>
          </w:p>
        </w:tc>
        <w:tc>
          <w:tcPr>
            <w:tcW w:type="dxa" w:w="1944"/>
          </w:tcPr>
          <w:p>
            <w:pPr>
              <w:spacing w:after="40"/>
            </w:pPr>
            <w:r>
              <w:rPr>
                <w:sz w:val="15"/>
              </w:rPr>
              <w:t>TPS3839K33DBZR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TPS3839K33DBZR</w:t>
            </w:r>
          </w:p>
        </w:tc>
        <w:tc>
          <w:tcPr>
            <w:tcW w:type="dxa" w:w="1224"/>
          </w:tcPr>
          <w:p>
            <w:pPr>
              <w:spacing w:after="40"/>
            </w:pPr>
            <w:r>
              <w:rPr>
                <w:sz w:val="15"/>
              </w:rPr>
              <w:t>C96333</w:t>
            </w:r>
          </w:p>
        </w:tc>
      </w:tr>
      <w:tr>
        <w:trPr>
          <w:cantSplit/>
        </w:trPr>
        <w:tc>
          <w:tcPr>
            <w:tcW w:type="dxa" w:w="1440"/>
          </w:tcPr>
          <w:p>
            <w:pPr>
              <w:spacing w:after="40"/>
            </w:pPr>
            <w:r>
              <w:rPr>
                <w:b/>
                <w:sz w:val="15"/>
              </w:rPr>
              <w:t>C9</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C2012X5R1V226MT000E</w:t>
            </w:r>
          </w:p>
        </w:tc>
        <w:tc>
          <w:tcPr>
            <w:tcW w:type="dxa" w:w="1224"/>
          </w:tcPr>
          <w:p>
            <w:pPr>
              <w:spacing w:after="40"/>
            </w:pPr>
            <w:r>
              <w:rPr>
                <w:sz w:val="15"/>
              </w:rPr>
              <w:t>C338080</w:t>
            </w:r>
          </w:p>
        </w:tc>
      </w:tr>
      <w:tr>
        <w:trPr>
          <w:cantSplit/>
        </w:trPr>
        <w:tc>
          <w:tcPr>
            <w:tcW w:type="dxa" w:w="1440"/>
          </w:tcPr>
          <w:p>
            <w:pPr>
              <w:spacing w:after="40"/>
            </w:pPr>
            <w:r>
              <w:rPr>
                <w:b/>
                <w:sz w:val="15"/>
              </w:rPr>
              <w:t>R23,R24,R25,R1,R26,R27,R4,R30,R12,R40,R41,R43</w:t>
            </w:r>
          </w:p>
        </w:tc>
        <w:tc>
          <w:tcPr>
            <w:tcW w:type="dxa" w:w="1944"/>
          </w:tcPr>
          <w:p>
            <w:pPr>
              <w:spacing w:after="40"/>
            </w:pPr>
            <w:r>
              <w:rPr>
                <w:sz w:val="15"/>
              </w:rPr>
              <w:t>100kΩ</w:t>
            </w:r>
          </w:p>
        </w:tc>
        <w:tc>
          <w:tcPr>
            <w:tcW w:type="dxa" w:w="576"/>
          </w:tcPr>
          <w:p>
            <w:pPr>
              <w:spacing w:after="40"/>
            </w:pPr>
            <w:r>
              <w:rPr>
                <w:sz w:val="15"/>
              </w:rPr>
              <w:t>12</w:t>
            </w:r>
          </w:p>
        </w:tc>
        <w:tc>
          <w:tcPr>
            <w:tcW w:type="dxa" w:w="1656"/>
          </w:tcPr>
          <w:p>
            <w:pPr>
              <w:spacing w:after="40"/>
            </w:pPr>
            <w:r>
              <w:rPr>
                <w:sz w:val="15"/>
              </w:rPr>
              <w:t>UNI-ROYAL</w:t>
            </w:r>
          </w:p>
        </w:tc>
        <w:tc>
          <w:tcPr>
            <w:tcW w:type="dxa" w:w="2376"/>
          </w:tcPr>
          <w:p>
            <w:pPr>
              <w:spacing w:after="40"/>
            </w:pPr>
            <w:r>
              <w:rPr>
                <w:sz w:val="15"/>
              </w:rPr>
              <w:t>0402WGF1003TCE</w:t>
            </w:r>
          </w:p>
        </w:tc>
        <w:tc>
          <w:tcPr>
            <w:tcW w:type="dxa" w:w="1224"/>
          </w:tcPr>
          <w:p>
            <w:pPr>
              <w:spacing w:after="40"/>
            </w:pPr>
            <w:r>
              <w:rPr>
                <w:sz w:val="15"/>
              </w:rPr>
              <w:t>C25741</w:t>
            </w:r>
          </w:p>
        </w:tc>
      </w:tr>
      <w:tr>
        <w:trPr>
          <w:cantSplit/>
        </w:trPr>
        <w:tc>
          <w:tcPr>
            <w:tcW w:type="dxa" w:w="1440"/>
          </w:tcPr>
          <w:p>
            <w:pPr>
              <w:spacing w:after="40"/>
            </w:pPr>
            <w:r>
              <w:rPr>
                <w:b/>
                <w:sz w:val="15"/>
              </w:rPr>
              <w:t>R32</w:t>
            </w:r>
          </w:p>
        </w:tc>
        <w:tc>
          <w:tcPr>
            <w:tcW w:type="dxa" w:w="1944"/>
          </w:tcPr>
          <w:p>
            <w:pPr>
              <w:spacing w:after="40"/>
            </w:pPr>
            <w:r>
              <w:rPr>
                <w:sz w:val="15"/>
              </w:rPr>
              <w:t>200kΩ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0402WGF2003TCE</w:t>
            </w:r>
          </w:p>
        </w:tc>
        <w:tc>
          <w:tcPr>
            <w:tcW w:type="dxa" w:w="1224"/>
          </w:tcPr>
          <w:p>
            <w:pPr>
              <w:spacing w:after="40"/>
            </w:pPr>
            <w:r>
              <w:rPr>
                <w:sz w:val="15"/>
              </w:rPr>
              <w:t>C25764</w:t>
            </w:r>
          </w:p>
        </w:tc>
      </w:tr>
      <w:tr>
        <w:trPr>
          <w:cantSplit/>
        </w:trPr>
        <w:tc>
          <w:tcPr>
            <w:tcW w:type="dxa" w:w="1440"/>
          </w:tcPr>
          <w:p>
            <w:pPr>
              <w:spacing w:after="40"/>
            </w:pPr>
            <w:r>
              <w:rPr>
                <w:b/>
                <w:sz w:val="15"/>
              </w:rPr>
              <w:t>C39,C40,C62,C63,C64,C67,C68,C5</w:t>
            </w:r>
          </w:p>
        </w:tc>
        <w:tc>
          <w:tcPr>
            <w:tcW w:type="dxa" w:w="1944"/>
          </w:tcPr>
          <w:p>
            <w:pPr>
              <w:spacing w:after="40"/>
            </w:pPr>
            <w:r>
              <w:rPr>
                <w:sz w:val="15"/>
              </w:rPr>
              <w:t>22uF</w:t>
            </w:r>
          </w:p>
        </w:tc>
        <w:tc>
          <w:tcPr>
            <w:tcW w:type="dxa" w:w="576"/>
          </w:tcPr>
          <w:p>
            <w:pPr>
              <w:spacing w:after="40"/>
            </w:pPr>
            <w:r>
              <w:rPr>
                <w:sz w:val="15"/>
              </w:rPr>
              <w:t>8</w:t>
            </w:r>
          </w:p>
        </w:tc>
        <w:tc>
          <w:tcPr>
            <w:tcW w:type="dxa" w:w="1656"/>
          </w:tcPr>
          <w:p>
            <w:pPr>
              <w:spacing w:after="40"/>
            </w:pPr>
            <w:r>
              <w:rPr>
                <w:sz w:val="15"/>
              </w:rPr>
              <w:t>TAIYO YUDEN</w:t>
            </w:r>
          </w:p>
        </w:tc>
        <w:tc>
          <w:tcPr>
            <w:tcW w:type="dxa" w:w="2376"/>
          </w:tcPr>
          <w:p>
            <w:pPr>
              <w:spacing w:after="40"/>
            </w:pPr>
            <w:r>
              <w:rPr>
                <w:sz w:val="15"/>
              </w:rPr>
              <w:t>JDK105CBJ226MV-F</w:t>
            </w:r>
          </w:p>
        </w:tc>
        <w:tc>
          <w:tcPr>
            <w:tcW w:type="dxa" w:w="1224"/>
          </w:tcPr>
          <w:p>
            <w:pPr>
              <w:spacing w:after="40"/>
            </w:pPr>
            <w:r>
              <w:rPr>
                <w:sz w:val="15"/>
              </w:rPr>
              <w:t>C385994</w:t>
            </w:r>
          </w:p>
        </w:tc>
      </w:tr>
      <w:tr>
        <w:trPr>
          <w:cantSplit/>
        </w:trPr>
        <w:tc>
          <w:tcPr>
            <w:tcW w:type="dxa" w:w="1440"/>
          </w:tcPr>
          <w:p>
            <w:pPr>
              <w:spacing w:after="40"/>
            </w:pPr>
            <w:r>
              <w:rPr>
                <w:b/>
                <w:sz w:val="15"/>
              </w:rPr>
              <w:t>C71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CL05A105KA5NQNC</w:t>
            </w:r>
          </w:p>
        </w:tc>
        <w:tc>
          <w:tcPr>
            <w:tcW w:type="dxa" w:w="1224"/>
          </w:tcPr>
          <w:p>
            <w:pPr>
              <w:spacing w:after="40"/>
            </w:pPr>
            <w:r>
              <w:rPr>
                <w:sz w:val="15"/>
              </w:rPr>
              <w:t>C52923</w:t>
            </w:r>
          </w:p>
        </w:tc>
      </w:tr>
      <w:tr>
        <w:trPr>
          <w:cantSplit/>
        </w:trPr>
        <w:tc>
          <w:tcPr>
            <w:tcW w:type="dxa" w:w="1440"/>
          </w:tcPr>
          <w:p>
            <w:pPr>
              <w:spacing w:after="40"/>
            </w:pPr>
            <w:r>
              <w:rPr>
                <w:b/>
                <w:sz w:val="15"/>
              </w:rPr>
              <w:t>R33,R37,R38,R39</w:t>
            </w:r>
          </w:p>
        </w:tc>
        <w:tc>
          <w:tcPr>
            <w:tcW w:type="dxa" w:w="1944"/>
          </w:tcPr>
          <w:p>
            <w:pPr>
              <w:spacing w:after="40"/>
            </w:pPr>
            <w:r>
              <w:rPr>
                <w:sz w:val="15"/>
              </w:rPr>
              <w:t>0Ω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0402WGF0000TCE</w:t>
            </w:r>
          </w:p>
        </w:tc>
        <w:tc>
          <w:tcPr>
            <w:tcW w:type="dxa" w:w="1224"/>
          </w:tcPr>
          <w:p>
            <w:pPr>
              <w:spacing w:after="40"/>
            </w:pPr>
            <w:r>
              <w:rPr>
                <w:sz w:val="15"/>
              </w:rPr>
              <w:t>C17168</w:t>
            </w:r>
          </w:p>
        </w:tc>
      </w:tr>
      <w:tr>
        <w:trPr>
          <w:cantSplit/>
        </w:trPr>
        <w:tc>
          <w:tcPr>
            <w:tcW w:type="dxa" w:w="1440"/>
          </w:tcPr>
          <w:p>
            <w:pPr>
              <w:spacing w:after="40"/>
            </w:pPr>
            <w:r>
              <w:rPr>
                <w:b/>
                <w:sz w:val="15"/>
              </w:rPr>
              <w:t>C74</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CL05A225MQ5NSNC</w:t>
            </w:r>
          </w:p>
        </w:tc>
        <w:tc>
          <w:tcPr>
            <w:tcW w:type="dxa" w:w="1224"/>
          </w:tcPr>
          <w:p>
            <w:pPr>
              <w:spacing w:after="40"/>
            </w:pPr>
            <w:r>
              <w:rPr>
                <w:sz w:val="15"/>
              </w:rPr>
              <w:t>C12530</w:t>
            </w:r>
          </w:p>
        </w:tc>
      </w:tr>
      <w:tr>
        <w:trPr>
          <w:cantSplit/>
        </w:trPr>
        <w:tc>
          <w:tcPr>
            <w:tcW w:type="dxa" w:w="1440"/>
          </w:tcPr>
          <w:p>
            <w:pPr>
              <w:spacing w:after="40"/>
            </w:pPr>
            <w:r>
              <w:rPr>
                <w:b/>
                <w:sz w:val="15"/>
              </w:rPr>
              <w:t>C75,C76</w:t>
            </w:r>
          </w:p>
        </w:tc>
        <w:tc>
          <w:tcPr>
            <w:tcW w:type="dxa" w:w="1944"/>
          </w:tcPr>
          <w:p>
            <w:pPr>
              <w:spacing w:after="40"/>
            </w:pPr>
            <w:r>
              <w:rPr>
                <w:sz w:val="15"/>
              </w:rPr>
              <w:t>47nF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0402B473K500NT</w:t>
            </w:r>
          </w:p>
        </w:tc>
        <w:tc>
          <w:tcPr>
            <w:tcW w:type="dxa" w:w="1224"/>
          </w:tcPr>
          <w:p>
            <w:pPr>
              <w:spacing w:after="40"/>
            </w:pPr>
            <w:r>
              <w:rPr>
                <w:sz w:val="15"/>
              </w:rPr>
              <w:t>C82219</w:t>
            </w:r>
          </w:p>
        </w:tc>
      </w:tr>
      <w:tr>
        <w:trPr>
          <w:cantSplit/>
        </w:trPr>
        <w:tc>
          <w:tcPr>
            <w:tcW w:type="dxa" w:w="1440"/>
          </w:tcPr>
          <w:p>
            <w:pPr>
              <w:spacing w:after="40"/>
            </w:pPr>
            <w:r>
              <w:rPr>
                <w:b/>
                <w:sz w:val="15"/>
              </w:rPr>
              <w:t>R34</w:t>
            </w:r>
          </w:p>
        </w:tc>
        <w:tc>
          <w:tcPr>
            <w:tcW w:type="dxa" w:w="1944"/>
          </w:tcPr>
          <w:p>
            <w:pPr>
              <w:spacing w:after="40"/>
            </w:pPr>
            <w:r>
              <w:rPr>
                <w:sz w:val="15"/>
              </w:rPr>
              <w:t>255kΩ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AC0402DR-07255KL</w:t>
            </w:r>
          </w:p>
        </w:tc>
        <w:tc>
          <w:tcPr>
            <w:tcW w:type="dxa" w:w="1224"/>
          </w:tcPr>
          <w:p>
            <w:pPr>
              <w:spacing w:after="40"/>
            </w:pPr>
            <w:r>
              <w:rPr>
                <w:sz w:val="15"/>
              </w:rPr>
              <w:t>C226702</w:t>
            </w:r>
          </w:p>
        </w:tc>
      </w:tr>
      <w:tr>
        <w:trPr>
          <w:cantSplit/>
        </w:trPr>
        <w:tc>
          <w:tcPr>
            <w:tcW w:type="dxa" w:w="1440"/>
          </w:tcPr>
          <w:p>
            <w:pPr>
              <w:spacing w:after="40"/>
            </w:pPr>
            <w:r>
              <w:rPr>
                <w:b/>
                <w:sz w:val="15"/>
              </w:rPr>
              <w:t>R35</w:t>
            </w:r>
          </w:p>
        </w:tc>
        <w:tc>
          <w:tcPr>
            <w:tcW w:type="dxa" w:w="1944"/>
          </w:tcPr>
          <w:p>
            <w:pPr>
              <w:spacing w:after="40"/>
            </w:pPr>
            <w:r>
              <w:rPr>
                <w:sz w:val="15"/>
              </w:rPr>
              <w:t>43kΩ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0603WAF4302T5E</w:t>
            </w:r>
          </w:p>
        </w:tc>
        <w:tc>
          <w:tcPr>
            <w:tcW w:type="dxa" w:w="1224"/>
          </w:tcPr>
          <w:p>
            <w:pPr>
              <w:spacing w:after="40"/>
            </w:pPr>
            <w:r>
              <w:rPr>
                <w:sz w:val="15"/>
              </w:rPr>
              <w:t>C23172</w:t>
            </w:r>
          </w:p>
        </w:tc>
      </w:tr>
      <w:tr>
        <w:trPr>
          <w:cantSplit/>
        </w:trPr>
        <w:tc>
          <w:tcPr>
            <w:tcW w:type="dxa" w:w="1440"/>
          </w:tcPr>
          <w:p>
            <w:pPr>
              <w:spacing w:after="40"/>
            </w:pPr>
            <w:r>
              <w:rPr>
                <w:b/>
                <w:sz w:val="15"/>
              </w:rPr>
              <w:t>C77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FH</w:t>
            </w:r>
          </w:p>
        </w:tc>
        <w:tc>
          <w:tcPr>
            <w:tcW w:type="dxa" w:w="2376"/>
          </w:tcPr>
          <w:p>
            <w:pPr>
              <w:spacing w:after="40"/>
            </w:pPr>
            <w:r>
              <w:rPr>
                <w:sz w:val="15"/>
              </w:rPr>
              <w:t>0402B472K500NT</w:t>
            </w:r>
          </w:p>
        </w:tc>
        <w:tc>
          <w:tcPr>
            <w:tcW w:type="dxa" w:w="1224"/>
          </w:tcPr>
          <w:p>
            <w:pPr>
              <w:spacing w:after="40"/>
            </w:pPr>
            <w:r>
              <w:rPr>
                <w:sz w:val="15"/>
              </w:rPr>
              <w:t>C1538</w:t>
            </w:r>
          </w:p>
        </w:tc>
      </w:tr>
      <w:tr>
        <w:trPr>
          <w:cantSplit/>
        </w:trPr>
        <w:tc>
          <w:tcPr>
            <w:tcW w:type="dxa" w:w="1440"/>
          </w:tcPr>
          <w:p>
            <w:pPr>
              <w:spacing w:after="40"/>
            </w:pPr>
            <w:r>
              <w:rPr>
                <w:b/>
                <w:sz w:val="15"/>
              </w:rPr>
              <w:t>D8,D9</w:t>
            </w:r>
          </w:p>
        </w:tc>
        <w:tc>
          <w:tcPr>
            <w:tcW w:type="dxa" w:w="1944"/>
          </w:tcPr>
          <w:p>
            <w:pPr>
              <w:spacing w:after="40"/>
            </w:pPr>
            <w:r>
              <w:rPr>
                <w:sz w:val="15"/>
              </w:rPr>
              <w:t>SS14</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SS14</w:t>
            </w:r>
          </w:p>
        </w:tc>
        <w:tc>
          <w:tcPr>
            <w:tcW w:type="dxa" w:w="1224"/>
          </w:tcPr>
          <w:p>
            <w:pPr>
              <w:spacing w:after="40"/>
            </w:pPr>
            <w:r>
              <w:rPr>
                <w:sz w:val="15"/>
              </w:rPr>
              <w:t>C2480</w:t>
            </w:r>
          </w:p>
        </w:tc>
      </w:tr>
      <w:tr>
        <w:trPr>
          <w:cantSplit/>
        </w:trPr>
        <w:tc>
          <w:tcPr>
            <w:tcW w:type="dxa" w:w="1440"/>
          </w:tcPr>
          <w:p>
            <w:pPr>
              <w:spacing w:after="40"/>
            </w:pPr>
            <w:r>
              <w:rPr>
                <w:b/>
                <w:sz w:val="15"/>
              </w:rPr>
              <w:t>J2</w:t>
            </w:r>
          </w:p>
        </w:tc>
        <w:tc>
          <w:tcPr>
            <w:tcW w:type="dxa" w:w="1944"/>
          </w:tcPr>
          <w:p>
            <w:pPr>
              <w:spacing w:after="40"/>
            </w:pPr>
            <w:r>
              <w:rPr>
                <w:sz w:val="15"/>
              </w:rPr>
              <w:t>ALARM</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C124375</w:t>
            </w:r>
          </w:p>
        </w:tc>
      </w:tr>
      <w:tr>
        <w:trPr>
          <w:cantSplit/>
        </w:trPr>
        <w:tc>
          <w:tcPr>
            <w:tcW w:type="dxa" w:w="1440"/>
          </w:tcPr>
          <w:p>
            <w:pPr>
              <w:spacing w:after="40"/>
            </w:pPr>
            <w:r>
              <w:rPr>
                <w:b/>
                <w:sz w:val="15"/>
              </w:rPr>
              <w:t>Q4,Q5</w:t>
            </w:r>
          </w:p>
        </w:tc>
        <w:tc>
          <w:tcPr>
            <w:tcW w:type="dxa" w:w="1944"/>
          </w:tcPr>
          <w:p>
            <w:pPr>
              <w:spacing w:after="40"/>
            </w:pPr>
            <w:r>
              <w:rPr>
                <w:sz w:val="15"/>
              </w:rPr>
              <w:t>AO3400A</w:t>
            </w:r>
          </w:p>
        </w:tc>
        <w:tc>
          <w:tcPr>
            <w:tcW w:type="dxa" w:w="576"/>
          </w:tcPr>
          <w:p>
            <w:pPr>
              <w:spacing w:after="40"/>
            </w:pPr>
            <w:r>
              <w:rPr>
                <w:sz w:val="15"/>
              </w:rPr>
              <w:t>2</w:t>
            </w:r>
          </w:p>
        </w:tc>
        <w:tc>
          <w:tcPr>
            <w:tcW w:type="dxa" w:w="1656"/>
          </w:tcPr>
          <w:p>
            <w:pPr>
              <w:spacing w:after="40"/>
            </w:pPr>
            <w:r>
              <w:rPr>
                <w:sz w:val="15"/>
              </w:rPr>
              <w:t>AOS</w:t>
            </w:r>
          </w:p>
        </w:tc>
        <w:tc>
          <w:tcPr>
            <w:tcW w:type="dxa" w:w="2376"/>
          </w:tcPr>
          <w:p>
            <w:pPr>
              <w:spacing w:after="40"/>
            </w:pPr>
            <w:r>
              <w:rPr>
                <w:sz w:val="15"/>
              </w:rPr>
              <w:t>AO3400A</w:t>
            </w:r>
          </w:p>
        </w:tc>
        <w:tc>
          <w:tcPr>
            <w:tcW w:type="dxa" w:w="1224"/>
          </w:tcPr>
          <w:p>
            <w:pPr>
              <w:spacing w:after="40"/>
            </w:pPr>
            <w:r>
              <w:rPr>
                <w:sz w:val="15"/>
              </w:rPr>
              <w:t>C20917</w:t>
            </w:r>
          </w:p>
        </w:tc>
      </w:tr>
      <w:tr>
        <w:trPr>
          <w:cantSplit/>
        </w:trPr>
        <w:tc>
          <w:tcPr>
            <w:tcW w:type="dxa" w:w="1440"/>
          </w:tcPr>
          <w:p>
            <w:pPr>
              <w:spacing w:after="40"/>
            </w:pPr>
            <w:r>
              <w:rPr>
                <w:b/>
                <w:sz w:val="15"/>
              </w:rPr>
              <w:t>R94,R42</w:t>
            </w:r>
          </w:p>
        </w:tc>
        <w:tc>
          <w:tcPr>
            <w:tcW w:type="dxa" w:w="1944"/>
          </w:tcPr>
          <w:p>
            <w:pPr>
              <w:spacing w:after="40"/>
            </w:pPr>
            <w:r>
              <w:rPr>
                <w:sz w:val="15"/>
              </w:rPr>
              <w:t>100Ω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0402WGF1000TCE</w:t>
            </w:r>
          </w:p>
        </w:tc>
        <w:tc>
          <w:tcPr>
            <w:tcW w:type="dxa" w:w="1224"/>
          </w:tcPr>
          <w:p>
            <w:pPr>
              <w:spacing w:after="40"/>
            </w:pPr>
            <w:r>
              <w:rPr>
                <w:sz w:val="15"/>
              </w:rPr>
              <w:t>C25076</w:t>
            </w:r>
          </w:p>
        </w:tc>
      </w:tr>
      <w:tr>
        <w:trPr>
          <w:cantSplit/>
        </w:trPr>
        <w:tc>
          <w:tcPr>
            <w:tcW w:type="dxa" w:w="1440"/>
          </w:tcPr>
          <w:p>
            <w:pPr>
              <w:spacing w:after="40"/>
            </w:pPr>
            <w:r>
              <w:rPr>
                <w:b/>
                <w:sz w:val="15"/>
              </w:rPr>
              <w:t>H2,H1,H3,H4,H5,H6,H7,H8</w:t>
            </w:r>
          </w:p>
        </w:tc>
        <w:tc>
          <w:tcPr>
            <w:tcW w:type="dxa" w:w="1944"/>
          </w:tcPr>
          <w:p>
            <w:pPr>
              <w:spacing w:after="40"/>
            </w:pPr>
            <w:r>
              <w:rPr>
                <w:sz w:val="15"/>
              </w:rPr>
              <w:t>X1321WVS-2X04J-C40D53</w:t>
            </w:r>
          </w:p>
        </w:tc>
        <w:tc>
          <w:tcPr>
            <w:tcW w:type="dxa" w:w="576"/>
          </w:tcPr>
          <w:p>
            <w:pPr>
              <w:spacing w:after="40"/>
            </w:pPr>
            <w:r>
              <w:rPr>
                <w:sz w:val="15"/>
              </w:rPr>
              <w:t>8</w:t>
            </w:r>
          </w:p>
        </w:tc>
        <w:tc>
          <w:tcPr>
            <w:tcW w:type="dxa" w:w="1656"/>
          </w:tcPr>
          <w:p>
            <w:pPr>
              <w:spacing w:after="40"/>
            </w:pPr>
            <w:r>
              <w:rPr>
                <w:sz w:val="15"/>
              </w:rPr>
              <w:t>XKB Connection</w:t>
            </w:r>
          </w:p>
        </w:tc>
        <w:tc>
          <w:tcPr>
            <w:tcW w:type="dxa" w:w="2376"/>
          </w:tcPr>
          <w:p>
            <w:pPr>
              <w:spacing w:after="40"/>
            </w:pPr>
            <w:r>
              <w:rPr>
                <w:sz w:val="15"/>
              </w:rPr>
              <w:t>X1321WVS-2x04J-C40D53</w:t>
            </w:r>
          </w:p>
        </w:tc>
        <w:tc>
          <w:tcPr>
            <w:tcW w:type="dxa" w:w="1224"/>
          </w:tcPr>
          <w:p>
            <w:pPr>
              <w:spacing w:after="40"/>
            </w:pPr>
            <w:r>
              <w:rPr>
                <w:sz w:val="15"/>
              </w:rPr>
              <w:t>C2881909</w:t>
            </w:r>
          </w:p>
        </w:tc>
      </w:tr>
      <w:tr>
        <w:trPr>
          <w:cantSplit/>
        </w:trPr>
        <w:tc>
          <w:tcPr>
            <w:tcW w:type="dxa" w:w="1440"/>
          </w:tcPr>
          <w:p>
            <w:pPr>
              <w:spacing w:after="40"/>
            </w:pPr>
            <w:r>
              <w:rPr>
                <w:b/>
                <w:sz w:val="15"/>
              </w:rPr>
              <w:t>L6</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bl>
    <w:p>
      <w:pPr>
        <w:spacing w:after="40"/>
      </w:pPr>
    </w:p>
    <w:p>
      <w:pPr>
        <w:spacing w:after="160"/>
      </w:pPr>
      <w:r>
        <w:rPr>
          <w:b w:val="0"/>
          <w:i w:val="0"/>
          <w:sz w:val="21"/>
        </w:rPr>
        <w:t>External sensor board (gas-sensing front end):</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H1</w:t>
            </w:r>
          </w:p>
        </w:tc>
        <w:tc>
          <w:tcPr>
            <w:tcW w:type="dxa" w:w="1944"/>
          </w:tcPr>
          <w:p>
            <w:pPr>
              <w:spacing w:after="40"/>
            </w:pPr>
            <w:r>
              <w:rPr>
                <w:sz w:val="15"/>
              </w:rPr>
              <w:t>X1321FVS-2X04-C43D48</w:t>
            </w:r>
          </w:p>
        </w:tc>
        <w:tc>
          <w:tcPr>
            <w:tcW w:type="dxa" w:w="576"/>
          </w:tcPr>
          <w:p>
            <w:pPr>
              <w:spacing w:after="40"/>
            </w:pPr>
            <w:r>
              <w:rPr>
                <w:sz w:val="15"/>
              </w:rPr>
              <w:t>1</w:t>
            </w:r>
          </w:p>
        </w:tc>
        <w:tc>
          <w:tcPr>
            <w:tcW w:type="dxa" w:w="1656"/>
          </w:tcPr>
          <w:p>
            <w:pPr>
              <w:spacing w:after="40"/>
            </w:pPr>
            <w:r>
              <w:rPr>
                <w:sz w:val="15"/>
              </w:rPr>
              <w:t>XKB Connection</w:t>
            </w:r>
          </w:p>
        </w:tc>
        <w:tc>
          <w:tcPr>
            <w:tcW w:type="dxa" w:w="2376"/>
          </w:tcPr>
          <w:p>
            <w:pPr>
              <w:spacing w:after="40"/>
            </w:pPr>
            <w:r>
              <w:rPr>
                <w:sz w:val="15"/>
              </w:rPr>
              <w:t>X1321FVS-2x04-C43D48</w:t>
            </w:r>
          </w:p>
        </w:tc>
        <w:tc>
          <w:tcPr>
            <w:tcW w:type="dxa" w:w="1224"/>
          </w:tcPr>
          <w:p>
            <w:pPr>
              <w:spacing w:after="40"/>
            </w:pPr>
            <w:r>
              <w:rPr>
                <w:sz w:val="15"/>
              </w:rPr>
              <w:t>C2684732</w:t>
            </w:r>
          </w:p>
        </w:tc>
      </w:tr>
      <w:tr>
        <w:trPr>
          <w:cantSplit/>
        </w:trPr>
        <w:tc>
          <w:tcPr>
            <w:tcW w:type="dxa" w:w="1440"/>
          </w:tcPr>
          <w:p>
            <w:pPr>
              <w:spacing w:after="40"/>
            </w:pPr>
            <w:r>
              <w:rPr>
                <w:b/>
                <w:sz w:val="15"/>
              </w:rPr>
              <w:t>R9</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U5</w:t>
            </w:r>
          </w:p>
        </w:tc>
        <w:tc>
          <w:tcPr>
            <w:tcW w:type="dxa" w:w="1944"/>
          </w:tcPr>
          <w:p>
            <w:pPr>
              <w:spacing w:after="40"/>
            </w:pPr>
            <w:r>
              <w:rPr>
                <w:sz w:val="15"/>
              </w:rPr>
              <w:t>TPS22919DCKR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TPS22919DCKR</w:t>
            </w:r>
          </w:p>
        </w:tc>
        <w:tc>
          <w:tcPr>
            <w:tcW w:type="dxa" w:w="1224"/>
          </w:tcPr>
          <w:p>
            <w:pPr>
              <w:spacing w:after="40"/>
            </w:pPr>
            <w:r>
              <w:rPr>
                <w:sz w:val="15"/>
              </w:rPr>
              <w:t>C2149796</w:t>
            </w:r>
          </w:p>
        </w:tc>
      </w:tr>
      <w:tr>
        <w:trPr>
          <w:cantSplit/>
        </w:trPr>
        <w:tc>
          <w:tcPr>
            <w:tcW w:type="dxa" w:w="1440"/>
          </w:tcPr>
          <w:p>
            <w:pPr>
              <w:spacing w:after="40"/>
            </w:pPr>
            <w:r>
              <w:rPr>
                <w:b/>
                <w:sz w:val="15"/>
              </w:rPr>
              <w:t>I1</w:t>
            </w:r>
          </w:p>
        </w:tc>
        <w:tc>
          <w:tcPr>
            <w:tcW w:type="dxa" w:w="1944"/>
          </w:tcPr>
          <w:p>
            <w:pPr>
              <w:spacing w:after="40"/>
            </w:pPr>
            <w:r>
              <w:rPr>
                <w:sz w:val="15"/>
              </w:rPr>
              <w:t>MQ2</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MQ2</w:t>
            </w:r>
          </w:p>
        </w:tc>
        <w:tc>
          <w:tcPr>
            <w:tcW w:type="dxa" w:w="1224"/>
          </w:tcPr>
          <w:p>
            <w:pPr>
              <w:spacing w:after="40"/>
            </w:pPr>
            <w:r>
              <w:rPr>
                <w:sz w:val="15"/>
              </w:rPr>
              <w:t>—</w:t>
            </w:r>
          </w:p>
        </w:tc>
      </w:tr>
      <w:tr>
        <w:trPr>
          <w:cantSplit/>
        </w:trPr>
        <w:tc>
          <w:tcPr>
            <w:tcW w:type="dxa" w:w="1440"/>
          </w:tcPr>
          <w:p>
            <w:pPr>
              <w:spacing w:after="40"/>
            </w:pPr>
            <w:r>
              <w:rPr>
                <w:b/>
                <w:sz w:val="15"/>
              </w:rPr>
              <w:t>C7,C8</w:t>
            </w:r>
          </w:p>
        </w:tc>
        <w:tc>
          <w:tcPr>
            <w:tcW w:type="dxa" w:w="1944"/>
          </w:tcPr>
          <w:p>
            <w:pPr>
              <w:spacing w:after="40"/>
            </w:pPr>
            <w:r>
              <w:rPr>
                <w:sz w:val="15"/>
              </w:rPr>
              <w:t>10uF</w:t>
            </w:r>
          </w:p>
        </w:tc>
        <w:tc>
          <w:tcPr>
            <w:tcW w:type="dxa" w:w="576"/>
          </w:tcPr>
          <w:p>
            <w:pPr>
              <w:spacing w:after="40"/>
            </w:pPr>
            <w:r>
              <w:rPr>
                <w:sz w:val="15"/>
              </w:rPr>
              <w:t>2</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L1</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r>
        <w:trPr>
          <w:cantSplit/>
        </w:trPr>
        <w:tc>
          <w:tcPr>
            <w:tcW w:type="dxa" w:w="1440"/>
          </w:tcPr>
          <w:p>
            <w:pPr>
              <w:spacing w:after="40"/>
            </w:pPr>
            <w:r>
              <w:rPr>
                <w:b/>
                <w:sz w:val="15"/>
              </w:rPr>
              <w:t>R1</w:t>
            </w:r>
          </w:p>
        </w:tc>
        <w:tc>
          <w:tcPr>
            <w:tcW w:type="dxa" w:w="1944"/>
          </w:tcPr>
          <w:p>
            <w:pPr>
              <w:spacing w:after="40"/>
            </w:pPr>
            <w:r>
              <w:rPr>
                <w:sz w:val="15"/>
              </w:rPr>
              <w:t>10MΩ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0402WGJ0106TCE</w:t>
            </w:r>
          </w:p>
        </w:tc>
        <w:tc>
          <w:tcPr>
            <w:tcW w:type="dxa" w:w="1224"/>
          </w:tcPr>
          <w:p>
            <w:pPr>
              <w:spacing w:after="40"/>
            </w:pPr>
            <w:r>
              <w:rPr>
                <w:sz w:val="15"/>
              </w:rPr>
              <w:t>C26086</w:t>
            </w:r>
          </w:p>
        </w:tc>
      </w:tr>
      <w:tr>
        <w:trPr>
          <w:cantSplit/>
        </w:trPr>
        <w:tc>
          <w:tcPr>
            <w:tcW w:type="dxa" w:w="1440"/>
          </w:tcPr>
          <w:p>
            <w:pPr>
              <w:spacing w:after="40"/>
            </w:pPr>
            <w:r>
              <w:rPr>
                <w:b/>
                <w:sz w:val="15"/>
              </w:rPr>
              <w:t>R2,R3</w:t>
            </w:r>
          </w:p>
        </w:tc>
        <w:tc>
          <w:tcPr>
            <w:tcW w:type="dxa" w:w="1944"/>
          </w:tcPr>
          <w:p>
            <w:pPr>
              <w:spacing w:after="40"/>
            </w:pPr>
            <w:r>
              <w:rPr>
                <w:sz w:val="15"/>
              </w:rPr>
              <w:t>10kΩ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R7,R8</w:t>
            </w:r>
          </w:p>
        </w:tc>
        <w:tc>
          <w:tcPr>
            <w:tcW w:type="dxa" w:w="1944"/>
          </w:tcPr>
          <w:p>
            <w:pPr>
              <w:spacing w:after="40"/>
            </w:pPr>
            <w:r>
              <w:rPr>
                <w:sz w:val="15"/>
              </w:rPr>
              <w:t>20kΩ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0402WGF2002TCE</w:t>
            </w:r>
          </w:p>
        </w:tc>
        <w:tc>
          <w:tcPr>
            <w:tcW w:type="dxa" w:w="1224"/>
          </w:tcPr>
          <w:p>
            <w:pPr>
              <w:spacing w:after="40"/>
            </w:pPr>
            <w:r>
              <w:rPr>
                <w:sz w:val="15"/>
              </w:rPr>
              <w:t>C25765</w:t>
            </w:r>
          </w:p>
        </w:tc>
      </w:tr>
      <w:tr>
        <w:trPr>
          <w:cantSplit/>
        </w:trPr>
        <w:tc>
          <w:tcPr>
            <w:tcW w:type="dxa" w:w="1440"/>
          </w:tcPr>
          <w:p>
            <w:pPr>
              <w:spacing w:after="40"/>
            </w:pPr>
            <w:r>
              <w:rPr>
                <w:b/>
                <w:sz w:val="15"/>
              </w:rPr>
              <w:t>C1,C2,C3,C4,C5,C6</w:t>
            </w:r>
          </w:p>
        </w:tc>
        <w:tc>
          <w:tcPr>
            <w:tcW w:type="dxa" w:w="1944"/>
          </w:tcPr>
          <w:p>
            <w:pPr>
              <w:spacing w:after="40"/>
            </w:pPr>
            <w:r>
              <w:rPr>
                <w:sz w:val="15"/>
              </w:rPr>
              <w:t>100nF</w:t>
            </w:r>
          </w:p>
        </w:tc>
        <w:tc>
          <w:tcPr>
            <w:tcW w:type="dxa" w:w="576"/>
          </w:tcPr>
          <w:p>
            <w:pPr>
              <w:spacing w:after="40"/>
            </w:pPr>
            <w:r>
              <w:rPr>
                <w:sz w:val="15"/>
              </w:rPr>
              <w:t>6</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R4,R5,R6</w:t>
            </w:r>
          </w:p>
        </w:tc>
        <w:tc>
          <w:tcPr>
            <w:tcW w:type="dxa" w:w="1944"/>
          </w:tcPr>
          <w:p>
            <w:pPr>
              <w:spacing w:after="40"/>
            </w:pPr>
            <w:r>
              <w:rPr>
                <w:sz w:val="15"/>
              </w:rPr>
              <w:t>49.9Ω</w:t>
            </w:r>
          </w:p>
        </w:tc>
        <w:tc>
          <w:tcPr>
            <w:tcW w:type="dxa" w:w="576"/>
          </w:tcPr>
          <w:p>
            <w:pPr>
              <w:spacing w:after="40"/>
            </w:pPr>
            <w:r>
              <w:rPr>
                <w:sz w:val="15"/>
              </w:rPr>
              <w:t>3</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U1</w:t>
            </w:r>
          </w:p>
        </w:tc>
        <w:tc>
          <w:tcPr>
            <w:tcW w:type="dxa" w:w="1944"/>
          </w:tcPr>
          <w:p>
            <w:pPr>
              <w:spacing w:after="40"/>
            </w:pPr>
            <w:r>
              <w:rPr>
                <w:sz w:val="15"/>
              </w:rPr>
              <w:t>INA333AIDGKR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INA333AIDGKR</w:t>
            </w:r>
          </w:p>
        </w:tc>
        <w:tc>
          <w:tcPr>
            <w:tcW w:type="dxa" w:w="1224"/>
          </w:tcPr>
          <w:p>
            <w:pPr>
              <w:spacing w:after="40"/>
            </w:pPr>
            <w:r>
              <w:rPr>
                <w:sz w:val="15"/>
              </w:rPr>
              <w:t>C19450</w:t>
            </w:r>
          </w:p>
        </w:tc>
      </w:tr>
      <w:tr>
        <w:trPr>
          <w:cantSplit/>
        </w:trPr>
        <w:tc>
          <w:tcPr>
            <w:tcW w:type="dxa" w:w="1440"/>
          </w:tcPr>
          <w:p>
            <w:pPr>
              <w:spacing w:after="40"/>
            </w:pPr>
            <w:r>
              <w:rPr>
                <w:b/>
                <w:sz w:val="15"/>
              </w:rPr>
              <w:t>U2</w:t>
            </w:r>
          </w:p>
        </w:tc>
        <w:tc>
          <w:tcPr>
            <w:tcW w:type="dxa" w:w="1944"/>
          </w:tcPr>
          <w:p>
            <w:pPr>
              <w:spacing w:after="40"/>
            </w:pPr>
            <w:r>
              <w:rPr>
                <w:sz w:val="15"/>
              </w:rPr>
              <w:t>LM321DTR(XBLW)</w:t>
            </w:r>
          </w:p>
        </w:tc>
        <w:tc>
          <w:tcPr>
            <w:tcW w:type="dxa" w:w="576"/>
          </w:tcPr>
          <w:p>
            <w:pPr>
              <w:spacing w:after="40"/>
            </w:pPr>
            <w:r>
              <w:rPr>
                <w:sz w:val="15"/>
              </w:rPr>
              <w:t>1</w:t>
            </w:r>
          </w:p>
        </w:tc>
        <w:tc>
          <w:tcPr>
            <w:tcW w:type="dxa" w:w="1656"/>
          </w:tcPr>
          <w:p>
            <w:pPr>
              <w:spacing w:after="40"/>
            </w:pPr>
            <w:r>
              <w:rPr>
                <w:sz w:val="15"/>
              </w:rPr>
              <w:t>XBLW</w:t>
            </w:r>
          </w:p>
        </w:tc>
        <w:tc>
          <w:tcPr>
            <w:tcW w:type="dxa" w:w="2376"/>
          </w:tcPr>
          <w:p>
            <w:pPr>
              <w:spacing w:after="40"/>
            </w:pPr>
            <w:r>
              <w:rPr>
                <w:sz w:val="15"/>
              </w:rPr>
              <w:t>LM321DTR(XBLW)</w:t>
            </w:r>
          </w:p>
        </w:tc>
        <w:tc>
          <w:tcPr>
            <w:tcW w:type="dxa" w:w="1224"/>
          </w:tcPr>
          <w:p>
            <w:pPr>
              <w:spacing w:after="40"/>
            </w:pPr>
            <w:r>
              <w:rPr>
                <w:sz w:val="15"/>
              </w:rPr>
              <w:t>C18723612</w:t>
            </w:r>
          </w:p>
        </w:tc>
      </w:tr>
      <w:tr>
        <w:trPr>
          <w:cantSplit/>
        </w:trPr>
        <w:tc>
          <w:tcPr>
            <w:tcW w:type="dxa" w:w="1440"/>
          </w:tcPr>
          <w:p>
            <w:pPr>
              <w:spacing w:after="40"/>
            </w:pPr>
            <w:r>
              <w:rPr>
                <w:b/>
                <w:sz w:val="15"/>
              </w:rPr>
              <w:t>U3</w:t>
            </w:r>
          </w:p>
        </w:tc>
        <w:tc>
          <w:tcPr>
            <w:tcW w:type="dxa" w:w="1944"/>
          </w:tcPr>
          <w:p>
            <w:pPr>
              <w:spacing w:after="40"/>
            </w:pPr>
            <w:r>
              <w:rPr>
                <w:sz w:val="15"/>
              </w:rPr>
              <w:t>MCP4725A0T-E/CH</w:t>
            </w:r>
          </w:p>
        </w:tc>
        <w:tc>
          <w:tcPr>
            <w:tcW w:type="dxa" w:w="576"/>
          </w:tcPr>
          <w:p>
            <w:pPr>
              <w:spacing w:after="40"/>
            </w:pPr>
            <w:r>
              <w:rPr>
                <w:sz w:val="15"/>
              </w:rPr>
              <w:t>1</w:t>
            </w:r>
          </w:p>
        </w:tc>
        <w:tc>
          <w:tcPr>
            <w:tcW w:type="dxa" w:w="1656"/>
          </w:tcPr>
          <w:p>
            <w:pPr>
              <w:spacing w:after="40"/>
            </w:pPr>
            <w:r>
              <w:rPr>
                <w:sz w:val="15"/>
              </w:rPr>
              <w:t>MICROCHIP</w:t>
            </w:r>
          </w:p>
        </w:tc>
        <w:tc>
          <w:tcPr>
            <w:tcW w:type="dxa" w:w="2376"/>
          </w:tcPr>
          <w:p>
            <w:pPr>
              <w:spacing w:after="40"/>
            </w:pPr>
            <w:r>
              <w:rPr>
                <w:sz w:val="15"/>
              </w:rPr>
              <w:t>MCP4725A0T-E/CH</w:t>
            </w:r>
          </w:p>
        </w:tc>
        <w:tc>
          <w:tcPr>
            <w:tcW w:type="dxa" w:w="1224"/>
          </w:tcPr>
          <w:p>
            <w:pPr>
              <w:spacing w:after="40"/>
            </w:pPr>
            <w:r>
              <w:rPr>
                <w:sz w:val="15"/>
              </w:rPr>
              <w:t>C144198</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external mechanical/casing development partner (legal identity now confirmed as PT Galaksi Megatama Indonesia — see Section 1.4) and its bill of materials has not yet been provided to the authors.</w:t>
            </w:r>
          </w:p>
        </w:tc>
      </w:tr>
    </w:tbl>
    <w:p>
      <w:pPr>
        <w:spacing w:after="80"/>
      </w:pP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GLD ATEX CASE v3 / common base (M-B7, M-D7)</w:t>
            </w:r>
          </w:p>
        </w:tc>
        <w:tc>
          <w:tcPr>
            <w:tcW w:type="dxa" w:w="1800"/>
          </w:tcPr>
          <w:p>
            <w:pPr>
              <w:spacing w:after="20"/>
            </w:pPr>
            <w:r>
              <w:rPr>
                <w:sz w:val="14"/>
              </w:rPr>
              <w:t>ADC12 die-cast aluminium alloy; wall thickness TBC; surface treatment TBC</w:t>
            </w:r>
          </w:p>
        </w:tc>
        <w:tc>
          <w:tcPr>
            <w:tcW w:type="dxa" w:w="1224"/>
          </w:tcPr>
          <w:p>
            <w:pPr>
              <w:spacing w:after="20"/>
            </w:pPr>
            <w:r>
              <w:rPr>
                <w:sz w:val="14"/>
              </w:rPr>
              <w:t>Flameproof enclosure (Ex d, proposed)</w:t>
            </w:r>
          </w:p>
        </w:tc>
        <w:tc>
          <w:tcPr>
            <w:tcW w:type="dxa" w:w="1080"/>
          </w:tcPr>
          <w:p>
            <w:pPr>
              <w:spacing w:after="20"/>
            </w:pPr>
            <w:r>
              <w:rPr>
                <w:sz w:val="14"/>
              </w:rPr>
              <w:t>Drawings M-B7, M-D7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thread form, pitch and engagement TBC</w:t>
            </w:r>
          </w:p>
        </w:tc>
        <w:tc>
          <w:tcPr>
            <w:tcW w:type="dxa" w:w="1224"/>
          </w:tcPr>
          <w:p>
            <w:pPr>
              <w:spacing w:after="20"/>
            </w:pPr>
            <w:r>
              <w:rPr>
                <w:sz w:val="14"/>
              </w:rPr>
              <w:t>Flameproof joint</w:t>
            </w:r>
          </w:p>
        </w:tc>
        <w:tc>
          <w:tcPr>
            <w:tcW w:type="dxa" w:w="1080"/>
          </w:tcPr>
          <w:p>
            <w:pPr>
              <w:spacing w:after="20"/>
            </w:pPr>
            <w:r>
              <w:rPr>
                <w:sz w:val="14"/>
              </w:rPr>
              <w:t>Assembly M-E9 (closed by turning clockwise)</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CIXIKEJI</w:t>
            </w:r>
          </w:p>
        </w:tc>
        <w:tc>
          <w:tcPr>
            <w:tcW w:type="dxa" w:w="1224"/>
          </w:tcPr>
          <w:p>
            <w:pPr>
              <w:spacing w:after="20"/>
            </w:pPr>
            <w:r>
              <w:rPr>
                <w:sz w:val="14"/>
              </w:rPr>
              <w:t>CX5010B5H (DC brushless, 50 × 50 × 10 mm frame)</w:t>
            </w:r>
          </w:p>
        </w:tc>
        <w:tc>
          <w:tcPr>
            <w:tcW w:type="dxa" w:w="1800"/>
          </w:tcPr>
          <w:p>
            <w:pPr>
              <w:spacing w:after="20"/>
            </w:pPr>
            <w:r>
              <w:rPr>
                <w:sz w:val="14"/>
              </w:rPr>
              <w:t>DC 5 V, 0.23 A (≈1.2 W); CE/FCC/RoHS only — no Ex certification; max. temperature TBC</w:t>
            </w:r>
          </w:p>
        </w:tc>
        <w:tc>
          <w:tcPr>
            <w:tcW w:type="dxa" w:w="1224"/>
          </w:tcPr>
          <w:p>
            <w:pPr>
              <w:spacing w:after="20"/>
            </w:pPr>
            <w:r>
              <w:rPr>
                <w:sz w:val="14"/>
              </w:rPr>
              <w:t>Gas sampling; potential ignition source (IS-02)</w:t>
            </w:r>
          </w:p>
        </w:tc>
        <w:tc>
          <w:tcPr>
            <w:tcW w:type="dxa" w:w="1080"/>
          </w:tcPr>
          <w:p>
            <w:pPr>
              <w:spacing w:after="20"/>
            </w:pPr>
            <w:r>
              <w:rPr>
                <w:sz w:val="14"/>
              </w:rPr>
              <w:t>Label, Figure 4-108; driven by Q5 (sheet 24)</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general-purpose black polymer gland (Figure 4-112) — to be replaced by a certified metallic Ex d barrier gland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Metallic hexagon plug fitted in the lower entry; thread and certification TBC</w:t>
            </w:r>
          </w:p>
        </w:tc>
        <w:tc>
          <w:tcPr>
            <w:tcW w:type="dxa" w:w="1224"/>
          </w:tcPr>
          <w:p>
            <w:pPr>
              <w:spacing w:after="20"/>
            </w:pPr>
            <w:r>
              <w:rPr>
                <w:sz w:val="14"/>
              </w:rPr>
              <w:t>Closes unused entry</w:t>
            </w:r>
          </w:p>
        </w:tc>
        <w:tc>
          <w:tcPr>
            <w:tcW w:type="dxa" w:w="1080"/>
          </w:tcPr>
          <w:p>
            <w:pPr>
              <w:spacing w:after="20"/>
            </w:pPr>
            <w:r>
              <w:rPr>
                <w:sz w:val="14"/>
              </w:rPr>
              <w:t>Figure 4-119</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SMA; material and sealing TBC</w:t>
            </w:r>
          </w:p>
        </w:tc>
        <w:tc>
          <w:tcPr>
            <w:tcW w:type="dxa" w:w="1224"/>
          </w:tcPr>
          <w:p>
            <w:pPr>
              <w:spacing w:after="20"/>
            </w:pPr>
            <w:r>
              <w:rPr>
                <w:sz w:val="14"/>
              </w:rPr>
              <w:t>Enclosure penetration</w:t>
            </w:r>
          </w:p>
        </w:tc>
        <w:tc>
          <w:tcPr>
            <w:tcW w:type="dxa" w:w="1080"/>
          </w:tcPr>
          <w:p>
            <w:pPr>
              <w:spacing w:after="20"/>
            </w:pPr>
            <w:r>
              <w:rPr>
                <w:sz w:val="14"/>
              </w:rPr>
              <w:t>—</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 Figures 4-116, 4-120</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 (M-A1)</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Drawing M-A1</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 Figure 8-11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 −/+ terminal on the terminal board (Figure 4-104);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keepNext/>
        <w:spacing w:after="60"/>
      </w:pPr>
      <w:r>
        <w:rPr>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2.3.c);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2.3.c — identified as a rubber gasket in the casing partner's assembly drawing, specific compound/grade not yet specified); the integral seal of the candidate M20×1.5 cable gland — per project direction, specified together with the gland itself from the BP18-1Z reference (Section 2.3.c),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Dependent on the enclosure design and material selection, which sits with the external casing development partner (PT Galaksi Megatama Indonesia, Section 1.4) rather than the authors; this data has been formally requested from that partner. Partial candidate data: the BP18-1Z reference drawing (Section 2.6.a) specifies a powder-coating surface treatment with two electrostatic-safety parameters directly relevant to this checklist item — maximum surface charge transfer &lt;10 nC and maximum surface capacitance &lt;5 pF (coating thickness ≤ 0.2 mm). These are the type of parameter IEC 60079-0 requires for coated/non-metallic surfaces on Ex equipment, but they describe a supplier's candidate component, not a confirmed datasheet for GLD's own enclosure finish.</w:t>
            </w:r>
          </w:p>
        </w:tc>
      </w:tr>
    </w:tbl>
    <w:p>
      <w:pPr>
        <w:spacing w:after="80"/>
      </w:pP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body and sealing ring</w:t>
            </w:r>
          </w:p>
        </w:tc>
        <w:tc>
          <w:tcPr>
            <w:tcW w:type="dxa" w:w="1656"/>
          </w:tcPr>
          <w:p>
            <w:pPr>
              <w:spacing w:after="20"/>
            </w:pPr>
            <w:r>
              <w:rPr>
                <w:sz w:val="15"/>
              </w:rPr>
              <w:t>Current prototype: black polymer gland (Figure 4-112); final: per certified Ex d gland</w:t>
            </w:r>
          </w:p>
        </w:tc>
        <w:tc>
          <w:tcPr>
            <w:tcW w:type="dxa" w:w="1224"/>
          </w:tcPr>
          <w:p>
            <w:pPr>
              <w:spacing w:after="20"/>
            </w:pPr>
            <w:r>
              <w:rPr>
                <w:sz w:val="15"/>
              </w:rPr>
              <w:t>Gland supplier</w:t>
            </w:r>
          </w:p>
        </w:tc>
        <w:tc>
          <w:tcPr>
            <w:tcW w:type="dxa" w:w="1944"/>
          </w:tcPr>
          <w:p>
            <w:pPr>
              <w:spacing w:after="20"/>
            </w:pPr>
            <w:r>
              <w:rPr>
                <w:sz w:val="15"/>
              </w:rPr>
              <w:t>Temp., flame rating, UV/chemical, electrostatic</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Plastic (grade TBC)</w:t>
            </w:r>
          </w:p>
        </w:tc>
        <w:tc>
          <w:tcPr>
            <w:tcW w:type="dxa" w:w="1224"/>
          </w:tcPr>
          <w:p>
            <w:pPr>
              <w:spacing w:after="20"/>
            </w:pPr>
            <w:r>
              <w:rPr>
                <w:sz w:val="15"/>
              </w:rPr>
              <w:t>CIXIKEJI (CX5010B5H)</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Drawing M-B7</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This describes the casing partner's (PT Galaksi Megatama Indonesia) manufacturing process, not an internal electronics process — it will need to be obtained from that partner once their process is finalized.</w:t>
            </w:r>
          </w:p>
        </w:tc>
      </w:tr>
    </w:tbl>
    <w:p>
      <w:pPr>
        <w:spacing w:after="80"/>
      </w:pP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keepNext/>
        <w:spacing w:after="60"/>
      </w:pPr>
      <w:r>
        <w:rPr>
          <w:b/>
          <w:i w:val="0"/>
          <w:color w:val="1B335F"/>
          <w:sz w:val="21"/>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keepNext/>
        <w:spacing w:after="60"/>
      </w:pPr>
      <w:r>
        <w:rPr>
          <w:b/>
          <w:i w:val="0"/>
          <w:color w:val="1B335F"/>
          <w:sz w:val="21"/>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keepNext/>
        <w:spacing w:after="60"/>
      </w:pPr>
      <w:r>
        <w:rPr>
          <w:b/>
          <w:i w:val="0"/>
          <w:color w:val="1B335F"/>
          <w:sz w:val="21"/>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keepNext/>
        <w:spacing w:after="60"/>
      </w:pPr>
      <w:r>
        <w:rPr>
          <w:b/>
          <w:i w:val="0"/>
          <w:color w:val="1B335F"/>
          <w:sz w:val="21"/>
        </w:rPr>
        <w:t>d.4 DC fan installation</w:t>
      </w:r>
    </w:p>
    <w:p>
      <w:pPr>
        <w:spacing w:after="100"/>
      </w:pPr>
      <w:r>
        <w:rPr>
          <w:b w:val="0"/>
          <w:i w:val="0"/>
          <w:color w:val="262321"/>
          <w:sz w:val="19"/>
        </w:rPr>
        <w:t>The DC fan is attached to the enclosure cover behind the stainless-steel mesh plate and its cable connected to J3 (M-E9). Airflow direction, screw type, torque, clearance to the mesh and connector locking are to be defined on the assembly drawing (TBC).</w:t>
      </w:r>
    </w:p>
    <w:p>
      <w:pPr>
        <w:keepNext/>
        <w:spacing w:after="60"/>
      </w:pPr>
      <w:r>
        <w:rPr>
          <w:b/>
          <w:i w:val="0"/>
          <w:color w:val="1B335F"/>
          <w:sz w:val="21"/>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keepNext/>
        <w:spacing w:after="60"/>
      </w:pPr>
      <w:r>
        <w:rPr>
          <w:b/>
          <w:i w:val="0"/>
          <w:color w:val="1B335F"/>
          <w:sz w:val="21"/>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keepNext/>
        <w:spacing w:after="60"/>
      </w:pPr>
      <w:r>
        <w:rPr>
          <w:b/>
          <w:i w:val="0"/>
          <w:color w:val="1B335F"/>
          <w:sz w:val="21"/>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keepNext/>
        <w:spacing w:after="60"/>
      </w:pPr>
      <w:r>
        <w:rPr>
          <w:b/>
          <w:i w:val="0"/>
          <w:color w:val="1B335F"/>
          <w:sz w:val="21"/>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keepNext/>
        <w:spacing w:after="60"/>
      </w:pPr>
      <w:r>
        <w:rPr>
          <w:b/>
          <w:i w:val="0"/>
          <w:color w:val="1B335F"/>
          <w:sz w:val="21"/>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keepNext/>
        <w:spacing w:after="60"/>
      </w:pPr>
      <w:r>
        <w:rPr>
          <w:b/>
          <w:i w:val="0"/>
          <w:color w:val="1B335F"/>
          <w:sz w:val="21"/>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keepNext/>
        <w:spacing w:after="60"/>
      </w:pPr>
      <w:r>
        <w:rPr>
          <w:b/>
          <w:i w:val="0"/>
          <w:color w:val="1B335F"/>
          <w:sz w:val="21"/>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keepNext/>
        <w:spacing w:after="60"/>
      </w:pPr>
      <w:r>
        <w:rPr>
          <w:b/>
          <w:i w:val="0"/>
          <w:color w:val="1B335F"/>
          <w:sz w:val="21"/>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keepNext/>
        <w:spacing w:after="60"/>
      </w:pPr>
      <w:r>
        <w:rPr>
          <w:b/>
          <w:i w:val="0"/>
          <w:color w:val="1B335F"/>
          <w:sz w:val="21"/>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from the casing development partner and a confirmed protection concept with the ExCB.</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 pending ExCB confirmation of the Ex d protection concept and final enclosure design.</w:t>
            </w:r>
          </w:p>
        </w:tc>
      </w:tr>
    </w:tbl>
    <w:p>
      <w:pPr>
        <w:spacing w:after="80"/>
      </w:pP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keepNext/>
        <w:spacing w:after="60"/>
      </w:pPr>
      <w:r>
        <w:rPr>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CIXIKEJI CX5010B5H, 5 V 0.23 A; body measured 36.3 °C; confirm locked-rotor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Max. 22 dBm into a 3 dBi antenna; assess against IEC 60079-0 RF threshold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Prototype gland is a general-purpose polymer type; 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keepNext/>
        <w:spacing w:after="60"/>
      </w:pPr>
      <w:r>
        <w:rPr>
          <w:b/>
          <w:i w:val="0"/>
          <w:color w:val="1B335F"/>
          <w:sz w:val="21"/>
        </w:rPr>
        <w:t>2.6.e.3 Explosion-protection concept and protective construction</w:t>
      </w:r>
    </w:p>
    <w:p>
      <w:pPr>
        <w:keepNext/>
        <w:spacing w:after="60"/>
      </w:pPr>
      <w:r>
        <w:rPr>
          <w:b/>
          <w:i w:val="0"/>
          <w:color w:val="1B335F"/>
          <w:sz w:val="21"/>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keepNext/>
        <w:spacing w:after="60"/>
      </w:pPr>
      <w:r>
        <w:rPr>
          <w:b/>
          <w:i w:val="0"/>
          <w:color w:val="1B335F"/>
          <w:sz w:val="21"/>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keepNext/>
        <w:spacing w:after="60"/>
      </w:pPr>
      <w:r>
        <w:rPr>
          <w:b/>
          <w:i w:val="0"/>
          <w:color w:val="1B335F"/>
          <w:sz w:val="21"/>
        </w:rPr>
        <w:t>e.3.3 Front stainless-steel mesh</w:t>
      </w:r>
    </w:p>
    <w:p>
      <w:pPr>
        <w:spacing w:after="100"/>
      </w:pPr>
      <w:r>
        <w:rPr>
          <w:b w:val="0"/>
          <w:i w:val="0"/>
          <w:color w:val="262321"/>
          <w:sz w:val="19"/>
        </w:rPr>
        <w:t>First protective element in the gas inlet; mechanical protection and, only where supported by certification, flame arresting.</w:t>
      </w:r>
    </w:p>
    <w:p>
      <w:pPr>
        <w:keepNext/>
        <w:spacing w:after="60"/>
      </w:pPr>
      <w:r>
        <w:rPr>
          <w:b/>
          <w:i w:val="0"/>
          <w:color w:val="1B335F"/>
          <w:sz w:val="21"/>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keepNext/>
        <w:spacing w:after="60"/>
      </w:pPr>
      <w:r>
        <w:rPr>
          <w:b/>
          <w:i w:val="0"/>
          <w:color w:val="1B335F"/>
          <w:sz w:val="21"/>
        </w:rPr>
        <w:t>e.3.5 DC fan</w:t>
      </w:r>
    </w:p>
    <w:p>
      <w:pPr>
        <w:spacing w:after="100"/>
      </w:pPr>
      <w:r>
        <w:rPr>
          <w:b w:val="0"/>
          <w:i w:val="0"/>
          <w:color w:val="262321"/>
          <w:sz w:val="19"/>
        </w:rPr>
        <w:t>Located in the gas path behind the mesh; surface temperature, winding temperature, stalled rotor and commutation to be assessed.</w:t>
      </w:r>
    </w:p>
    <w:p>
      <w:pPr>
        <w:keepNext/>
        <w:spacing w:after="60"/>
      </w:pPr>
      <w:r>
        <w:rPr>
          <w:b/>
          <w:i w:val="0"/>
          <w:color w:val="1B335F"/>
          <w:sz w:val="21"/>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keepNext/>
        <w:spacing w:after="60"/>
      </w:pPr>
      <w:r>
        <w:rPr>
          <w:b/>
          <w:i w:val="0"/>
          <w:color w:val="1B335F"/>
          <w:sz w:val="21"/>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keepNext/>
        <w:spacing w:after="60"/>
      </w:pPr>
      <w:r>
        <w:rPr>
          <w:b/>
          <w:i w:val="0"/>
          <w:color w:val="1B335F"/>
          <w:sz w:val="21"/>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keepNext/>
        <w:spacing w:after="60"/>
      </w:pPr>
      <w:r>
        <w:rPr>
          <w:b/>
          <w:i w:val="0"/>
          <w:color w:val="1B335F"/>
          <w:sz w:val="21"/>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keepNext/>
        <w:spacing w:after="60"/>
      </w:pPr>
      <w:r>
        <w:rPr>
          <w:b/>
          <w:i w:val="0"/>
          <w:color w:val="1B335F"/>
          <w:sz w:val="21"/>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keepNext/>
        <w:spacing w:after="60"/>
      </w:pPr>
      <w:r>
        <w:rPr>
          <w:b/>
          <w:i w:val="0"/>
          <w:color w:val="1B335F"/>
          <w:sz w:val="21"/>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using thermocouples at eight locations (plus an ambient reference), under three conditions: normal operation, maximum load, and fan stalled (an expected malfunction of the internal DC cooling fan). Each condition was logged for 180 minutes at an ambient temperature of approximately 24–25°C.</w:t>
      </w:r>
    </w:p>
    <w:tbl>
      <w:tblPr>
        <w:tblStyle w:val="TableGrid"/>
        <w:tblW w:type="auto" w:w="0"/>
        <w:jc w:val="center"/>
        <w:tblLayout w:type="fixed"/>
        <w:tblLook w:firstColumn="1" w:firstRow="1" w:lastColumn="0" w:lastRow="0" w:noHBand="0" w:noVBand="1" w:val="04A0"/>
        <w:tblLayout w:type="fixed"/>
      </w:tblPr>
      <w:tblGrid>
        <w:gridCol w:w="1152"/>
        <w:gridCol w:w="3744"/>
        <w:gridCol w:w="4464"/>
      </w:tblGrid>
      <w:tr>
        <w:trPr>
          <w:tblHeader w:val="true"/>
        </w:trPr>
        <w:tc>
          <w:tcPr>
            <w:tcW w:type="dxa" w:w="1152"/>
            <w:shd w:val="clear" w:color="auto" w:fill="EFEFEF"/>
          </w:tcPr>
          <w:p>
            <w:pPr>
              <w:spacing w:after="40"/>
            </w:pPr>
            <w:r>
              <w:rPr>
                <w:b/>
                <w:color w:val="4A4A4A"/>
                <w:sz w:val="18"/>
              </w:rPr>
              <w:t>CHANNEL</w:t>
            </w:r>
          </w:p>
        </w:tc>
        <w:tc>
          <w:tcPr>
            <w:tcW w:type="dxa" w:w="3744"/>
            <w:shd w:val="clear" w:color="auto" w:fill="EFEFEF"/>
          </w:tcPr>
          <w:p>
            <w:pPr>
              <w:spacing w:after="40"/>
            </w:pPr>
            <w:r>
              <w:rPr>
                <w:b/>
                <w:color w:val="4A4A4A"/>
                <w:sz w:val="18"/>
              </w:rPr>
              <w:t>LOCATION</w:t>
            </w:r>
          </w:p>
        </w:tc>
        <w:tc>
          <w:tcPr>
            <w:tcW w:type="dxa" w:w="4464"/>
            <w:shd w:val="clear" w:color="auto" w:fill="EFEFEF"/>
          </w:tcPr>
          <w:p>
            <w:pPr>
              <w:spacing w:after="40"/>
            </w:pPr>
            <w:r>
              <w:rPr>
                <w:b/>
                <w:color w:val="4A4A4A"/>
                <w:sz w:val="18"/>
              </w:rPr>
              <w:t>RATIONALE</w:t>
            </w:r>
          </w:p>
        </w:tc>
      </w:tr>
      <w:tr>
        <w:trPr>
          <w:cantSplit/>
        </w:trPr>
        <w:tc>
          <w:tcPr>
            <w:tcW w:type="dxa" w:w="1152"/>
          </w:tcPr>
          <w:p>
            <w:pPr>
              <w:spacing w:after="40"/>
            </w:pPr>
            <w:r>
              <w:rPr>
                <w:b/>
                <w:sz w:val="19"/>
              </w:rPr>
              <w:t>T amb</w:t>
            </w:r>
          </w:p>
        </w:tc>
        <w:tc>
          <w:tcPr>
            <w:tcW w:type="dxa" w:w="3744"/>
          </w:tcPr>
          <w:p>
            <w:pPr>
              <w:spacing w:after="40"/>
            </w:pPr>
            <w:r>
              <w:rPr>
                <w:sz w:val="19"/>
              </w:rPr>
              <w:t>Air around the unit</w:t>
            </w:r>
          </w:p>
        </w:tc>
        <w:tc>
          <w:tcPr>
            <w:tcW w:type="dxa" w:w="4464"/>
          </w:tcPr>
          <w:p>
            <w:pPr>
              <w:spacing w:after="40"/>
            </w:pPr>
            <w:r>
              <w:rPr>
                <w:sz w:val="19"/>
              </w:rPr>
              <w:t>Reference temperature</w:t>
            </w:r>
          </w:p>
        </w:tc>
      </w:tr>
      <w:tr>
        <w:trPr>
          <w:cantSplit/>
        </w:trPr>
        <w:tc>
          <w:tcPr>
            <w:tcW w:type="dxa" w:w="1152"/>
          </w:tcPr>
          <w:p>
            <w:pPr>
              <w:spacing w:after="40"/>
            </w:pPr>
            <w:r>
              <w:rPr>
                <w:b/>
                <w:sz w:val="19"/>
              </w:rPr>
              <w:t>TC-1</w:t>
            </w:r>
          </w:p>
        </w:tc>
        <w:tc>
          <w:tcPr>
            <w:tcW w:type="dxa" w:w="3744"/>
          </w:tcPr>
          <w:p>
            <w:pPr>
              <w:spacing w:after="40"/>
            </w:pPr>
            <w:r>
              <w:rPr>
                <w:sz w:val="19"/>
              </w:rPr>
              <w:t>Hottest MQ sensor body</w:t>
            </w:r>
          </w:p>
        </w:tc>
        <w:tc>
          <w:tcPr>
            <w:tcW w:type="dxa" w:w="4464"/>
          </w:tcPr>
          <w:p>
            <w:pPr>
              <w:spacing w:after="40"/>
            </w:pPr>
            <w:r>
              <w:rPr>
                <w:sz w:val="19"/>
              </w:rPr>
              <w:t>The sensor heater is the main potential heat source</w:t>
            </w:r>
          </w:p>
        </w:tc>
      </w:tr>
      <w:tr>
        <w:trPr>
          <w:cantSplit/>
        </w:trPr>
        <w:tc>
          <w:tcPr>
            <w:tcW w:type="dxa" w:w="1152"/>
          </w:tcPr>
          <w:p>
            <w:pPr>
              <w:spacing w:after="40"/>
            </w:pPr>
            <w:r>
              <w:rPr>
                <w:b/>
                <w:sz w:val="19"/>
              </w:rPr>
              <w:t>TC-2</w:t>
            </w:r>
          </w:p>
        </w:tc>
        <w:tc>
          <w:tcPr>
            <w:tcW w:type="dxa" w:w="3744"/>
          </w:tcPr>
          <w:p>
            <w:pPr>
              <w:spacing w:after="40"/>
            </w:pPr>
            <w:r>
              <w:rPr>
                <w:sz w:val="19"/>
              </w:rPr>
              <w:t>DC fan motor/body</w:t>
            </w:r>
          </w:p>
        </w:tc>
        <w:tc>
          <w:tcPr>
            <w:tcW w:type="dxa" w:w="4464"/>
          </w:tcPr>
          <w:p>
            <w:pPr>
              <w:spacing w:after="40"/>
            </w:pPr>
            <w:r>
              <w:rPr>
                <w:sz w:val="19"/>
              </w:rPr>
              <w:t>Normal and stalled-fan heating</w:t>
            </w:r>
          </w:p>
        </w:tc>
      </w:tr>
      <w:tr>
        <w:trPr>
          <w:cantSplit/>
        </w:trPr>
        <w:tc>
          <w:tcPr>
            <w:tcW w:type="dxa" w:w="1152"/>
          </w:tcPr>
          <w:p>
            <w:pPr>
              <w:spacing w:after="40"/>
            </w:pPr>
            <w:r>
              <w:rPr>
                <w:b/>
                <w:sz w:val="19"/>
              </w:rPr>
              <w:t>TC-3</w:t>
            </w:r>
          </w:p>
        </w:tc>
        <w:tc>
          <w:tcPr>
            <w:tcW w:type="dxa" w:w="3744"/>
          </w:tcPr>
          <w:p>
            <w:pPr>
              <w:spacing w:after="40"/>
            </w:pPr>
            <w:r>
              <w:rPr>
                <w:sz w:val="19"/>
              </w:rPr>
              <w:t>DC/DC converter</w:t>
            </w:r>
          </w:p>
        </w:tc>
        <w:tc>
          <w:tcPr>
            <w:tcW w:type="dxa" w:w="4464"/>
          </w:tcPr>
          <w:p>
            <w:pPr>
              <w:spacing w:after="40"/>
            </w:pPr>
            <w:r>
              <w:rPr>
                <w:sz w:val="19"/>
              </w:rPr>
              <w:t>Power component — not yet measured</w:t>
            </w:r>
          </w:p>
        </w:tc>
      </w:tr>
      <w:tr>
        <w:trPr>
          <w:cantSplit/>
        </w:trPr>
        <w:tc>
          <w:tcPr>
            <w:tcW w:type="dxa" w:w="1152"/>
          </w:tcPr>
          <w:p>
            <w:pPr>
              <w:spacing w:after="40"/>
            </w:pPr>
            <w:r>
              <w:rPr>
                <w:b/>
                <w:sz w:val="19"/>
              </w:rPr>
              <w:t>TC-4</w:t>
            </w:r>
          </w:p>
        </w:tc>
        <w:tc>
          <w:tcPr>
            <w:tcW w:type="dxa" w:w="3744"/>
          </w:tcPr>
          <w:p>
            <w:pPr>
              <w:spacing w:after="40"/>
            </w:pPr>
            <w:r>
              <w:rPr>
                <w:sz w:val="19"/>
              </w:rPr>
              <w:t>Power inductor</w:t>
            </w:r>
          </w:p>
        </w:tc>
        <w:tc>
          <w:tcPr>
            <w:tcW w:type="dxa" w:w="4464"/>
          </w:tcPr>
          <w:p>
            <w:pPr>
              <w:spacing w:after="40"/>
            </w:pPr>
            <w:r>
              <w:rPr>
                <w:sz w:val="19"/>
              </w:rPr>
              <w:t>Potential hot spot — not yet measured</w:t>
            </w:r>
          </w:p>
        </w:tc>
      </w:tr>
      <w:tr>
        <w:trPr>
          <w:cantSplit/>
        </w:trPr>
        <w:tc>
          <w:tcPr>
            <w:tcW w:type="dxa" w:w="1152"/>
          </w:tcPr>
          <w:p>
            <w:pPr>
              <w:spacing w:after="40"/>
            </w:pPr>
            <w:r>
              <w:rPr>
                <w:b/>
                <w:sz w:val="19"/>
              </w:rPr>
              <w:t>TC-5</w:t>
            </w:r>
          </w:p>
        </w:tc>
        <w:tc>
          <w:tcPr>
            <w:tcW w:type="dxa" w:w="3744"/>
          </w:tcPr>
          <w:p>
            <w:pPr>
              <w:spacing w:after="40"/>
            </w:pPr>
            <w:r>
              <w:rPr>
                <w:sz w:val="19"/>
              </w:rPr>
              <w:t>MOSFET / power diode</w:t>
            </w:r>
          </w:p>
        </w:tc>
        <w:tc>
          <w:tcPr>
            <w:tcW w:type="dxa" w:w="4464"/>
          </w:tcPr>
          <w:p>
            <w:pPr>
              <w:spacing w:after="40"/>
            </w:pPr>
            <w:r>
              <w:rPr>
                <w:sz w:val="19"/>
              </w:rPr>
              <w:t>Potential local heating — not yet measured</w:t>
            </w:r>
          </w:p>
        </w:tc>
      </w:tr>
      <w:tr>
        <w:trPr>
          <w:cantSplit/>
        </w:trPr>
        <w:tc>
          <w:tcPr>
            <w:tcW w:type="dxa" w:w="1152"/>
          </w:tcPr>
          <w:p>
            <w:pPr>
              <w:spacing w:after="40"/>
            </w:pPr>
            <w:r>
              <w:rPr>
                <w:b/>
                <w:sz w:val="19"/>
              </w:rPr>
              <w:t>TC-6</w:t>
            </w:r>
          </w:p>
        </w:tc>
        <w:tc>
          <w:tcPr>
            <w:tcW w:type="dxa" w:w="3744"/>
          </w:tcPr>
          <w:p>
            <w:pPr>
              <w:spacing w:after="40"/>
            </w:pPr>
            <w:r>
              <w:rPr>
                <w:sz w:val="19"/>
              </w:rPr>
              <w:t>Hottest PCB area</w:t>
            </w:r>
          </w:p>
        </w:tc>
        <w:tc>
          <w:tcPr>
            <w:tcW w:type="dxa" w:w="4464"/>
          </w:tcPr>
          <w:p>
            <w:pPr>
              <w:spacing w:after="40"/>
            </w:pPr>
            <w:r>
              <w:rPr>
                <w:sz w:val="19"/>
              </w:rPr>
              <w:t>PCB temperature verification</w:t>
            </w:r>
          </w:p>
        </w:tc>
      </w:tr>
      <w:tr>
        <w:trPr>
          <w:cantSplit/>
        </w:trPr>
        <w:tc>
          <w:tcPr>
            <w:tcW w:type="dxa" w:w="1152"/>
          </w:tcPr>
          <w:p>
            <w:pPr>
              <w:spacing w:after="40"/>
            </w:pPr>
            <w:r>
              <w:rPr>
                <w:b/>
                <w:sz w:val="19"/>
              </w:rPr>
              <w:t>TC-7</w:t>
            </w:r>
          </w:p>
        </w:tc>
        <w:tc>
          <w:tcPr>
            <w:tcW w:type="dxa" w:w="3744"/>
          </w:tcPr>
          <w:p>
            <w:pPr>
              <w:spacing w:after="40"/>
            </w:pPr>
            <w:r>
              <w:rPr>
                <w:sz w:val="19"/>
              </w:rPr>
              <w:t>External enclosure surface near the heat source</w:t>
            </w:r>
          </w:p>
        </w:tc>
        <w:tc>
          <w:tcPr>
            <w:tcW w:type="dxa" w:w="4464"/>
          </w:tcPr>
          <w:p>
            <w:pPr>
              <w:spacing w:after="40"/>
            </w:pPr>
            <w:r>
              <w:rPr>
                <w:sz w:val="19"/>
              </w:rPr>
              <w:t>Candidate external maximum</w:t>
            </w:r>
          </w:p>
        </w:tc>
      </w:tr>
      <w:tr>
        <w:trPr>
          <w:cantSplit/>
        </w:trPr>
        <w:tc>
          <w:tcPr>
            <w:tcW w:type="dxa" w:w="1152"/>
          </w:tcPr>
          <w:p>
            <w:pPr>
              <w:spacing w:after="40"/>
            </w:pPr>
            <w:r>
              <w:rPr>
                <w:b/>
                <w:sz w:val="19"/>
              </w:rPr>
              <w:t>TC-8</w:t>
            </w:r>
          </w:p>
        </w:tc>
        <w:tc>
          <w:tcPr>
            <w:tcW w:type="dxa" w:w="3744"/>
          </w:tcPr>
          <w:p>
            <w:pPr>
              <w:spacing w:after="40"/>
            </w:pPr>
            <w:r>
              <w:rPr>
                <w:sz w:val="19"/>
              </w:rPr>
              <w:t>Other external enclosure surface</w:t>
            </w:r>
          </w:p>
        </w:tc>
        <w:tc>
          <w:tcPr>
            <w:tcW w:type="dxa" w:w="4464"/>
          </w:tcPr>
          <w:p>
            <w:pPr>
              <w:spacing w:after="40"/>
            </w:pPr>
            <w:r>
              <w:rPr>
                <w:sz w:val="19"/>
              </w:rPr>
              <w:t>Confirms the external maximum is not missed</w:t>
            </w:r>
          </w:p>
        </w:tc>
      </w:tr>
    </w:tbl>
    <w:p>
      <w:pPr>
        <w:spacing w:after="40"/>
      </w:pPr>
    </w:p>
    <w:p>
      <w:pPr>
        <w:spacing w:after="160"/>
      </w:pPr>
      <w:r>
        <w:rPr>
          <w:b w:val="0"/>
          <w:i w:val="0"/>
          <w:sz w:val="21"/>
        </w:rPr>
        <w:t>Maximum values recorded over the 180-minute runs, and the same values extrapolated to the +60°C maximum rated ambient (Section 2.5) by adding the measured temperature rise above ambient:</w:t>
      </w:r>
    </w:p>
    <w:tbl>
      <w:tblPr>
        <w:tblStyle w:val="TableGrid"/>
        <w:tblW w:type="auto" w:w="0"/>
        <w:jc w:val="center"/>
        <w:tblLayout w:type="fixed"/>
        <w:tblLook w:firstColumn="1" w:firstRow="1" w:lastColumn="0" w:lastRow="0" w:noHBand="0" w:noVBand="1" w:val="04A0"/>
        <w:tblLayout w:type="fixed"/>
      </w:tblPr>
      <w:tblGrid>
        <w:gridCol w:w="2015"/>
        <w:gridCol w:w="1152"/>
        <w:gridCol w:w="1728"/>
        <w:gridCol w:w="1584"/>
        <w:gridCol w:w="1152"/>
        <w:gridCol w:w="1728"/>
      </w:tblGrid>
      <w:tr>
        <w:trPr>
          <w:tblHeader w:val="true"/>
        </w:trPr>
        <w:tc>
          <w:tcPr>
            <w:tcW w:type="dxa" w:w="2016"/>
            <w:shd w:val="clear" w:color="auto" w:fill="EFEFEF"/>
          </w:tcPr>
          <w:p>
            <w:pPr>
              <w:spacing w:after="40"/>
            </w:pPr>
            <w:r>
              <w:rPr>
                <w:b/>
                <w:color w:val="4A4A4A"/>
                <w:sz w:val="18"/>
              </w:rPr>
              <w:t>CONDITION</w:t>
            </w:r>
          </w:p>
        </w:tc>
        <w:tc>
          <w:tcPr>
            <w:tcW w:type="dxa" w:w="1152"/>
            <w:shd w:val="clear" w:color="auto" w:fill="EFEFEF"/>
          </w:tcPr>
          <w:p>
            <w:pPr>
              <w:spacing w:after="40"/>
            </w:pPr>
            <w:r>
              <w:rPr>
                <w:b/>
                <w:color w:val="4A4A4A"/>
                <w:sz w:val="18"/>
              </w:rPr>
              <w:t>MEAN T AMB</w:t>
            </w:r>
          </w:p>
        </w:tc>
        <w:tc>
          <w:tcPr>
            <w:tcW w:type="dxa" w:w="1728"/>
            <w:shd w:val="clear" w:color="auto" w:fill="EFEFEF"/>
          </w:tcPr>
          <w:p>
            <w:pPr>
              <w:spacing w:after="40"/>
            </w:pPr>
            <w:r>
              <w:rPr>
                <w:b/>
                <w:color w:val="4A4A4A"/>
                <w:sz w:val="18"/>
              </w:rPr>
              <w:t>MQ SENSOR BODY (TC-1)</w:t>
            </w:r>
          </w:p>
        </w:tc>
        <w:tc>
          <w:tcPr>
            <w:tcW w:type="dxa" w:w="1584"/>
            <w:shd w:val="clear" w:color="auto" w:fill="EFEFEF"/>
          </w:tcPr>
          <w:p>
            <w:pPr>
              <w:spacing w:after="40"/>
            </w:pPr>
            <w:r>
              <w:rPr>
                <w:b/>
                <w:color w:val="4A4A4A"/>
                <w:sz w:val="18"/>
              </w:rPr>
              <w:t>PCB (TC-6)</w:t>
            </w:r>
          </w:p>
        </w:tc>
        <w:tc>
          <w:tcPr>
            <w:tcW w:type="dxa" w:w="1152"/>
            <w:shd w:val="clear" w:color="auto" w:fill="EFEFEF"/>
          </w:tcPr>
          <w:p>
            <w:pPr>
              <w:spacing w:after="40"/>
            </w:pPr>
            <w:r>
              <w:rPr>
                <w:b/>
                <w:color w:val="4A4A4A"/>
                <w:sz w:val="18"/>
              </w:rPr>
              <w:t>FAN (TC-2)</w:t>
            </w:r>
          </w:p>
        </w:tc>
        <w:tc>
          <w:tcPr>
            <w:tcW w:type="dxa" w:w="1728"/>
            <w:shd w:val="clear" w:color="auto" w:fill="EFEFEF"/>
          </w:tcPr>
          <w:p>
            <w:pPr>
              <w:spacing w:after="40"/>
            </w:pPr>
            <w:r>
              <w:rPr>
                <w:b/>
                <w:color w:val="4A4A4A"/>
                <w:sz w:val="18"/>
              </w:rPr>
              <w:t>EXTERNAL ENCLOSURE (TC-7/8)</w:t>
            </w:r>
          </w:p>
        </w:tc>
      </w:tr>
      <w:tr>
        <w:trPr>
          <w:cantSplit/>
        </w:trPr>
        <w:tc>
          <w:tcPr>
            <w:tcW w:type="dxa" w:w="2016"/>
          </w:tcPr>
          <w:p>
            <w:pPr>
              <w:spacing w:after="40"/>
            </w:pPr>
            <w:r>
              <w:rPr>
                <w:b/>
                <w:sz w:val="19"/>
              </w:rPr>
              <w:t>Normal operation</w:t>
            </w:r>
          </w:p>
        </w:tc>
        <w:tc>
          <w:tcPr>
            <w:tcW w:type="dxa" w:w="1152"/>
          </w:tcPr>
          <w:p>
            <w:pPr>
              <w:spacing w:after="40"/>
            </w:pPr>
            <w:r>
              <w:rPr>
                <w:sz w:val="19"/>
              </w:rPr>
              <w:t>24.9°C</w:t>
            </w:r>
          </w:p>
        </w:tc>
        <w:tc>
          <w:tcPr>
            <w:tcW w:type="dxa" w:w="1728"/>
          </w:tcPr>
          <w:p>
            <w:pPr>
              <w:spacing w:after="40"/>
            </w:pPr>
            <w:r>
              <w:rPr>
                <w:sz w:val="19"/>
              </w:rPr>
              <w:t>44.2 → ≈79°C</w:t>
            </w:r>
          </w:p>
        </w:tc>
        <w:tc>
          <w:tcPr>
            <w:tcW w:type="dxa" w:w="1584"/>
          </w:tcPr>
          <w:p>
            <w:pPr>
              <w:spacing w:after="40"/>
            </w:pPr>
            <w:r>
              <w:rPr>
                <w:sz w:val="19"/>
              </w:rPr>
              <w:t>52.4 → ≈88°C</w:t>
            </w:r>
          </w:p>
        </w:tc>
        <w:tc>
          <w:tcPr>
            <w:tcW w:type="dxa" w:w="1152"/>
          </w:tcPr>
          <w:p>
            <w:pPr>
              <w:spacing w:after="40"/>
            </w:pPr>
            <w:r>
              <w:rPr>
                <w:sz w:val="19"/>
              </w:rPr>
              <w:t>36.3°C</w:t>
            </w:r>
          </w:p>
        </w:tc>
        <w:tc>
          <w:tcPr>
            <w:tcW w:type="dxa" w:w="1728"/>
          </w:tcPr>
          <w:p>
            <w:pPr>
              <w:spacing w:after="40"/>
            </w:pPr>
            <w:r>
              <w:rPr>
                <w:sz w:val="19"/>
              </w:rPr>
              <w:t>32.1 → ≈67°C</w:t>
            </w:r>
          </w:p>
        </w:tc>
      </w:tr>
      <w:tr>
        <w:trPr>
          <w:cantSplit/>
        </w:trPr>
        <w:tc>
          <w:tcPr>
            <w:tcW w:type="dxa" w:w="2016"/>
          </w:tcPr>
          <w:p>
            <w:pPr>
              <w:spacing w:after="40"/>
            </w:pPr>
            <w:r>
              <w:rPr>
                <w:b/>
                <w:sz w:val="19"/>
              </w:rPr>
              <w:t>Maximum load</w:t>
            </w:r>
          </w:p>
        </w:tc>
        <w:tc>
          <w:tcPr>
            <w:tcW w:type="dxa" w:w="1152"/>
          </w:tcPr>
          <w:p>
            <w:pPr>
              <w:spacing w:after="40"/>
            </w:pPr>
            <w:r>
              <w:rPr>
                <w:sz w:val="19"/>
              </w:rPr>
              <w:t>24.2°C</w:t>
            </w:r>
          </w:p>
        </w:tc>
        <w:tc>
          <w:tcPr>
            <w:tcW w:type="dxa" w:w="1728"/>
          </w:tcPr>
          <w:p>
            <w:pPr>
              <w:spacing w:after="40"/>
            </w:pPr>
            <w:r>
              <w:rPr>
                <w:sz w:val="19"/>
              </w:rPr>
              <w:t>55.0 → ≈91°C</w:t>
            </w:r>
          </w:p>
        </w:tc>
        <w:tc>
          <w:tcPr>
            <w:tcW w:type="dxa" w:w="1584"/>
          </w:tcPr>
          <w:p>
            <w:pPr>
              <w:spacing w:after="40"/>
            </w:pPr>
            <w:r>
              <w:rPr>
                <w:sz w:val="19"/>
              </w:rPr>
              <w:t>58.3 → ≈94°C</w:t>
            </w:r>
          </w:p>
        </w:tc>
        <w:tc>
          <w:tcPr>
            <w:tcW w:type="dxa" w:w="1152"/>
          </w:tcPr>
          <w:p>
            <w:pPr>
              <w:spacing w:after="40"/>
            </w:pPr>
            <w:r>
              <w:rPr>
                <w:sz w:val="19"/>
              </w:rPr>
              <w:t>30.2°C</w:t>
            </w:r>
          </w:p>
        </w:tc>
        <w:tc>
          <w:tcPr>
            <w:tcW w:type="dxa" w:w="1728"/>
          </w:tcPr>
          <w:p>
            <w:pPr>
              <w:spacing w:after="40"/>
            </w:pPr>
            <w:r>
              <w:rPr>
                <w:sz w:val="19"/>
              </w:rPr>
              <w:t>34.8 → ≈71°C</w:t>
            </w:r>
          </w:p>
        </w:tc>
      </w:tr>
      <w:tr>
        <w:trPr>
          <w:cantSplit/>
        </w:trPr>
        <w:tc>
          <w:tcPr>
            <w:tcW w:type="dxa" w:w="2016"/>
          </w:tcPr>
          <w:p>
            <w:pPr>
              <w:spacing w:after="40"/>
            </w:pPr>
            <w:r>
              <w:rPr>
                <w:b/>
                <w:sz w:val="19"/>
              </w:rPr>
              <w:t>Fan stalled (malfunction)</w:t>
            </w:r>
          </w:p>
        </w:tc>
        <w:tc>
          <w:tcPr>
            <w:tcW w:type="dxa" w:w="1152"/>
          </w:tcPr>
          <w:p>
            <w:pPr>
              <w:spacing w:after="40"/>
            </w:pPr>
            <w:r>
              <w:rPr>
                <w:sz w:val="19"/>
              </w:rPr>
              <w:t>24.8°C</w:t>
            </w:r>
          </w:p>
        </w:tc>
        <w:tc>
          <w:tcPr>
            <w:tcW w:type="dxa" w:w="1728"/>
          </w:tcPr>
          <w:p>
            <w:pPr>
              <w:spacing w:after="40"/>
            </w:pPr>
            <w:r>
              <w:rPr>
                <w:sz w:val="19"/>
              </w:rPr>
              <w:t>78.4 → ≈114°C</w:t>
            </w:r>
          </w:p>
        </w:tc>
        <w:tc>
          <w:tcPr>
            <w:tcW w:type="dxa" w:w="1584"/>
          </w:tcPr>
          <w:p>
            <w:pPr>
              <w:spacing w:after="40"/>
            </w:pPr>
            <w:r>
              <w:rPr>
                <w:sz w:val="19"/>
              </w:rPr>
              <w:t>63.4 → ≈99°C</w:t>
            </w:r>
          </w:p>
        </w:tc>
        <w:tc>
          <w:tcPr>
            <w:tcW w:type="dxa" w:w="1152"/>
          </w:tcPr>
          <w:p>
            <w:pPr>
              <w:spacing w:after="40"/>
            </w:pPr>
            <w:r>
              <w:rPr>
                <w:sz w:val="19"/>
              </w:rPr>
              <w:t>36.3°C</w:t>
            </w:r>
          </w:p>
        </w:tc>
        <w:tc>
          <w:tcPr>
            <w:tcW w:type="dxa" w:w="1728"/>
          </w:tcPr>
          <w:p>
            <w:pPr>
              <w:spacing w:after="40"/>
            </w:pPr>
            <w:r>
              <w:rPr>
                <w:sz w:val="19"/>
              </w:rPr>
              <w:t>43.9 → ≈79°C</w:t>
            </w:r>
          </w:p>
        </w:tc>
      </w:tr>
    </w:tbl>
    <w:p>
      <w:pPr>
        <w:spacing w:after="40"/>
      </w:pPr>
    </w:p>
    <w:p>
      <w:pPr>
        <w:spacing w:after="160"/>
      </w:pPr>
      <w:r>
        <w:rPr>
          <w:b w:val="0"/>
          <w:i w:val="0"/>
          <w:sz w:val="21"/>
        </w:rPr>
        <w:t>Preliminary reading against T4. The T4 limit is 135°C; with the 5 K margin applied for temperature classes T3–T6 under IEC 60079-0, the effective limit is 130°C. The highest extrapolated value, ≈114°C on the MQ sensor body in the fan-stalled condition, leaves a margin of about 16 K. The heater element itself (in the approximate 200–400°C range typical of this sensor class) sits inside the sensor can and was not measured directly; the measured sensor-body surface is 44–78°C. Under the recommended flameproof concept (Ex d, Section 2.5), the temperature class is governed by the external surfaces of the flameproof enclosure, whose extrapolated maximum is ≈79°C.</w:t>
      </w:r>
    </w:p>
    <w:p>
      <w:pPr>
        <w:spacing w:after="160"/>
      </w:pPr>
      <w:r>
        <w:rPr>
          <w:b/>
          <w:i w:val="0"/>
          <w:sz w:val="21"/>
        </w:rPr>
        <w:t>Open items before this can be treated as a temperature-class verification:</w:t>
      </w:r>
    </w:p>
    <w:p>
      <w:pPr>
        <w:spacing w:after="160"/>
      </w:pPr>
      <w:r>
        <w:rPr>
          <w:b w:val="0"/>
          <w:i w:val="0"/>
          <w:sz w:val="21"/>
        </w:rPr>
        <w:t>•  TC-3, TC-4 and TC-5 (DC/DC converter, power inductor, MOSFET/power diode) have not been measured; no independent hot-spot location check has been recorded.</w:t>
      </w:r>
    </w:p>
    <w:p>
      <w:pPr>
        <w:spacing w:after="160"/>
      </w:pPr>
      <w:r>
        <w:rPr>
          <w:b w:val="0"/>
          <w:i w:val="0"/>
          <w:sz w:val="21"/>
        </w:rPr>
        <w:t>•  The alarm/transmit condition has not been measured.</w:t>
      </w:r>
    </w:p>
    <w:p>
      <w:pPr>
        <w:spacing w:after="160"/>
      </w:pPr>
      <w:r>
        <w:rPr>
          <w:b w:val="0"/>
          <w:i w:val="0"/>
          <w:sz w:val="21"/>
        </w:rPr>
        <w:t>•  Thermal equilibrium was not demonstrated in every run: the PCB reading under maximum load was still rising in the final hour (46.4 → 55.8 → 58.3°C), above the 2 K/h stability criterion.</w:t>
      </w:r>
    </w:p>
    <w:p>
      <w:pPr>
        <w:spacing w:after="160"/>
      </w:pPr>
      <w:r>
        <w:rPr>
          <w:b w:val="0"/>
          <w:i w:val="0"/>
          <w:sz w:val="21"/>
        </w:rPr>
        <w:t>•  Two short excursions on TC-7 (43.4 and 43.9°C) in the fan-stalled run, with neighbouring readings near 30°C, should be checked for thermocouple contact before the external maximum is finalised.</w:t>
      </w:r>
    </w:p>
    <w:p>
      <w:pPr>
        <w:spacing w:after="160"/>
      </w:pPr>
      <w:r>
        <w:rPr>
          <w:b w:val="0"/>
          <w:i w:val="0"/>
          <w:sz w:val="21"/>
        </w:rPr>
        <w:t>•  Test metadata is not yet recorded: date, operator, unit identification, thermocouple type, supply voltage (the most unfavourable voltage within the rated range should be used), and whether the enclosure was fully closed.</w:t>
      </w:r>
    </w:p>
    <w:p>
      <w:pPr>
        <w:spacing w:after="160"/>
      </w:pPr>
      <w:r>
        <w:rPr>
          <w:b w:val="0"/>
          <w:i w:val="0"/>
          <w:sz w:val="21"/>
        </w:rPr>
        <w:t>•  Extrapolation to +60°C assumes a constant temperature rise above ambient; confirmation requires testing at maximum ambient as part of ExCB type testing.</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 preliminary internal measurement. Indicates T4 is achievable with margin; not a substitute for type testing, and the open items above must be closed first.</w:t>
            </w:r>
          </w:p>
        </w:tc>
      </w:tr>
    </w:tbl>
    <w:p>
      <w:pPr>
        <w:spacing w:after="80"/>
      </w:pPr>
    </w:p>
    <w:p>
      <w:pPr>
        <w:pStyle w:val="Heading4"/>
      </w:pPr>
      <w:r>
        <w:t>2.6.f.1 Temperature-class evaluation structure (revision guide f.1–f.12)</w:t>
      </w:r>
    </w:p>
    <w:p>
      <w:pPr>
        <w:keepNext/>
        <w:spacing w:after="60"/>
      </w:pPr>
      <w:r>
        <w:rPr>
          <w:b/>
          <w:i w:val="0"/>
          <w:color w:val="1B335F"/>
          <w:sz w:val="21"/>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keepNext/>
        <w:spacing w:after="60"/>
      </w:pPr>
      <w:r>
        <w:rPr>
          <w:b/>
          <w:i w:val="0"/>
          <w:color w:val="1B335F"/>
          <w:sz w:val="21"/>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keepNext/>
        <w:spacing w:after="60"/>
      </w:pPr>
      <w:r>
        <w:rPr>
          <w:b/>
          <w:i w:val="0"/>
          <w:color w:val="1B335F"/>
          <w:sz w:val="21"/>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keepNext/>
        <w:spacing w:after="60"/>
      </w:pPr>
      <w:r>
        <w:rPr>
          <w:b/>
          <w:i w:val="0"/>
          <w:color w:val="1B335F"/>
          <w:sz w:val="21"/>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keepNext/>
        <w:spacing w:after="60"/>
      </w:pPr>
      <w:r>
        <w:rPr>
          <w:b/>
          <w:i w:val="0"/>
          <w:color w:val="1B335F"/>
          <w:sz w:val="21"/>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keepNext/>
        <w:spacing w:after="60"/>
      </w:pPr>
      <w:r>
        <w:rPr>
          <w:b/>
          <w:i w:val="0"/>
          <w:color w:val="1B335F"/>
          <w:sz w:val="21"/>
        </w:rPr>
        <w:t>f.6 Blocked or restricted mesh</w:t>
      </w:r>
    </w:p>
    <w:p>
      <w:pPr>
        <w:spacing w:after="100"/>
      </w:pPr>
      <w:r>
        <w:rPr>
          <w:b w:val="0"/>
          <w:i w:val="0"/>
          <w:color w:val="262321"/>
          <w:sz w:val="19"/>
        </w:rPr>
        <w:t>Not tested. To be included where it affects internal cooling.</w:t>
      </w:r>
    </w:p>
    <w:p>
      <w:pPr>
        <w:keepNext/>
        <w:spacing w:after="60"/>
      </w:pPr>
      <w:r>
        <w:rPr>
          <w:b/>
          <w:i w:val="0"/>
          <w:color w:val="1B335F"/>
          <w:sz w:val="21"/>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keepNext/>
        <w:spacing w:after="60"/>
      </w:pPr>
      <w:r>
        <w:rPr>
          <w:b/>
          <w:i w:val="0"/>
          <w:color w:val="1B335F"/>
          <w:sz w:val="21"/>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keepNext/>
        <w:spacing w:after="60"/>
      </w:pPr>
      <w:r>
        <w:rPr>
          <w:b/>
          <w:i w:val="0"/>
          <w:color w:val="1B335F"/>
          <w:sz w:val="21"/>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keepNext/>
        <w:spacing w:after="60"/>
      </w:pPr>
      <w:r>
        <w:rPr>
          <w:b/>
          <w:i w:val="0"/>
          <w:color w:val="1B335F"/>
          <w:sz w:val="21"/>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keepNext/>
        <w:spacing w:after="60"/>
      </w:pPr>
      <w:r>
        <w:rPr>
          <w:b/>
          <w:i w:val="0"/>
          <w:color w:val="1B335F"/>
          <w:sz w:val="21"/>
        </w:rPr>
        <w:t>f.11 Results table</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T-04</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T-05</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T-05</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T-06</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T-07</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keepNext/>
        <w:spacing w:after="60"/>
      </w:pPr>
      <w:r>
        <w:rPr>
          <w:b/>
          <w:i w:val="0"/>
          <w:color w:val="1B335F"/>
          <w:sz w:val="21"/>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T-04, T-06,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tbl>
      <w:tblPr>
        <w:tblStyle w:val="TableGrid"/>
        <w:tblW w:type="auto" w:w="0"/>
        <w:jc w:val="center"/>
        <w:tblLayout w:type="fixed"/>
        <w:tblLook w:firstColumn="1" w:firstRow="1" w:lastColumn="0" w:lastRow="0" w:noHBand="0" w:noVBand="1" w:val="04A0"/>
        <w:tblLayout w:type="fixed"/>
      </w:tblPr>
      <w:tblGrid>
        <w:gridCol w:w="3456"/>
        <w:gridCol w:w="1872"/>
        <w:gridCol w:w="4320"/>
      </w:tblGrid>
      <w:tr>
        <w:trPr>
          <w:tblHeader w:val="true"/>
        </w:trPr>
        <w:tc>
          <w:tcPr>
            <w:tcW w:type="dxa" w:w="3456"/>
            <w:shd w:val="clear" w:color="auto" w:fill="EFEFEF"/>
          </w:tcPr>
          <w:p>
            <w:pPr>
              <w:spacing w:after="40"/>
            </w:pPr>
            <w:r>
              <w:rPr>
                <w:b/>
                <w:color w:val="4A4A4A"/>
                <w:sz w:val="18"/>
              </w:rPr>
              <w:t>SUB-ITEM</w:t>
            </w:r>
          </w:p>
        </w:tc>
        <w:tc>
          <w:tcPr>
            <w:tcW w:type="dxa" w:w="1872"/>
            <w:shd w:val="clear" w:color="auto" w:fill="EFEFEF"/>
          </w:tcPr>
          <w:p>
            <w:pPr>
              <w:spacing w:after="40"/>
            </w:pPr>
            <w:r>
              <w:rPr>
                <w:b/>
                <w:color w:val="4A4A4A"/>
                <w:sz w:val="18"/>
              </w:rPr>
              <w:t>STATUS</w:t>
            </w:r>
          </w:p>
        </w:tc>
        <w:tc>
          <w:tcPr>
            <w:tcW w:type="dxa" w:w="4320"/>
            <w:shd w:val="clear" w:color="auto" w:fill="EFEFEF"/>
          </w:tcPr>
          <w:p>
            <w:pPr>
              <w:spacing w:after="40"/>
            </w:pPr>
            <w:r>
              <w:rPr>
                <w:b/>
                <w:color w:val="4A4A4A"/>
                <w:sz w:val="18"/>
              </w:rPr>
              <w:t>REMARKS</w:t>
            </w:r>
          </w:p>
        </w:tc>
      </w:tr>
      <w:tr>
        <w:trPr>
          <w:cantSplit/>
        </w:trPr>
        <w:tc>
          <w:tcPr>
            <w:tcW w:type="dxa" w:w="3456"/>
          </w:tcPr>
          <w:p>
            <w:pPr>
              <w:spacing w:after="40"/>
            </w:pPr>
            <w:r>
              <w:rPr>
                <w:b/>
                <w:sz w:val="19"/>
              </w:rPr>
              <w:t>a) Safety warnings</w:t>
            </w:r>
          </w:p>
        </w:tc>
        <w:tc>
          <w:tcPr>
            <w:tcW w:type="dxa" w:w="1872"/>
          </w:tcPr>
          <w:p>
            <w:pPr>
              <w:spacing w:after="40"/>
            </w:pPr>
            <w:r>
              <w:rPr>
                <w:b/>
                <w:color w:val="B56A1E"/>
                <w:sz w:val="19"/>
              </w:rPr>
              <w:t>Draft available</w:t>
            </w:r>
          </w:p>
        </w:tc>
        <w:tc>
          <w:tcPr>
            <w:tcW w:type="dxa" w:w="4320"/>
          </w:tcPr>
          <w:p>
            <w:pPr>
              <w:spacing w:after="40"/>
            </w:pPr>
            <w:r>
              <w:rPr>
                <w:sz w:val="19"/>
              </w:rPr>
              <w:t>Drafted below (18 Sep 2026); not yet reviewed against a selected explosion-protection concept.</w:t>
            </w:r>
          </w:p>
        </w:tc>
      </w:tr>
      <w:tr>
        <w:trPr>
          <w:cantSplit/>
        </w:trPr>
        <w:tc>
          <w:tcPr>
            <w:tcW w:type="dxa" w:w="3456"/>
          </w:tcPr>
          <w:p>
            <w:pPr>
              <w:spacing w:after="40"/>
            </w:pPr>
            <w:r>
              <w:rPr>
                <w:b/>
                <w:sz w:val="19"/>
              </w:rPr>
              <w:t>b) Installation requirements (cable entry, torque, grounding, cleaning)</w:t>
            </w:r>
          </w:p>
        </w:tc>
        <w:tc>
          <w:tcPr>
            <w:tcW w:type="dxa" w:w="1872"/>
          </w:tcPr>
          <w:p>
            <w:pPr>
              <w:spacing w:after="40"/>
            </w:pPr>
            <w:r>
              <w:rPr>
                <w:b/>
                <w:color w:val="B56A1E"/>
                <w:sz w:val="19"/>
              </w:rPr>
              <w:t>Draft available</w:t>
            </w:r>
          </w:p>
        </w:tc>
        <w:tc>
          <w:tcPr>
            <w:tcW w:type="dxa" w:w="4320"/>
          </w:tcPr>
          <w:p>
            <w:pPr>
              <w:spacing w:after="40"/>
            </w:pPr>
            <w:r>
              <w:rPr>
                <w:sz w:val="19"/>
              </w:rPr>
              <w:t>Procedural text drafted below; the mechanical mounting method itself (U-bolt mounting plate, no drilling/welding — Section 2.3.c) and the specific cable gland/torque values are still pending final component selection.</w:t>
            </w:r>
          </w:p>
        </w:tc>
      </w:tr>
      <w:tr>
        <w:trPr>
          <w:cantSplit/>
        </w:trPr>
        <w:tc>
          <w:tcPr>
            <w:tcW w:type="dxa" w:w="3456"/>
          </w:tcPr>
          <w:p>
            <w:pPr>
              <w:spacing w:after="40"/>
            </w:pPr>
            <w:r>
              <w:rPr>
                <w:b/>
                <w:sz w:val="19"/>
              </w:rPr>
              <w:t>c) Operating instructions and maintenance requirements</w:t>
            </w:r>
          </w:p>
        </w:tc>
        <w:tc>
          <w:tcPr>
            <w:tcW w:type="dxa" w:w="1872"/>
          </w:tcPr>
          <w:p>
            <w:pPr>
              <w:spacing w:after="40"/>
            </w:pPr>
            <w:r>
              <w:rPr>
                <w:b/>
                <w:color w:val="B56A1E"/>
                <w:sz w:val="19"/>
              </w:rPr>
              <w:t>Draft available</w:t>
            </w:r>
          </w:p>
        </w:tc>
        <w:tc>
          <w:tcPr>
            <w:tcW w:type="dxa" w:w="4320"/>
          </w:tcPr>
          <w:p>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Draft text available (source: internal working draft, Rev. 18 Sep 2026). This is a draft for review, not a finalized, Ex-approved installation and operation manual. It has not been checked against a selected type of protection (Ex d/e/i, Section 2.6.e), a confirmed temperature class (Section 2.6.f), or finalized cable-entry/enclosure hardware. It also feeds the standalone Instruction_Manual_GLD deliverable.</w:t>
            </w:r>
          </w:p>
        </w:tc>
      </w:tr>
    </w:tbl>
    <w:p>
      <w:pPr>
        <w:spacing w:after="80"/>
      </w:pPr>
    </w:p>
    <w:p>
      <w:pPr>
        <w:spacing w:after="40"/>
      </w:pPr>
      <w:r>
        <w:rPr>
          <w:b/>
          <w:i w:val="0"/>
          <w:color w:val="1A2B3D"/>
          <w:sz w:val="21"/>
        </w:rPr>
        <w:t>2.6.g.a · Safety Warnings (Draft)</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40"/>
      </w:pPr>
      <w:r>
        <w:rPr>
          <w:b/>
          <w:i w:val="0"/>
          <w:color w:val="1A2B3D"/>
          <w:sz w:val="21"/>
        </w:rPr>
        <w:t>2.6.g.b · Detailed Installation Requirements (Draft)</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are not yet available —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40"/>
      </w:pPr>
      <w:r>
        <w:rPr>
          <w:b/>
          <w:i w:val="0"/>
          <w:color w:val="1A2B3D"/>
          <w:sz w:val="21"/>
        </w:rPr>
        <w:t>2.6.g.c · Operating Instructions and Maintenance Requirements (Draft)</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without controlled approval and a documented rollback path.</w:t>
      </w:r>
    </w:p>
    <w:p>
      <w:pPr>
        <w:spacing w:after="160"/>
      </w:pPr>
      <w:r>
        <w:rPr>
          <w:b w:val="0"/>
          <w:i w:val="0"/>
          <w:sz w:val="20"/>
        </w:rPr>
        <w:t>Three operating modes are distinguished:</w:t>
      </w:r>
    </w:p>
    <w:tbl>
      <w:tblPr>
        <w:tblStyle w:val="TableGrid"/>
        <w:tblW w:type="auto" w:w="0"/>
        <w:jc w:val="center"/>
        <w:tblLayout w:type="fixed"/>
        <w:tblLook w:firstColumn="1" w:firstRow="1" w:lastColumn="0" w:lastRow="0" w:noHBand="0" w:noVBand="1" w:val="04A0"/>
        <w:tblLayout w:type="fixed"/>
      </w:tblPr>
      <w:tblGrid>
        <w:gridCol w:w="1872"/>
        <w:gridCol w:w="4320"/>
        <w:gridCol w:w="3456"/>
      </w:tblGrid>
      <w:tr>
        <w:trPr>
          <w:tblHeader w:val="true"/>
        </w:trPr>
        <w:tc>
          <w:tcPr>
            <w:tcW w:type="dxa" w:w="1872"/>
            <w:shd w:val="clear" w:color="auto" w:fill="EFEFEF"/>
          </w:tcPr>
          <w:p>
            <w:pPr>
              <w:spacing w:after="40"/>
            </w:pPr>
            <w:r>
              <w:rPr>
                <w:b/>
                <w:color w:val="4A4A4A"/>
                <w:sz w:val="18"/>
              </w:rPr>
              <w:t>MODE</w:t>
            </w:r>
          </w:p>
        </w:tc>
        <w:tc>
          <w:tcPr>
            <w:tcW w:type="dxa" w:w="4320"/>
            <w:shd w:val="clear" w:color="auto" w:fill="EFEFEF"/>
          </w:tcPr>
          <w:p>
            <w:pPr>
              <w:spacing w:after="40"/>
            </w:pPr>
            <w:r>
              <w:rPr>
                <w:b/>
                <w:color w:val="4A4A4A"/>
                <w:sz w:val="18"/>
              </w:rPr>
              <w:t>PURPOSE</w:t>
            </w:r>
          </w:p>
        </w:tc>
        <w:tc>
          <w:tcPr>
            <w:tcW w:type="dxa" w:w="3456"/>
            <w:shd w:val="clear" w:color="auto" w:fill="EFEFEF"/>
          </w:tcPr>
          <w:p>
            <w:pPr>
              <w:spacing w:after="40"/>
            </w:pPr>
            <w:r>
              <w:rPr>
                <w:b/>
                <w:color w:val="4A4A4A"/>
                <w:sz w:val="18"/>
              </w:rPr>
              <w:t>USE RESTRICTION</w:t>
            </w:r>
          </w:p>
        </w:tc>
      </w:tr>
      <w:tr>
        <w:trPr>
          <w:cantSplit/>
        </w:trPr>
        <w:tc>
          <w:tcPr>
            <w:tcW w:type="dxa" w:w="1872"/>
          </w:tcPr>
          <w:p>
            <w:pPr>
              <w:spacing w:after="40"/>
            </w:pPr>
            <w:r>
              <w:rPr>
                <w:b/>
                <w:sz w:val="19"/>
              </w:rPr>
              <w:t>Inference</w:t>
            </w:r>
          </w:p>
        </w:tc>
        <w:tc>
          <w:tcPr>
            <w:tcW w:type="dxa" w:w="4320"/>
          </w:tcPr>
          <w:p>
            <w:pPr>
              <w:spacing w:after="40"/>
            </w:pPr>
            <w:r>
              <w:rPr>
                <w:sz w:val="19"/>
              </w:rPr>
              <w:t>Normal gas-class inference and alarm operation</w:t>
            </w:r>
          </w:p>
        </w:tc>
        <w:tc>
          <w:tcPr>
            <w:tcW w:type="dxa" w:w="3456"/>
          </w:tcPr>
          <w:p>
            <w:pPr>
              <w:spacing w:after="40"/>
            </w:pPr>
            <w:r>
              <w:rPr>
                <w:sz w:val="19"/>
              </w:rPr>
              <w:t>Production operating mode after commissioning</w:t>
            </w:r>
          </w:p>
        </w:tc>
      </w:tr>
      <w:tr>
        <w:trPr>
          <w:cantSplit/>
        </w:trPr>
        <w:tc>
          <w:tcPr>
            <w:tcW w:type="dxa" w:w="1872"/>
          </w:tcPr>
          <w:p>
            <w:pPr>
              <w:spacing w:after="40"/>
            </w:pPr>
            <w:r>
              <w:rPr>
                <w:b/>
                <w:sz w:val="19"/>
              </w:rPr>
              <w:t>Dataset</w:t>
            </w:r>
          </w:p>
        </w:tc>
        <w:tc>
          <w:tcPr>
            <w:tcW w:type="dxa" w:w="4320"/>
          </w:tcPr>
          <w:p>
            <w:pPr>
              <w:spacing w:after="40"/>
            </w:pPr>
            <w:r>
              <w:rPr>
                <w:sz w:val="19"/>
              </w:rPr>
              <w:t>Engineering / data-collection activity</w:t>
            </w:r>
          </w:p>
        </w:tc>
        <w:tc>
          <w:tcPr>
            <w:tcW w:type="dxa" w:w="3456"/>
          </w:tcPr>
          <w:p>
            <w:pPr>
              <w:spacing w:after="40"/>
            </w:pPr>
            <w:r>
              <w:rPr>
                <w:sz w:val="19"/>
              </w:rPr>
              <w:t>Not a substitute for approved detection operation</w:t>
            </w:r>
          </w:p>
        </w:tc>
      </w:tr>
      <w:tr>
        <w:trPr>
          <w:cantSplit/>
        </w:trPr>
        <w:tc>
          <w:tcPr>
            <w:tcW w:type="dxa" w:w="1872"/>
          </w:tcPr>
          <w:p>
            <w:pPr>
              <w:spacing w:after="40"/>
            </w:pPr>
            <w:r>
              <w:rPr>
                <w:b/>
                <w:sz w:val="19"/>
              </w:rPr>
              <w:t>Nulling</w:t>
            </w:r>
          </w:p>
        </w:tc>
        <w:tc>
          <w:tcPr>
            <w:tcW w:type="dxa" w:w="4320"/>
          </w:tcPr>
          <w:p>
            <w:pPr>
              <w:spacing w:after="40"/>
            </w:pPr>
            <w:r>
              <w:rPr>
                <w:sz w:val="19"/>
              </w:rPr>
              <w:t>Sensor baseline / calibration activity</w:t>
            </w:r>
          </w:p>
        </w:tc>
        <w:tc>
          <w:tcPr>
            <w:tcW w:type="dxa" w:w="3456"/>
          </w:tcPr>
          <w:p>
            <w:pPr>
              <w:spacing w:after="40"/>
            </w:pPr>
            <w:r>
              <w:rPr>
                <w:sz w:val="19"/>
              </w:rPr>
              <w:t>Clean air only; perform under approved procedure; require complete 8/8 result</w:t>
            </w:r>
          </w:p>
        </w:tc>
      </w:tr>
    </w:tbl>
    <w:p>
      <w:pPr>
        <w:spacing w:after="40"/>
      </w:pP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keepNext/>
        <w:spacing w:after="60"/>
      </w:pPr>
      <w:r>
        <w:rPr>
          <w:b/>
          <w:i w:val="0"/>
          <w:color w:val="1B335F"/>
          <w:sz w:val="21"/>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keepNext/>
        <w:spacing w:after="60"/>
      </w:pPr>
      <w:r>
        <w:rPr>
          <w:b/>
          <w:i w:val="0"/>
          <w:color w:val="1B335F"/>
          <w:sz w:val="21"/>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keepNext/>
        <w:spacing w:after="60"/>
      </w:pPr>
      <w:r>
        <w:rPr>
          <w:b/>
          <w:i w:val="0"/>
          <w:color w:val="1B335F"/>
          <w:sz w:val="21"/>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keepNext/>
        <w:spacing w:after="60"/>
      </w:pPr>
      <w:r>
        <w:rPr>
          <w:b/>
          <w:i w:val="0"/>
          <w:color w:val="1B335F"/>
          <w:sz w:val="21"/>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keepNext/>
        <w:spacing w:after="60"/>
      </w:pPr>
      <w:r>
        <w:rPr>
          <w:b/>
          <w:i w:val="0"/>
          <w:color w:val="1B335F"/>
          <w:sz w:val="21"/>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current draft already requires recording the installed component part number and certificate reference.</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keepNext/>
        <w:spacing w:after="60"/>
      </w:pPr>
      <w:r>
        <w:rPr>
          <w:b/>
          <w:i w:val="0"/>
          <w:color w:val="1B335F"/>
          <w:sz w:val="21"/>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pStyle w:val="ListBullet"/>
        <w:spacing w:after="20"/>
      </w:pPr>
      <w:r>
        <w:rPr>
          <w:b w:val="0"/>
          <w:i w:val="0"/>
          <w:color w:val="262321"/>
          <w:sz w:val="19"/>
        </w:rPr>
        <w:t>posisi grounding stud,</w:t>
      </w:r>
    </w:p>
    <w:p>
      <w:pPr>
        <w:pStyle w:val="ListBullet"/>
        <w:spacing w:after="20"/>
      </w:pPr>
      <w:r>
        <w:rPr>
          <w:b w:val="0"/>
          <w:i w:val="0"/>
          <w:color w:val="262321"/>
          <w:sz w:val="19"/>
        </w:rPr>
        <w:t>diameter/ukuran stud,</w:t>
      </w:r>
    </w:p>
    <w:p>
      <w:pPr>
        <w:pStyle w:val="ListBullet"/>
        <w:spacing w:after="20"/>
      </w:pPr>
      <w:r>
        <w:rPr>
          <w:b w:val="0"/>
          <w:i w:val="0"/>
          <w:color w:val="262321"/>
          <w:sz w:val="19"/>
        </w:rPr>
        <w:t>urutan washer–lug–nut,</w:t>
      </w:r>
    </w:p>
    <w:p>
      <w:pPr>
        <w:pStyle w:val="ListBullet"/>
        <w:spacing w:after="20"/>
      </w:pPr>
      <w:r>
        <w:rPr>
          <w:b w:val="0"/>
          <w:i w:val="0"/>
          <w:color w:val="262321"/>
          <w:sz w:val="19"/>
        </w:rPr>
        <w:t>material hardware,</w:t>
      </w:r>
    </w:p>
    <w:p>
      <w:pPr>
        <w:pStyle w:val="ListBullet"/>
        <w:spacing w:after="20"/>
      </w:pPr>
      <w:r>
        <w:rPr>
          <w:b w:val="0"/>
          <w:i w:val="0"/>
          <w:color w:val="262321"/>
          <w:sz w:val="19"/>
        </w:rPr>
        <w:t>simbol PE,</w:t>
      </w:r>
    </w:p>
    <w:p>
      <w:pPr>
        <w:pStyle w:val="ListBullet"/>
        <w:spacing w:after="20"/>
      </w:pPr>
      <w:r>
        <w:rPr>
          <w:b w:val="0"/>
          <w:i w:val="0"/>
          <w:color w:val="262321"/>
          <w:sz w:val="19"/>
        </w:rPr>
        <w:t>nilai torque,</w:t>
      </w:r>
    </w:p>
    <w:p>
      <w:pPr>
        <w:pStyle w:val="ListBullet"/>
        <w:spacing w:after="20"/>
      </w:pPr>
      <w:r>
        <w:rPr>
          <w:b w:val="0"/>
          <w:i w:val="0"/>
          <w:color w:val="262321"/>
          <w:sz w:val="19"/>
        </w:rPr>
        <w:t>acceptance limit continuity.</w:t>
      </w:r>
    </w:p>
    <w:p>
      <w:pPr>
        <w:keepNext/>
        <w:spacing w:after="60"/>
      </w:pPr>
      <w:r>
        <w:rPr>
          <w:b/>
          <w:i w:val="0"/>
          <w:color w:val="1B335F"/>
          <w:sz w:val="21"/>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keepNext/>
        <w:spacing w:after="60"/>
      </w:pPr>
      <w:r>
        <w:rPr>
          <w:b/>
          <w:i w:val="0"/>
          <w:color w:val="1B335F"/>
          <w:sz w:val="21"/>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current production configuration identified in the draft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keepNext/>
        <w:spacing w:after="60"/>
      </w:pPr>
      <w:r>
        <w:rPr>
          <w:b/>
          <w:i w:val="0"/>
          <w:color w:val="1B335F"/>
          <w:sz w:val="21"/>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 This limitation is already stated in the current draft.</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 The current draft already specifies clean-air operation and the complete 8/8 requirement.</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keepNext/>
        <w:spacing w:after="60"/>
      </w:pPr>
      <w:r>
        <w:rPr>
          <w:b/>
          <w:i w:val="0"/>
          <w:color w:val="1B335F"/>
          <w:sz w:val="21"/>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keepNext/>
        <w:spacing w:after="60"/>
      </w:pPr>
      <w:r>
        <w:rPr>
          <w:b/>
          <w:i w:val="0"/>
          <w:color w:val="1B335F"/>
          <w:sz w:val="21"/>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The current draft requires a complete 8/8 result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keepNext/>
        <w:spacing w:after="60"/>
      </w:pPr>
      <w:r>
        <w:rPr>
          <w:b/>
          <w:i w:val="0"/>
          <w:color w:val="1B335F"/>
          <w:sz w:val="21"/>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draft already requires removal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keepNext/>
        <w:spacing w:after="60"/>
      </w:pPr>
      <w:r>
        <w:rPr>
          <w:b/>
          <w:i w:val="0"/>
          <w:color w:val="1B335F"/>
          <w:sz w:val="21"/>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The current draft specifies visual inspection of the sensors and protective mesh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The existing draft specifies alarm-function testing, sensor recalibration/nulling, and inspection of flame paths and cover threads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The current draft specifies annual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keepNext/>
        <w:spacing w:after="60"/>
      </w:pPr>
      <w:r>
        <w:rPr>
          <w:b/>
          <w:i w:val="0"/>
          <w:color w:val="1B335F"/>
          <w:sz w:val="21"/>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keepNext/>
        <w:spacing w:after="60"/>
      </w:pPr>
      <w:r>
        <w:rPr>
          <w:b/>
          <w:i w:val="0"/>
          <w:color w:val="1B335F"/>
          <w:sz w:val="21"/>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keepNext/>
        <w:spacing w:after="60"/>
      </w:pPr>
      <w:r>
        <w:rPr>
          <w:b/>
          <w:i w:val="0"/>
          <w:color w:val="1B335F"/>
          <w:sz w:val="21"/>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keepNext/>
        <w:spacing w:after="60"/>
      </w:pPr>
      <w:r>
        <w:rPr>
          <w:b/>
          <w:i w:val="0"/>
          <w:color w:val="1B335F"/>
          <w:sz w:val="21"/>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keepNext/>
        <w:spacing w:after="60"/>
      </w:pPr>
      <w:r>
        <w:rPr>
          <w:b/>
          <w:i w:val="0"/>
          <w:color w:val="1B335F"/>
          <w:sz w:val="21"/>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keepNext/>
        <w:spacing w:after="60"/>
      </w:pPr>
      <w:r>
        <w:rPr>
          <w:b/>
          <w:i w:val="0"/>
          <w:color w:val="1B335F"/>
          <w:sz w:val="21"/>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pStyle w:val="Heading3"/>
      </w:pPr>
      <w:r>
        <w:t>2.6.h · Nameplate Information</w:t>
      </w:r>
    </w:p>
    <w:p>
      <w:pPr>
        <w:spacing w:after="160"/>
      </w:pPr>
      <w:r>
        <w:rPr>
          <w:b w:val="0"/>
          <w:i w:val="0"/>
          <w:sz w:val="21"/>
        </w:rPr>
        <w:t>Nameplate artwork cannot yet be finalized: it depends on the certificate number, protection marking, temperature class, ambient range, IP rating, and serialization scheme — none of which has been assigned yet.</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Bekasi,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ATEX equipment group / category</w:t>
            </w:r>
          </w:p>
        </w:tc>
        <w:tc>
          <w:tcPr>
            <w:tcW w:type="dxa" w:w="5184"/>
          </w:tcPr>
          <w:p>
            <w:pPr>
              <w:spacing w:after="20"/>
            </w:pPr>
            <w:r>
              <w:rPr>
                <w:sz w:val="16"/>
              </w:rPr>
              <w:t>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w:t>
            </w:r>
          </w:p>
        </w:tc>
        <w:tc>
          <w:tcPr>
            <w:tcW w:type="dxa" w:w="1872"/>
            <w:shd w:val="clear" w:fill="FBEEE4"/>
          </w:tcPr>
          <w:p>
            <w:pPr>
              <w:spacing w:after="20"/>
            </w:pPr>
            <w:r>
              <w:rPr>
                <w:b/>
                <w:sz w:val="16"/>
              </w:rPr>
              <w:t>TBC</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pStyle w:val="Heading3"/>
      </w:pPr>
      <w:r>
        <w:t>2.6.i · Ex Component Certificates</w:t>
      </w:r>
    </w:p>
    <w:p>
      <w:pPr>
        <w:spacing w:after="160"/>
      </w:pPr>
      <w:r>
        <w:rPr>
          <w:b w:val="0"/>
          <w:i w:val="0"/>
          <w:sz w:val="21"/>
        </w:rP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spacing w:after="160"/>
      </w:pPr>
      <w:r>
        <w:rPr>
          <w:b w:val="0"/>
          <w:i w:val="0"/>
          <w:sz w:val="21"/>
        </w:rPr>
        <w:t>Model, serial number, and sample status (whether the unit can be powered on and operated), together with any required test fixtures or auxiliary equipment.</w:t>
      </w:r>
    </w:p>
    <w:p>
      <w:pPr>
        <w:pStyle w:val="Heading2"/>
      </w:pPr>
      <w:r>
        <w:t>3.1 · Model, Serial Number, and Status</w:t>
      </w:r>
    </w:p>
    <w:p>
      <w:pPr>
        <w:spacing w:after="160"/>
      </w:pPr>
      <w:r>
        <w:rPr>
          <w:b w:val="0"/>
          <w:i w:val="0"/>
          <w:sz w:val="21"/>
        </w:rPr>
        <w:t>Sample submitted: model GLD V2 (GLD_V2), serial number GLD2-0x1001. The sample powers on and runs in Inference (normal operation) mode. The full sample register is given in Section 3.3.</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Available — sample identified (GLD2-0x1001). Firmware and AI-model version still to be recorded on the sample label and test record.</w:t>
            </w:r>
          </w:p>
        </w:tc>
      </w:tr>
    </w:tbl>
    <w:p>
      <w:pPr>
        <w:spacing w:after="80"/>
      </w:pPr>
    </w:p>
    <w:p>
      <w:pPr>
        <w:pStyle w:val="Heading2"/>
      </w:pPr>
      <w:r>
        <w:t>3.2 · Test Fixtures and Auxiliary Equipment</w:t>
      </w:r>
    </w:p>
    <w:p>
      <w:pPr>
        <w:spacing w:after="160"/>
      </w:pPr>
      <w:r>
        <w:rPr>
          <w:b w:val="0"/>
          <w:i w:val="0"/>
          <w:sz w:val="21"/>
        </w:rPr>
        <w:t>A draft internal functional test plan identifies the minimum equipment anticipated for bench-level verification (this plan has not yet been executed and is not evidence of lab readiness):</w:t>
      </w:r>
    </w:p>
    <w:tbl>
      <w:tblPr>
        <w:tblStyle w:val="TableGrid"/>
        <w:tblW w:type="auto" w:w="0"/>
        <w:jc w:val="center"/>
        <w:tblLayout w:type="fixed"/>
        <w:tblLook w:firstColumn="1" w:firstRow="1" w:lastColumn="0" w:lastRow="0" w:noHBand="0" w:noVBand="1" w:val="04A0"/>
        <w:tblLayout w:type="fixed"/>
      </w:tblPr>
      <w:tblGrid>
        <w:gridCol w:w="2592"/>
        <w:gridCol w:w="7056"/>
      </w:tblGrid>
      <w:tr>
        <w:trPr>
          <w:tblHeader w:val="true"/>
        </w:trPr>
        <w:tc>
          <w:tcPr>
            <w:tcW w:type="dxa" w:w="2592"/>
            <w:shd w:val="clear" w:color="auto" w:fill="EFEFEF"/>
          </w:tcPr>
          <w:p>
            <w:pPr>
              <w:spacing w:after="40"/>
            </w:pPr>
            <w:r>
              <w:rPr>
                <w:b/>
                <w:color w:val="4A4A4A"/>
                <w:sz w:val="18"/>
              </w:rPr>
              <w:t>TEST GROUP</w:t>
            </w:r>
          </w:p>
        </w:tc>
        <w:tc>
          <w:tcPr>
            <w:tcW w:type="dxa" w:w="7056"/>
            <w:shd w:val="clear" w:color="auto" w:fill="EFEFEF"/>
          </w:tcPr>
          <w:p>
            <w:pPr>
              <w:spacing w:after="40"/>
            </w:pPr>
            <w:r>
              <w:rPr>
                <w:b/>
                <w:color w:val="4A4A4A"/>
                <w:sz w:val="18"/>
              </w:rPr>
              <w:t>MINIMUM EQUIPMENT</w:t>
            </w:r>
          </w:p>
        </w:tc>
      </w:tr>
      <w:tr>
        <w:trPr>
          <w:cantSplit/>
        </w:trPr>
        <w:tc>
          <w:tcPr>
            <w:tcW w:type="dxa" w:w="2592"/>
          </w:tcPr>
          <w:p>
            <w:pPr>
              <w:spacing w:after="40"/>
            </w:pPr>
            <w:r>
              <w:rPr>
                <w:b/>
                <w:sz w:val="19"/>
              </w:rPr>
              <w:t>Firmware / serial</w:t>
            </w:r>
          </w:p>
        </w:tc>
        <w:tc>
          <w:tcPr>
            <w:tcW w:type="dxa" w:w="7056"/>
          </w:tcPr>
          <w:p>
            <w:pPr>
              <w:spacing w:after="40"/>
            </w:pPr>
            <w:r>
              <w:rPr>
                <w:sz w:val="19"/>
              </w:rPr>
              <w:t>Engineering commissioning tool or serial terminal; firmware package with recorded version</w:t>
            </w:r>
          </w:p>
        </w:tc>
      </w:tr>
      <w:tr>
        <w:trPr>
          <w:cantSplit/>
        </w:trPr>
        <w:tc>
          <w:tcPr>
            <w:tcW w:type="dxa" w:w="2592"/>
          </w:tcPr>
          <w:p>
            <w:pPr>
              <w:spacing w:after="40"/>
            </w:pPr>
            <w:r>
              <w:rPr>
                <w:b/>
                <w:sz w:val="19"/>
              </w:rPr>
              <w:t>I2C / ADC / DAC</w:t>
            </w:r>
          </w:p>
        </w:tc>
        <w:tc>
          <w:tcPr>
            <w:tcW w:type="dxa" w:w="7056"/>
          </w:tcPr>
          <w:p>
            <w:pPr>
              <w:spacing w:after="40"/>
            </w:pPr>
            <w:r>
              <w:rPr>
                <w:sz w:val="19"/>
              </w:rPr>
              <w:t>No additional equipment for protocol-level acknowledgement/readback; multimeter or oscilloscope where physical voltage must be substantiated</w:t>
            </w:r>
          </w:p>
        </w:tc>
      </w:tr>
      <w:tr>
        <w:trPr>
          <w:cantSplit/>
        </w:trPr>
        <w:tc>
          <w:tcPr>
            <w:tcW w:type="dxa" w:w="2592"/>
          </w:tcPr>
          <w:p>
            <w:pPr>
              <w:spacing w:after="40"/>
            </w:pPr>
            <w:r>
              <w:rPr>
                <w:b/>
                <w:sz w:val="19"/>
              </w:rPr>
              <w:t>Power / watchdog timer</w:t>
            </w:r>
          </w:p>
        </w:tc>
        <w:tc>
          <w:tcPr>
            <w:tcW w:type="dxa" w:w="7056"/>
          </w:tcPr>
          <w:p>
            <w:pPr>
              <w:spacing w:after="40"/>
            </w:pPr>
            <w:r>
              <w:rPr>
                <w:sz w:val="19"/>
              </w:rPr>
              <w:t>Controlled 24 V supply, an applicable battery source, multimeter, and oscilloscope/logic analyzer</w:t>
            </w:r>
          </w:p>
        </w:tc>
      </w:tr>
      <w:tr>
        <w:trPr>
          <w:cantSplit/>
        </w:trPr>
        <w:tc>
          <w:tcPr>
            <w:tcW w:type="dxa" w:w="2592"/>
          </w:tcPr>
          <w:p>
            <w:pPr>
              <w:spacing w:after="40"/>
            </w:pPr>
            <w:r>
              <w:rPr>
                <w:b/>
                <w:sz w:val="19"/>
              </w:rPr>
              <w:t>Alarm</w:t>
            </w:r>
          </w:p>
        </w:tc>
        <w:tc>
          <w:tcPr>
            <w:tcW w:type="dxa" w:w="7056"/>
          </w:tcPr>
          <w:p>
            <w:pPr>
              <w:spacing w:after="40"/>
            </w:pPr>
            <w:r>
              <w:rPr>
                <w:sz w:val="19"/>
              </w:rPr>
              <w:t>The actual alarm load, multimeter/oscilloscope, and hearing protection if an audible buzzer is fitted</w:t>
            </w:r>
          </w:p>
        </w:tc>
      </w:tr>
      <w:tr>
        <w:trPr>
          <w:cantSplit/>
        </w:trPr>
        <w:tc>
          <w:tcPr>
            <w:tcW w:type="dxa" w:w="2592"/>
          </w:tcPr>
          <w:p>
            <w:pPr>
              <w:spacing w:after="40"/>
            </w:pPr>
            <w:r>
              <w:rPr>
                <w:b/>
                <w:sz w:val="19"/>
              </w:rPr>
              <w:t>LoRa</w:t>
            </w:r>
          </w:p>
        </w:tc>
        <w:tc>
          <w:tcPr>
            <w:tcW w:type="dxa" w:w="7056"/>
          </w:tcPr>
          <w:p>
            <w:pPr>
              <w:spacing w:after="40"/>
            </w:pPr>
            <w:r>
              <w:rPr>
                <w:sz w:val="19"/>
              </w:rPr>
              <w:t>At least one counterpart Cluster Head/Gateway device with recorded configuration</w:t>
            </w:r>
          </w:p>
        </w:tc>
      </w:tr>
      <w:tr>
        <w:trPr>
          <w:cantSplit/>
        </w:trPr>
        <w:tc>
          <w:tcPr>
            <w:tcW w:type="dxa" w:w="2592"/>
          </w:tcPr>
          <w:p>
            <w:pPr>
              <w:spacing w:after="40"/>
            </w:pPr>
            <w:r>
              <w:rPr>
                <w:b/>
                <w:sz w:val="19"/>
              </w:rPr>
              <w:t>RS-485 / Modbus</w:t>
            </w:r>
          </w:p>
        </w:tc>
        <w:tc>
          <w:tcPr>
            <w:tcW w:type="dxa" w:w="7056"/>
          </w:tcPr>
          <w:p>
            <w:pPr>
              <w:spacing w:after="40"/>
            </w:pPr>
            <w:r>
              <w:rPr>
                <w:sz w:val="19"/>
              </w:rPr>
              <w:t>An RS-485/USB-RS485 master with proper termination and the agreed register map</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Draft plan only — not yet executed, and not evidence of ExCB/laboratory test readiness.</w:t>
            </w:r>
          </w:p>
        </w:tc>
      </w:tr>
    </w:tbl>
    <w:p>
      <w:pPr>
        <w:spacing w:after="80"/>
      </w:pPr>
    </w:p>
    <w:p>
      <w:pPr>
        <w:spacing w:after="160"/>
      </w:pPr>
      <w:r>
        <w:rPr>
          <w:b w:val="0"/>
          <w:i w:val="0"/>
          <w:sz w:val="21"/>
        </w:rPr>
        <w:t>A second, commissioning-oriented equipment list is drafted separately (source: internal working draft, Rev. 18 Sep 2026), organized by physical test apparatus rather than by test group:</w:t>
      </w:r>
    </w:p>
    <w:tbl>
      <w:tblPr>
        <w:tblStyle w:val="TableGrid"/>
        <w:tblW w:type="auto" w:w="0"/>
        <w:jc w:val="center"/>
        <w:tblLayout w:type="fixed"/>
        <w:tblLook w:firstColumn="1" w:firstRow="1" w:lastColumn="0" w:lastRow="0" w:noHBand="0" w:noVBand="1" w:val="04A0"/>
        <w:tblLayout w:type="fixed"/>
      </w:tblPr>
      <w:tblGrid>
        <w:gridCol w:w="2880"/>
        <w:gridCol w:w="6768"/>
      </w:tblGrid>
      <w:tr>
        <w:trPr>
          <w:tblHeader w:val="true"/>
        </w:trPr>
        <w:tc>
          <w:tcPr>
            <w:tcW w:type="dxa" w:w="2880"/>
            <w:shd w:val="clear" w:color="auto" w:fill="EFEFEF"/>
          </w:tcPr>
          <w:p>
            <w:pPr>
              <w:spacing w:after="40"/>
            </w:pPr>
            <w:r>
              <w:rPr>
                <w:b/>
                <w:color w:val="4A4A4A"/>
                <w:sz w:val="18"/>
              </w:rPr>
              <w:t>EQUIPMENT</w:t>
            </w:r>
          </w:p>
        </w:tc>
        <w:tc>
          <w:tcPr>
            <w:tcW w:type="dxa" w:w="6768"/>
            <w:shd w:val="clear" w:color="auto" w:fill="EFEFEF"/>
          </w:tcPr>
          <w:p>
            <w:pPr>
              <w:spacing w:after="40"/>
            </w:pPr>
            <w:r>
              <w:rPr>
                <w:b/>
                <w:color w:val="4A4A4A"/>
                <w:sz w:val="18"/>
              </w:rPr>
              <w:t>PURPOSE</w:t>
            </w:r>
          </w:p>
        </w:tc>
      </w:tr>
      <w:tr>
        <w:trPr>
          <w:cantSplit/>
        </w:trPr>
        <w:tc>
          <w:tcPr>
            <w:tcW w:type="dxa" w:w="2880"/>
          </w:tcPr>
          <w:p>
            <w:pPr>
              <w:spacing w:after="40"/>
            </w:pPr>
            <w:r>
              <w:rPr>
                <w:b/>
                <w:sz w:val="19"/>
              </w:rPr>
              <w:t>Regulated 24 VDC power supply</w:t>
            </w:r>
          </w:p>
        </w:tc>
        <w:tc>
          <w:tcPr>
            <w:tcW w:type="dxa" w:w="6768"/>
          </w:tcPr>
          <w:p>
            <w:pPr>
              <w:spacing w:after="40"/>
            </w:pPr>
            <w:r>
              <w:rPr>
                <w:sz w:val="19"/>
              </w:rPr>
              <w:t>Provides a stable 24 VDC supply to the GLD during commissioning and functional testing.</w:t>
            </w:r>
          </w:p>
        </w:tc>
      </w:tr>
      <w:tr>
        <w:trPr>
          <w:cantSplit/>
        </w:trPr>
        <w:tc>
          <w:tcPr>
            <w:tcW w:type="dxa" w:w="2880"/>
          </w:tcPr>
          <w:p>
            <w:pPr>
              <w:spacing w:after="40"/>
            </w:pPr>
            <w:r>
              <w:rPr>
                <w:b/>
                <w:sz w:val="19"/>
              </w:rPr>
              <w:t>Digital multimeter</w:t>
            </w:r>
          </w:p>
        </w:tc>
        <w:tc>
          <w:tcPr>
            <w:tcW w:type="dxa" w:w="6768"/>
          </w:tcPr>
          <w:p>
            <w:pPr>
              <w:spacing w:after="40"/>
            </w:pPr>
            <w:r>
              <w:rPr>
                <w:sz w:val="19"/>
              </w:rPr>
              <w:t>Measures the actual voltage, verifies polarity and continuity, and supports grounding/bonding verification.</w:t>
            </w:r>
          </w:p>
        </w:tc>
      </w:tr>
      <w:tr>
        <w:trPr>
          <w:cantSplit/>
        </w:trPr>
        <w:tc>
          <w:tcPr>
            <w:tcW w:type="dxa" w:w="2880"/>
          </w:tcPr>
          <w:p>
            <w:pPr>
              <w:spacing w:after="40"/>
            </w:pPr>
            <w:r>
              <w:rPr>
                <w:b/>
                <w:sz w:val="19"/>
              </w:rPr>
              <w:t>Calibrated gas source / gas test kit</w:t>
            </w:r>
          </w:p>
        </w:tc>
        <w:tc>
          <w:tcPr>
            <w:tcW w:type="dxa" w:w="6768"/>
          </w:tcPr>
          <w:p>
            <w:pPr>
              <w:spacing w:after="40"/>
            </w:pPr>
            <w:r>
              <w:rPr>
                <w:sz w:val="19"/>
              </w:rPr>
              <w:t>Provides the required gas types to verify that the sensors respond correctly when exposed to the target gases.</w:t>
            </w:r>
          </w:p>
        </w:tc>
      </w:tr>
      <w:tr>
        <w:trPr>
          <w:cantSplit/>
        </w:trPr>
        <w:tc>
          <w:tcPr>
            <w:tcW w:type="dxa" w:w="2880"/>
          </w:tcPr>
          <w:p>
            <w:pPr>
              <w:spacing w:after="40"/>
            </w:pPr>
            <w:r>
              <w:rPr>
                <w:b/>
                <w:sz w:val="19"/>
              </w:rPr>
              <w:t>Gas test chamber</w:t>
            </w:r>
          </w:p>
        </w:tc>
        <w:tc>
          <w:tcPr>
            <w:tcW w:type="dxa" w:w="6768"/>
          </w:tcPr>
          <w:p>
            <w:pPr>
              <w:spacing w:after="40"/>
            </w:pPr>
            <w:r>
              <w:rPr>
                <w:sz w:val="19"/>
              </w:rPr>
              <w:t>Provides a controlled gas-exposure environment so that gas concentration, exposure time, and test conditions can be reproduced.</w:t>
            </w:r>
          </w:p>
        </w:tc>
      </w:tr>
      <w:tr>
        <w:trPr>
          <w:cantSplit/>
        </w:trPr>
        <w:tc>
          <w:tcPr>
            <w:tcW w:type="dxa" w:w="2880"/>
          </w:tcPr>
          <w:p>
            <w:pPr>
              <w:spacing w:after="40"/>
            </w:pPr>
            <w:r>
              <w:rPr>
                <w:b/>
                <w:sz w:val="19"/>
              </w:rPr>
              <w:t>Alarm load / relay simulator</w:t>
            </w:r>
          </w:p>
        </w:tc>
        <w:tc>
          <w:tcPr>
            <w:tcW w:type="dxa" w:w="6768"/>
          </w:tcPr>
          <w:p>
            <w:pPr>
              <w:spacing w:after="40"/>
            </w:pPr>
            <w:r>
              <w:rPr>
                <w:sz w:val="19"/>
              </w:rPr>
              <w:t>Physically verifies that the alarm output and connected electrical load operate correctly.</w:t>
            </w:r>
          </w:p>
        </w:tc>
      </w:tr>
      <w:tr>
        <w:trPr>
          <w:cantSplit/>
        </w:trPr>
        <w:tc>
          <w:tcPr>
            <w:tcW w:type="dxa" w:w="2880"/>
          </w:tcPr>
          <w:p>
            <w:pPr>
              <w:spacing w:after="40"/>
            </w:pPr>
            <w:r>
              <w:rPr>
                <w:b/>
                <w:sz w:val="19"/>
              </w:rPr>
              <w:t>LoRa peer / gateway</w:t>
            </w:r>
          </w:p>
        </w:tc>
        <w:tc>
          <w:tcPr>
            <w:tcW w:type="dxa" w:w="6768"/>
          </w:tcPr>
          <w:p>
            <w:pPr>
              <w:spacing w:after="40"/>
            </w:pPr>
            <w:r>
              <w:rPr>
                <w:sz w:val="19"/>
              </w:rPr>
              <w:t>Verifies that data transmitted by the GLD is successfully received by the intended system.</w:t>
            </w:r>
          </w:p>
        </w:tc>
      </w:tr>
      <w:tr>
        <w:trPr>
          <w:cantSplit/>
        </w:trPr>
        <w:tc>
          <w:tcPr>
            <w:tcW w:type="dxa" w:w="2880"/>
          </w:tcPr>
          <w:p>
            <w:pPr>
              <w:spacing w:after="40"/>
            </w:pPr>
            <w:r>
              <w:rPr>
                <w:b/>
                <w:sz w:val="19"/>
              </w:rPr>
              <w:t>Laptop and approved software</w:t>
            </w:r>
          </w:p>
        </w:tc>
        <w:tc>
          <w:tcPr>
            <w:tcW w:type="dxa" w:w="6768"/>
          </w:tcPr>
          <w:p>
            <w:pPr>
              <w:spacing w:after="40"/>
            </w:pPr>
            <w:r>
              <w:rPr>
                <w:sz w:val="19"/>
              </w:rPr>
              <w:t>Used to review diagnostic information, configuration, logging, firmware identification, and to store commissioning and test evidence.</w:t>
            </w:r>
          </w:p>
        </w:tc>
      </w:tr>
      <w:tr>
        <w:trPr>
          <w:cantSplit/>
        </w:trPr>
        <w:tc>
          <w:tcPr>
            <w:tcW w:type="dxa" w:w="2880"/>
          </w:tcPr>
          <w:p>
            <w:pPr>
              <w:spacing w:after="40"/>
            </w:pPr>
            <w:r>
              <w:rPr>
                <w:b/>
                <w:sz w:val="19"/>
              </w:rPr>
              <w:t>Calibrated torque screwdriver</w:t>
            </w:r>
          </w:p>
        </w:tc>
        <w:tc>
          <w:tcPr>
            <w:tcW w:type="dxa" w:w="6768"/>
          </w:tcPr>
          <w:p>
            <w:pPr>
              <w:spacing w:after="40"/>
            </w:pPr>
            <w:r>
              <w:rPr>
                <w:sz w:val="19"/>
              </w:rPr>
              <w:t>Ensures that glands, terminals, enclosure fasteners, and grounding connections are tightened to the approved torque values.</w:t>
            </w:r>
          </w:p>
        </w:tc>
      </w:tr>
    </w:tbl>
    <w:p>
      <w:pPr>
        <w:spacing w:after="40"/>
      </w:pP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keepNext/>
        <w:spacing w:after="60"/>
      </w:pPr>
      <w:r>
        <w:rPr>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2.4, 2.4.1, 2.4.2</w:t>
            </w:r>
          </w:p>
        </w:tc>
        <w:tc>
          <w:tcPr>
            <w:tcW w:type="dxa" w:w="2304"/>
            <w:shd w:val="clear" w:fill="FFF4D6"/>
          </w:tcPr>
          <w:p>
            <w:pPr>
              <w:spacing w:after="20"/>
            </w:pPr>
            <w:r>
              <w:rPr>
                <w:b/>
                <w:sz w:val="16"/>
              </w:rPr>
              <w:t>Partial — 8/12 available, 3 partial (PCB underside, grounding lug, antenna bulkhead), 1 open (nameplate area)</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E3F1E6"/>
          </w:tcPr>
          <w:p>
            <w:pPr>
              <w:spacing w:after="20"/>
            </w:pPr>
            <w:r>
              <w:rPr>
                <w:b/>
                <w:sz w:val="16"/>
              </w:rPr>
              <w:t>Final (main board); sensor module open</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E3F1E6"/>
          </w:tcPr>
          <w:p>
            <w:pPr>
              <w:spacing w:after="20"/>
            </w:pPr>
            <w:r>
              <w:rPr>
                <w:b/>
                <w:sz w:val="16"/>
              </w:rPr>
              <w:t>Final</w:t>
            </w:r>
          </w:p>
        </w:tc>
      </w:tr>
    </w:tbl>
    <w:p>
      <w:pPr>
        <w:spacing w:after="40"/>
      </w:pPr>
    </w:p>
    <w:p>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(Revision 4.0), internal technical specification documentation, EMC parameter measurement data, and product photography. Fields marked “Pending confirmation” are not yet final and must not be relied upon for procurement or certification purposes without further verification.</w:t>
      </w: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GMI/GLD/IECEX-TDF/2026-001  ·  Rev. 1.9</w:t>
    </w:r>
    <w:r>
      <w:tab/>
    </w:r>
    <w:r>
      <w:rPr>
        <w:color w:val="4A4A4A"/>
        <w:sz w:val="16"/>
      </w:rPr>
      <w:t xml:space="preserve">Page </w:t>
    </w:r>
    <w:r>
      <w:fldChar w:fldCharType="begin"/>
      <w:instrText xml:space="preserve">PAGE</w:instrText>
    </w:r>
    <w:r>
      <w:fldChar w:fldCharType="separate"/>
    </w:r>
    <w:r>
      <w:t>1</w:t>
    </w:r>
    <w:r>
      <w:fldChar w:fldCharType="end"/>
    </w:r>
    <w:r>
      <w:rPr>
        <w:color w:val="4A4A4A"/>
        <w:sz w:val="16"/>
      </w:rPr>
      <w:t xml:space="preserve"> of </w:t>
    </w:r>
    <w:r>
      <w:fldChar w:fldCharType="begin"/>
      <w:instrText xml:space="preserve">NUMPAGES</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0" w:line="240" w:lineRule="auto"/>
    </w:pPr>
    <w:rPr>
      <w:rFonts w:ascii="Calibri" w:hAnsi="Calibri"/>
      <w:sz w:val="19"/>
    </w:rPr>
  </w:style>
  <w:style w:type="paragraph" w:customStyle="1" w:styleId="TOC2">
    <w:name w:val="TOC 2"/>
    <w:pPr>
      <w:spacing w:before="0" w:after="0" w:line="240" w:lineRule="auto"/>
    </w:pPr>
    <w:rPr>
      <w:rFonts w:ascii="Calibri" w:hAnsi="Calibri"/>
      <w:sz w:val="18"/>
    </w:rPr>
  </w:style>
  <w:style w:type="paragraph" w:customStyle="1" w:styleId="TOC3">
    <w:name w:val="TOC 3"/>
    <w:pPr>
      <w:spacing w:before="0" w:after="0" w:line="240" w:lineRule="auto"/>
    </w:pPr>
    <w:rPr>
      <w:rFonts w:ascii="Calibri" w:hAnsi="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