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 Koordinasi Persiapan Pemasangan Gas Leak Detector</w:t>
      </w:r>
    </w:p>
    <w:p>
      <w:pPr>
        <w:spacing w:after="160"/>
      </w:pPr>
      <w:r>
        <w:rPr>
          <w:rFonts w:ascii="Aptos" w:hAnsi="Aptos"/>
          <w:b/>
          <w:color w:val="000000"/>
          <w:sz w:val="22"/>
        </w:rPr>
        <w:t>RU IV Cilacap</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440"/>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Informasi</w:t>
            </w:r>
          </w:p>
        </w:tc>
        <w:tc>
          <w:tcPr>
            <w:tcW w:type="dxa" w:w="3139"/>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Keterangan</w:t>
            </w:r>
          </w:p>
        </w:tc>
        <w:tc>
          <w:tcPr>
            <w:tcW w:type="dxa" w:w="1440"/>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Informasi</w:t>
            </w:r>
          </w:p>
        </w:tc>
        <w:tc>
          <w:tcPr>
            <w:tcW w:type="dxa" w:w="3139"/>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Keterangan</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Tanggal</w:t>
            </w:r>
          </w:p>
        </w:tc>
        <w:tc>
          <w:tcPr>
            <w:tcW w:type="dxa" w:w="313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2 Oktober 2026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Media</w:t>
            </w:r>
          </w:p>
        </w:tc>
        <w:tc>
          <w:tcPr>
            <w:tcW w:type="dxa" w:w="313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Rapat daring</w:t>
            </w:r>
          </w:p>
        </w:tc>
      </w:tr>
      <w:tr>
        <w:trPr>
          <w:cantSplit/>
        </w:trPr>
        <w:tc>
          <w:tcPr>
            <w:tcW w:type="dxa" w:w="144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Agenda</w:t>
            </w:r>
          </w:p>
        </w:tc>
        <w:tc>
          <w:tcPr>
            <w:tcW w:type="dxa" w:w="3139"/>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Konfirmasi titik pemasangan, kebutuhan instalasi, dan tahapan persiapan GLD</w:t>
            </w:r>
          </w:p>
        </w:tc>
        <w:tc>
          <w:tcPr>
            <w:tcW w:type="dxa" w:w="144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Peserta</w:t>
            </w:r>
          </w:p>
        </w:tc>
        <w:tc>
          <w:tcPr>
            <w:tcW w:type="dxa" w:w="3139"/>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Perwakilan RU IV Cilacap, LGU ITB, serta fungsi engineering, reliability, dan planner</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Status</w:t>
            </w:r>
          </w:p>
        </w:tc>
        <w:tc>
          <w:tcPr>
            <w:tcW w:type="dxa" w:w="313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Koordinasi persiapan; penetapan detail lapangan dilanjutkan melalui survei</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Dokumen</w:t>
            </w:r>
          </w:p>
        </w:tc>
        <w:tc>
          <w:tcPr>
            <w:tcW w:type="dxa" w:w="313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Notulen hasil pembahasan</w:t>
            </w:r>
          </w:p>
        </w:tc>
      </w:tr>
    </w:tbl>
    <w:p>
      <w:pPr>
        <w:pStyle w:val="Heading1"/>
      </w:pPr>
      <w:r>
        <w:t>Ringkasan</w:t>
      </w:r>
    </w:p>
    <w:p>
      <w:r>
        <w:rPr>
          <w:b/>
        </w:rPr>
        <w:t xml:space="preserve">Hasil utama. </w:t>
      </w:r>
      <w:r>
        <w:t>Pemasangan sistem Gas Leak Detector di RU IV Cilacap akan dilanjutkan melalui survei teknis dan penyusunan kebutuhan instalasi. Posisi sensor, clusterhead, gateway, jalur kabel, serta kebutuhan pendukung belum ditetapkan final dan harus diverifikasi di lapangan. Sambil menunggu hasil survei, dokumen penyerahan perangkat, perizinan kerja, dan persiapan kontrak dapat diproses secara paralel.</w:t>
      </w:r>
    </w:p>
    <w:p>
      <w:pPr>
        <w:pStyle w:val="Heading1"/>
      </w:pPr>
      <w:r>
        <w:t>Pokok Pembahasan</w:t>
      </w:r>
    </w:p>
    <w:p>
      <w:pPr>
        <w:pStyle w:val="Heading2"/>
      </w:pPr>
      <w:r>
        <w:t>Kesiapan Perangkat dan Pengujian</w:t>
      </w:r>
    </w:p>
    <w:p>
      <w:pPr>
        <w:pStyle w:val="ListBullet"/>
        <w:spacing w:after="60"/>
      </w:pPr>
      <w:r>
        <w:t>Tim LGU ITB menyampaikan rencana membawa tiga unit sensor GLD dan satu unit cadangan, enam unit clusterhead casing besar, satu gateway, serta perangkat pendukung pengujian.</w:t>
      </w:r>
    </w:p>
    <w:p>
      <w:pPr>
        <w:pStyle w:val="ListBullet"/>
        <w:spacing w:after="60"/>
      </w:pPr>
      <w:r>
        <w:t>Pengambilan sampel gas dan pelatihan model direncanakan dilakukan di lokasi menggunakan test chamber. Metode ini dipilih untuk menghindari kebutuhan pengiriman sampel gas yang berpotensi memerlukan pengamanan khusus.</w:t>
      </w:r>
    </w:p>
    <w:p>
      <w:pPr>
        <w:pStyle w:val="ListBullet"/>
        <w:spacing w:after="60"/>
      </w:pPr>
      <w:r>
        <w:t>Jenis gas yang relevan di lokasi perlu dikonfirmasi sebelum pengujian agar pengambilan data dan pelatihan model sesuai kebutuhan lapangan.</w:t>
      </w:r>
    </w:p>
    <w:p>
      <w:pPr>
        <w:pStyle w:val="Heading2"/>
      </w:pPr>
      <w:r>
        <w:t>Penentuan Lokasi dan Jaringan</w:t>
      </w:r>
    </w:p>
    <w:p>
      <w:pPr>
        <w:pStyle w:val="ListBullet"/>
        <w:spacing w:after="60"/>
      </w:pPr>
      <w:r>
        <w:t>Titik sensor GLD, clusterhead, gateway, dan server belum dapat difinalkan hanya dari gambar. Survei lapangan diperlukan untuk memastikan akses, struktur penyangga, ketinggian pemasangan, jalur kabel, dan kesesuaian titik yang tersedia.</w:t>
      </w:r>
    </w:p>
    <w:p>
      <w:pPr>
        <w:pStyle w:val="ListBullet"/>
        <w:spacing w:after="60"/>
      </w:pPr>
      <w:r>
        <w:t>Pemetaan jaringan LoRa akan dilakukan menggunakan alat uji untuk memastikan kualitas sinyal dari sensor menuju gateway. Posisi clusterhead dapat disesuaikan berdasarkan hasil pengujian tersebut.</w:t>
      </w:r>
    </w:p>
    <w:p>
      <w:pPr>
        <w:pStyle w:val="ListBullet"/>
        <w:spacing w:after="60"/>
      </w:pPr>
      <w:r>
        <w:t>Penempatan gateway diarahkan berada di dalam control room, sedangkan antena dapat ditempatkan pada posisi yang lebih tinggi dengan jalur kabel yang memadai. Lokasi server diupayakan tetap dekat dengan gateway.</w:t>
      </w:r>
    </w:p>
    <w:p>
      <w:pPr>
        <w:pStyle w:val="Heading2"/>
      </w:pPr>
      <w:r>
        <w:t>Kebutuhan Daya dan Instalasi</w:t>
      </w:r>
    </w:p>
    <w:p>
      <w:pPr>
        <w:pStyle w:val="ListBullet"/>
        <w:spacing w:after="60"/>
      </w:pPr>
      <w:r>
        <w:t>Sensor GLD membutuhkan catu daya 24 VDC. Ketersediaan sumber daya, titik penarikan, dan jalur kabel perlu dikonfirmasi kembali oleh pihak lokasi.</w:t>
      </w:r>
    </w:p>
    <w:p>
      <w:pPr>
        <w:pStyle w:val="ListBullet"/>
        <w:spacing w:after="60"/>
      </w:pPr>
      <w:r>
        <w:t>Kebutuhan instalasi mencakup tenaga pelaksana, material pendukung, jalur kabel, terminasi, serta kemungkinan pekerjaan tambahan berdasarkan hasil survei dan rekomendasi teknis.</w:t>
      </w:r>
    </w:p>
    <w:p>
      <w:pPr>
        <w:pStyle w:val="Heading2"/>
      </w:pPr>
      <w:r>
        <w:t>Dokumen dan Persiapan Kontrak</w:t>
      </w:r>
    </w:p>
    <w:p>
      <w:pPr>
        <w:pStyle w:val="ListBullet"/>
        <w:spacing w:after="60"/>
      </w:pPr>
      <w:r>
        <w:t>Dokumen yang disiapkan mencakup surat jalan, dokumen penerimaan perangkat, dan surat izin alat kerja. Dokumen kebutuhan umum perlu menjelaskan pembagian perangkat yang disediakan LGU ITB dan dukungan yang perlu difasilitasi RU IV.</w:t>
      </w:r>
    </w:p>
    <w:p>
      <w:pPr>
        <w:pStyle w:val="ListBullet"/>
        <w:spacing w:after="60"/>
      </w:pPr>
      <w:r>
        <w:t>Setelah dokumen dasar diterima, tim RU IV akan menyusun rekomendasi kebutuhan dan meneruskannya ke planner untuk proses kontrak jasa serta material. Perkiraan proses ini sekitar satu hingga dua minggu untuk rekomendasi awal dan dapat mencapai sekitar dua bulan hingga pelaksanaan, bergantung pada kesiapan vendor dan material.</w:t>
      </w:r>
    </w:p>
    <w:p>
      <w:pPr>
        <w:pStyle w:val="Heading1"/>
      </w:pPr>
      <w:r>
        <w:t>Keputusan dan Kesepakatan</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648"/>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No</w:t>
            </w:r>
          </w:p>
        </w:tc>
        <w:tc>
          <w:tcPr>
            <w:tcW w:type="dxa" w:w="8510"/>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Kesepakatan</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1</w:t>
            </w:r>
          </w:p>
        </w:tc>
        <w:tc>
          <w:tcPr>
            <w:tcW w:type="dxa" w:w="851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Penentuan titik final sensor GLD, clusterhead, gateway, dan jalur kabel dilanjutkan melalui survei teknis serta pengujian sinyal LoRa di lapangan.</w:t>
            </w:r>
          </w:p>
        </w:tc>
      </w:tr>
      <w:tr>
        <w:trPr>
          <w:cantSplit/>
        </w:trPr>
        <w:tc>
          <w:tcPr>
            <w:tcW w:type="dxa" w:w="648"/>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2</w:t>
            </w:r>
          </w:p>
        </w:tc>
        <w:tc>
          <w:tcPr>
            <w:tcW w:type="dxa" w:w="851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Tim LGU ITB dan RU IV menyusun pembagian kebutuhan perangkat dan dukungan instalasi dalam dokumen dengan uraian umum sebagai dasar persiapan lebih lanjut.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3</w:t>
            </w:r>
          </w:p>
        </w:tc>
        <w:tc>
          <w:tcPr>
            <w:tcW w:type="dxa" w:w="851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Dokumen penyerahan perangkat dan izin alat kerja diproses sebagai bagian dari persiapan kegiatan lapangan.</w:t>
            </w:r>
          </w:p>
        </w:tc>
      </w:tr>
      <w:tr>
        <w:trPr>
          <w:cantSplit/>
        </w:trPr>
        <w:tc>
          <w:tcPr>
            <w:tcW w:type="dxa" w:w="648"/>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4</w:t>
            </w:r>
          </w:p>
        </w:tc>
        <w:tc>
          <w:tcPr>
            <w:tcW w:type="dxa" w:w="851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Persiapan kontrak jasa dan material dilakukan setelah kebutuhan teknis dan rekomendasi lapangan tersedia; proses survei dan dokumentasi dapat berjalan paralel.</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5</w:t>
            </w:r>
          </w:p>
        </w:tc>
        <w:tc>
          <w:tcPr>
            <w:tcW w:type="dxa" w:w="851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Koordinasi lanjutan dilakukan melalui grup komunikasi kerja untuk klarifikasi teknis dan tindak lanjut antar pihak.</w:t>
            </w:r>
          </w:p>
        </w:tc>
      </w:tr>
    </w:tbl>
    <w:p>
      <w:pPr>
        <w:pStyle w:val="Heading1"/>
      </w:pPr>
      <w:r>
        <w:t>Tindak Lanjut</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490"/>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No</w:t>
            </w:r>
          </w:p>
        </w:tc>
        <w:tc>
          <w:tcPr>
            <w:tcW w:type="dxa" w:w="4032"/>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Tindak lanjut</w:t>
            </w:r>
          </w:p>
        </w:tc>
        <w:tc>
          <w:tcPr>
            <w:tcW w:type="dxa" w:w="1584"/>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PIC</w:t>
            </w:r>
          </w:p>
        </w:tc>
        <w:tc>
          <w:tcPr>
            <w:tcW w:type="dxa" w:w="1469"/>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Target</w:t>
            </w:r>
          </w:p>
        </w:tc>
        <w:tc>
          <w:tcPr>
            <w:tcW w:type="dxa" w:w="1584"/>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Status</w:t>
            </w:r>
          </w:p>
        </w:tc>
      </w:tr>
      <w:tr>
        <w:trPr>
          <w:cantSplit/>
        </w:trPr>
        <w:tc>
          <w:tcPr>
            <w:tcW w:type="dxa" w:w="49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1</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Menyiapkan dan menyampaikan dokumen perangkat yang akan dibawa/disediakan serta kebutuhan umum instalasi.</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LGU ITB</w:t>
            </w:r>
          </w:p>
        </w:tc>
        <w:tc>
          <w:tcPr>
            <w:tcW w:type="dxa" w:w="14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Segera</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Perlu disampaikan</w:t>
            </w:r>
          </w:p>
        </w:tc>
      </w:tr>
      <w:tr>
        <w:trPr>
          <w:cantSplit/>
        </w:trPr>
        <w:tc>
          <w:tcPr>
            <w:tcW w:type="dxa" w:w="49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2</w:t>
            </w:r>
          </w:p>
        </w:tc>
        <w:tc>
          <w:tcPr>
            <w:tcW w:type="dxa" w:w="4032"/>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Melakukan survei lokasi, penentuan titik perangkat, dan pengujian kualitas sinyal LoRa.</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LGU ITB dan RU IV</w:t>
            </w:r>
          </w:p>
        </w:tc>
        <w:tc>
          <w:tcPr>
            <w:tcW w:type="dxa" w:w="1469"/>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Sebelum pemasangan</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Direncanakan</w:t>
            </w:r>
          </w:p>
        </w:tc>
      </w:tr>
      <w:tr>
        <w:trPr>
          <w:cantSplit/>
        </w:trPr>
        <w:tc>
          <w:tcPr>
            <w:tcW w:type="dxa" w:w="49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3</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Mengonfirmasi sumber 24 VDC, jalur kabel, lokasi control room, dan lokasi server.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RU IV bersama tim teknis</w:t>
            </w:r>
          </w:p>
        </w:tc>
        <w:tc>
          <w:tcPr>
            <w:tcW w:type="dxa" w:w="14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Pada survei</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Perlu konfirmasi</w:t>
            </w:r>
          </w:p>
        </w:tc>
      </w:tr>
      <w:tr>
        <w:trPr>
          <w:cantSplit/>
        </w:trPr>
        <w:tc>
          <w:tcPr>
            <w:tcW w:type="dxa" w:w="49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4</w:t>
            </w:r>
          </w:p>
        </w:tc>
        <w:tc>
          <w:tcPr>
            <w:tcW w:type="dxa" w:w="4032"/>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Menyiapkan surat jalan, dokumen penerimaan perangkat, dan surat izin alat kerja.</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LGU ITB dan RU IV</w:t>
            </w:r>
          </w:p>
        </w:tc>
        <w:tc>
          <w:tcPr>
            <w:tcW w:type="dxa" w:w="1469"/>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Tahap persiapan</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Perlu diproses</w:t>
            </w:r>
          </w:p>
        </w:tc>
      </w:tr>
      <w:tr>
        <w:trPr>
          <w:cantSplit/>
        </w:trPr>
        <w:tc>
          <w:tcPr>
            <w:tcW w:type="dxa" w:w="49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5</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Menyusun rekomendasi kebutuhan material dan jasa pemasangan untuk diteruskan ke planner.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RU IV</w:t>
            </w:r>
          </w:p>
        </w:tc>
        <w:tc>
          <w:tcPr>
            <w:tcW w:type="dxa" w:w="14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Setelah data teknis lengkap</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Menunggu hasil survei</w:t>
            </w:r>
          </w:p>
        </w:tc>
      </w:tr>
      <w:tr>
        <w:trPr>
          <w:cantSplit/>
        </w:trPr>
        <w:tc>
          <w:tcPr>
            <w:tcW w:type="dxa" w:w="49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6</w:t>
            </w:r>
          </w:p>
        </w:tc>
        <w:tc>
          <w:tcPr>
            <w:tcW w:type="dxa" w:w="4032"/>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Menjaga koordinasi teknis dan menyelesaikan klarifikasi melalui grup komunikasi kerja.</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Seluruh pihak terkait</w:t>
            </w:r>
          </w:p>
        </w:tc>
        <w:tc>
          <w:tcPr>
            <w:tcW w:type="dxa" w:w="1469"/>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Berjalan</w:t>
            </w:r>
          </w:p>
        </w:tc>
        <w:tc>
          <w:tcPr>
            <w:tcW w:type="dxa" w:w="1584"/>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Berlangsung</w:t>
            </w:r>
          </w:p>
        </w:tc>
      </w:tr>
    </w:tbl>
    <w:p>
      <w:pPr>
        <w:pStyle w:val="Heading1"/>
      </w:pPr>
      <w:r>
        <w:t>Risiko dan Hal yang Perlu Dikonfirmasi</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87"/>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Topik</w:t>
            </w:r>
          </w:p>
        </w:tc>
        <w:tc>
          <w:tcPr>
            <w:tcW w:type="dxa" w:w="3442"/>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Dampak</w:t>
            </w:r>
          </w:p>
        </w:tc>
        <w:tc>
          <w:tcPr>
            <w:tcW w:type="dxa" w:w="3730"/>
            <w:shd w:fill="3F4E5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color w:val="FFFFFF"/>
                <w:sz w:val="18"/>
              </w:rPr>
              <w:t>Konfirmasi yang diperlukan</w:t>
            </w:r>
          </w:p>
        </w:tc>
      </w:tr>
      <w:tr>
        <w:trPr>
          <w:cantSplit/>
        </w:trP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Titik dan struktur pemasangan</w:t>
            </w:r>
          </w:p>
        </w:tc>
        <w:tc>
          <w:tcPr>
            <w:tcW w:type="dxa" w:w="344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Jumlah perangkat, tinggi pemasangan, kebutuhan penyangga, dan panjang kabel belum dapat dihitung final.</w:t>
            </w:r>
          </w:p>
        </w:tc>
        <w:tc>
          <w:tcPr>
            <w:tcW w:type="dxa" w:w="373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Hasil survei, kondisi struktur, titik sensor, titik clusterhead, dan lokasi gateway.</w:t>
            </w:r>
          </w:p>
        </w:tc>
      </w:tr>
      <w:tr>
        <w:trPr>
          <w:cantSplit/>
        </w:trPr>
        <w:tc>
          <w:tcPr>
            <w:tcW w:type="dxa" w:w="1987"/>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Kualitas komunikasi LoRa</w:t>
            </w:r>
          </w:p>
        </w:tc>
        <w:tc>
          <w:tcPr>
            <w:tcW w:type="dxa" w:w="3442"/>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Konektivitas sensor ke gateway dapat terganggu oleh jarak atau halangan struktur.</w:t>
            </w:r>
          </w:p>
        </w:tc>
        <w:tc>
          <w:tcPr>
            <w:tcW w:type="dxa" w:w="373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Hasil pemetaan sinyal dan penyesuaian posisi clusterhead.</w:t>
            </w:r>
          </w:p>
        </w:tc>
      </w:tr>
      <w:tr>
        <w:trPr>
          <w:cantSplit/>
        </w:trPr>
        <w:tc>
          <w:tcPr>
            <w:tcW w:type="dxa" w:w="198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Daya dan jalur kabel</w:t>
            </w:r>
          </w:p>
        </w:tc>
        <w:tc>
          <w:tcPr>
            <w:tcW w:type="dxa" w:w="344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Pekerjaan instalasi berisiko tertunda bila sumber daya atau jalur penarikan tidak tersedia.</w:t>
            </w:r>
          </w:p>
        </w:tc>
        <w:tc>
          <w:tcPr>
            <w:tcW w:type="dxa" w:w="373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Ketersediaan 24 VDC, titik sumber, rute kabel, dan metode penarikan.</w:t>
            </w:r>
          </w:p>
        </w:tc>
      </w:tr>
      <w:tr>
        <w:trPr>
          <w:cantSplit/>
        </w:trPr>
        <w:tc>
          <w:tcPr>
            <w:tcW w:type="dxa" w:w="1987"/>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Pr>
                <w:rFonts w:ascii="Aptos" w:hAnsi="Aptos"/>
                <w:b w:val="0"/>
                <w:color w:val="000000"/>
                <w:sz w:val="18"/>
              </w:rPr>
              <w:t>Jadwal pelaksanaan</w:t>
            </w:r>
          </w:p>
        </w:tc>
        <w:tc>
          <w:tcPr>
            <w:tcW w:type="dxa" w:w="3442"/>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Target pemasangan dipengaruhi penyusunan rekomendasi, kontrak, kesiapan vendor, dan material.</w:t>
            </w:r>
          </w:p>
        </w:tc>
        <w:tc>
          <w:tcPr>
            <w:tcW w:type="dxa" w:w="3730"/>
            <w:shd w:fill="F2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pPr>
            <w:r>
              <w:rPr>
                <w:rFonts w:ascii="Aptos" w:hAnsi="Aptos"/>
                <w:b w:val="0"/>
                <w:color w:val="000000"/>
                <w:sz w:val="18"/>
              </w:rPr>
              <w:t>Jadwal realistis setelah kebutuhan dan metode pengadaan disetujui.</w:t>
            </w:r>
          </w:p>
        </w:tc>
      </w:tr>
    </w:tbl>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Halaman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 Koordinasi Persiapan Pemasangan Gas Leak Detector</dc:title>
  <dc:subject>Koordinasi persiapan pemasangan GLD RU IV Cilacap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