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041"/>
        <w:gridCol w:w="5443"/>
        <w:gridCol w:w="2041"/>
      </w:tblGrid>
      <w:tr>
        <w:tc>
          <w:tcPr>
            <w:tcW w:type="dxa" w:w="2041"/>
            <w:vMerge w:val="restart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8347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lg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7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43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23"/>
                <w:u w:val="none"/>
              </w:rPr>
              <w:t>DOKUMEN PEMENUHAN KLAUSUL TERMIN 1</w:t>
            </w:r>
          </w:p>
        </w:tc>
        <w:tc>
          <w:tcPr>
            <w:tcW w:type="dxa" w:w="2041"/>
            <w:vMerge w:val="restart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319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ertamin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319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04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Program Sertifikasi Hazardous Area (ATEX/IECEx)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Gas Leak Detector (GLD) Tahap 2 — SP-001/KPI43400/2026-S0</w:t>
            </w:r>
          </w:p>
        </w:tc>
        <w:tc>
          <w:tcPr>
            <w:tcW w:type="dxa" w:w="2041"/>
            <w:vMerge/>
          </w:tcPr>
          <w:p/>
        </w:tc>
      </w:tr>
    </w:tbl>
    <w:p>
      <w:pPr>
        <w:spacing w:after="4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608"/>
        <w:gridCol w:w="6917"/>
      </w:tblGrid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Nomor Surat Pesanan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SP-001/KPI43400/2026-S0 — Sertifikasi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Nomor dokumen / Revisi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LGU-GLD-SP001-T1-2026-001 / Rev. 1.0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Tanggal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Oktober 2026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Pelaksana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Ditujukan kepada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PT Pertamina Patra Niaga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Objek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Prototipe Node Sensor Gas Leak Detector (GLD) V2 — sampel S/N GLD2-0x1001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1. Klausul Termin yang Dipenuhi</w:t>
      </w:r>
    </w:p>
    <w:p>
      <w:pPr>
        <w:spacing w:after="12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Ketentuan pembayaran Termin 1 pada Surat Pesanan SP-001/KPI43400/2026-S0 (Sertifikasi) berbunyi: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9524"/>
      </w:tblGrid>
      <w:tr>
        <w:tc>
          <w:tcPr>
            <w:tcW w:type="dxa" w:w="9524"/>
            <w:shd w:val="clear" w:color="auto" w:fill="F3F6FC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u w:val="none"/>
              </w:rPr>
              <w:t>“Tersedia prototype GLD yang telah diuji dan diperbaiki desainnya. Dilampirkan foto perangkatnya, dan foto-foto waktu kami kunjungan ke ITB.”</w:t>
            </w:r>
          </w:p>
        </w:tc>
      </w:tr>
    </w:tbl>
    <w:p>
      <w:pPr>
        <w:spacing w:after="120" w:before="12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Dokumen ini menguraikan pemenuhan setiap unsur klausul tersebut beserta buktinya. Penilaian akhir pemenuhan dan persetujuan pembayaran merupakan kewenangan PT Pertamina Patra Niaga.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2. Matriks Pemenuhan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510"/>
        <w:gridCol w:w="1701"/>
        <w:gridCol w:w="4649"/>
        <w:gridCol w:w="1474"/>
        <w:gridCol w:w="1191"/>
      </w:tblGrid>
      <w:tr>
        <w:tc>
          <w:tcPr>
            <w:tcW w:type="dxa" w:w="510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</w:t>
            </w:r>
          </w:p>
        </w:tc>
        <w:tc>
          <w:tcPr>
            <w:tcW w:type="dxa" w:w="170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Unsur klausul</w:t>
            </w:r>
          </w:p>
        </w:tc>
        <w:tc>
          <w:tcPr>
            <w:tcW w:type="dxa" w:w="4649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Bukti pemenuhan</w:t>
            </w:r>
          </w:p>
        </w:tc>
        <w:tc>
          <w:tcPr>
            <w:tcW w:type="dxa" w:w="1474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Rujukan</w:t>
            </w:r>
          </w:p>
        </w:tc>
        <w:tc>
          <w:tcPr>
            <w:tcW w:type="dxa" w:w="119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Status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Tersedia prototype GLD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Prototipe Node Sensor GLD V2 telah terakit lengkap: casing die-cast aluminium dengan tutup ber-mesh stainless steel, 8 sensor gas (MQ-2/3B/4/5/6/7B/8/135), kipas DC, motherboard ESP32-S3 dengan PCB cover terminal (V4), radio LoRa, catu 24 VDC. Unit yang diajukan untuk sertifikasi ber-S/N GLD2-0x1001; total 4 unit GLD tersedia (3 untuk RU IV + 1 cadangan).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1 (Foto 1–8)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Telah diuji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(a) Factory Acceptance Test laboratorium FAT-01 s.d. FAT-07, 7 dari 7 item lulus (Laporan FAT No. LGU/GLD/FAT/2026-001 Rev 1.4). (b) Uji termal internal 30 Sep 2026: 8 kanal thermocouple, 3 kondisi (normal, beban maksimum, kipas mati), 180 menit. (c) Pengukuran dimensi enclosure dengan jangka sorong, 7 Okt 2026.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Bagian 3.1; Laporan FAT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Diperbaiki desainnya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PCB Node Sensor GLD diiterasi V1 s.d. V5 dengan catatan perubahan per versi; casing berkembang dari ATEX Casing v2 ke GLD ATEX Case v3; antena dipindah ke muka atas base; PCB cover terminal kabel &amp; lubang baut motherboard ditambahkan; konsep proteksi diarahkan ke Ex d (flameproof).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Bagian 3.2; Gambar 1; Lampiran 1 (Foto 7–8)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Dilampirkan foto perangkat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Foto prototipe terkini (tampak depan, belakang, samping, bagian dalam, motherboard, tutup ber-mesh) serta foto iterasi sebelumnya sebagai pembanding perbaikan desain.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1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Terlampir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Dilampirkan foto kunjungan ke ITB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Dokumentasi kunjungan PT Pertamina Patra Niaga ke Lab IoT, Instrumentation and Computations, Gedung Laboratorium Fisika Terpadu, Institut Teknologi Bandung, 6 Agustus 2026 (peninjauan prototipe dan demonstrasi integrasi sistem).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2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Terlampir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3. Uraian Pemenuhan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1"/>
          <w:u w:val="none"/>
        </w:rPr>
        <w:t>3.1 Prototipe telah diuji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381"/>
        <w:gridCol w:w="2381"/>
        <w:gridCol w:w="4762"/>
      </w:tblGrid>
      <w:tr>
        <w:tc>
          <w:tcPr>
            <w:tcW w:type="dxa" w:w="238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Pengujian</w:t>
            </w:r>
          </w:p>
        </w:tc>
        <w:tc>
          <w:tcPr>
            <w:tcW w:type="dxa" w:w="238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Waktu / tempat</w:t>
            </w:r>
          </w:p>
        </w:tc>
        <w:tc>
          <w:tcPr>
            <w:tcW w:type="dxa" w:w="4762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Hasil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Factory Acceptance Test (FAT) laboratorium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Lab IoT ITB, Mei–Agustus 2026; disaksikan PT Pertamina Patra Niaga 6 Agustus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7/7 item lulus: pembacaan 8 kanal sensor, klasifikasi gas AI di perangkat (ESP32-S3), komunikasi LoRa, mesh &amp; failover Cluster Head, integrasi end-to-end, alarm otomatis, catu daya.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Uji termal internal (persiapan kelas suhu T4)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30 September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8 kanal thermocouple; kondisi normal, beban maksimum, dan kipas mati; 180 menit. Ekstrapolasi ke suhu ambien +60 °C: titik terpanas ±114 °C, di bawah batas efektif T4 (130 °C). Titik ukur komponen daya akan dilengkapi pada uji laboratorium.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Pengukuran dimensi enclosure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7 Oktober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Jangka sorong: dinding leher ulir 10,50 mm (pangkal) / 5,80 mm (atas), tinggi leher berulir ±14,8 mm, diameter dalam ±84,7 mm, penampang O-ring 2,70 mm — data masukan dossier Ex d.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1"/>
          <w:u w:val="none"/>
        </w:rPr>
        <w:t>3.2 Desain telah diperbaiki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PCB Node Sensor GLD V1 → V5. </w:t>
      </w:r>
      <w:r>
        <w:rPr>
          <w:rFonts w:ascii="Arial" w:hAnsi="Arial" w:eastAsia="Arial"/>
          <w:b w:val="0"/>
          <w:i w:val="0"/>
          <w:sz w:val="20"/>
          <w:u w:val="none"/>
        </w:rPr>
        <w:t>V2 memisahkan rangkaian sensor MQ ke sensor board dengan saklar daya; V3 memperbaiki temuan V2 (jalur catu +5VA, soket kipas 5 V); V4 menambahkan PCB cover dengan terminal kabel dan lubang baut pemasangan motherboard; V5 memisahkan fungsi akuisisi ke Sensor PCB terhubung konektor 16-pin, motherboard mempertahankan ESP32 dan watchdog (Gambar 1).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Casing / enclosure. </w:t>
      </w:r>
      <w:r>
        <w:rPr>
          <w:rFonts w:ascii="Arial" w:hAnsi="Arial" w:eastAsia="Arial"/>
          <w:b w:val="0"/>
          <w:i w:val="0"/>
          <w:sz w:val="20"/>
          <w:u w:val="none"/>
        </w:rPr>
        <w:t>Berkembang dari ATEX Casing v2 ke GLD ATEX Case v3 (8 September 2026) dengan tutup ber-mesh stainless steel, kipas DC, dan dimensi yang disesuaikan untuk konsep proteksi Ex d.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Antena dan tata letak. </w:t>
      </w:r>
      <w:r>
        <w:rPr>
          <w:rFonts w:ascii="Arial" w:hAnsi="Arial" w:eastAsia="Arial"/>
          <w:b w:val="0"/>
          <w:i w:val="0"/>
          <w:sz w:val="20"/>
          <w:u w:val="none"/>
        </w:rPr>
        <w:t>Antena LoRa dipindah dari sisi samping ke muka atas base; posisi nameplate ditetapkan di samping antena (bandingkan Foto 7–8 dengan Foto 1–2).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Arah sertifikasi. </w:t>
      </w:r>
      <w:r>
        <w:rPr>
          <w:rFonts w:ascii="Arial" w:hAnsi="Arial" w:eastAsia="Arial"/>
          <w:b w:val="0"/>
          <w:i w:val="0"/>
          <w:sz w:val="20"/>
          <w:u w:val="none"/>
        </w:rPr>
        <w:t>Konsep proteksi Ex d, marking usulan II 2G Ex db IIC T4 Gb; formulir aplikasi dan dossier teknis telah diajukan ke GTS (agen sertifikasi) sekitar 29 September 2026, dan surat pengantar sampel S/N GLD2-0x1001 ke GTS Shanghai diterbitkan 12 Oktober 2026.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24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Arial" w:hAnsi="Arial" w:eastAsia="Arial"/>
          <w:b w:val="0"/>
          <w:i/>
          <w:sz w:val="17"/>
          <w:u w:val="none"/>
        </w:rPr>
        <w:t>Gambar 1. Iterasi PCB Node Sensor GLD, versi V1 hingga V5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4. Pernyataan</w:t>
      </w:r>
    </w:p>
    <w:p>
      <w:pPr>
        <w:spacing w:after="12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Berdasarkan uraian dan lampiran di atas, PT LAPI Ganesha Utama menyatakan bahwa ketentuan Termin 1 pada Surat Pesanan SP-001/KPI43400/2026-S0 (Sertifikasi) — tersedianya prototipe GLD yang telah diuji dan diperbaiki desainnya, disertai foto perangkat dan foto kunjungan ke ITB — telah dipenuhi, dan mengajukan dokumen ini kepada PT Pertamina Patra Niaga untuk diperiksa dan disetujui sebagai dasar proses pembayaran Termin 1.</w:t>
      </w:r>
    </w:p>
    <w:p>
      <w:r>
        <w:br w:type="page"/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5. Lembar Pengesahan</w:t>
      </w:r>
    </w:p>
    <w:p>
      <w:pPr>
        <w:spacing w:after="160" w:before="0" w:line="276" w:lineRule="auto"/>
        <w:jc w:val="left"/>
      </w:pPr>
      <w:r>
        <w:rPr>
          <w:rFonts w:ascii="Arial" w:hAnsi="Arial" w:eastAsia="Arial"/>
          <w:b w:val="0"/>
          <w:i w:val="0"/>
          <w:sz w:val="20"/>
          <w:u w:val="none"/>
        </w:rPr>
        <w:t>Bandung, ........ Oktober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ayout w:type="fixed"/>
      </w:tblPr>
      <w:tblGrid>
        <w:gridCol w:w="4762"/>
        <w:gridCol w:w="4762"/>
      </w:tblGrid>
      <w:tr>
        <w:tc>
          <w:tcPr>
            <w:tcW w:type="dxa" w:w="476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Diajukan oleh,</w:t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PT LAPI Ganesha Utama</w:t>
            </w:r>
          </w:p>
        </w:tc>
        <w:tc>
          <w:tcPr>
            <w:tcW w:type="dxa" w:w="476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Diperiksa dan disetujui oleh,</w:t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PT Pertamina Patra Niaga</w:t>
            </w:r>
          </w:p>
        </w:tc>
      </w:tr>
      <w:tr>
        <w:tc>
          <w:tcPr>
            <w:tcW w:type="dxa" w:w="4762"/>
          </w:tcPr>
          <w:p/>
          <w:tbl>
            <w:tblPr>
              <w:tblW w:type="auto" w:w="0"/>
              <w:tblLook w:firstColumn="1" w:firstRow="1" w:lastColumn="0" w:lastRow="0" w:noHBand="0" w:noVBand="1" w:val="04A0"/>
              <w:tblLayout w:type="fixed"/>
            </w:tblPr>
            <w:tblGrid>
              <w:gridCol w:w="2211"/>
              <w:gridCol w:w="2211"/>
            </w:tblGrid>
            <w:tr>
              <w:tc>
                <w:tcPr>
                  <w:tcW w:type="dxa" w:w="2211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Team Leader,</w:t>
                  </w:r>
                </w:p>
              </w:tc>
              <w:tc>
                <w:tcPr>
                  <w:tcW w:type="dxa" w:w="2211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Direktur Utama,</w:t>
                  </w:r>
                </w:p>
              </w:tc>
            </w:tr>
            <w:tr>
              <w:trPr>
                <w:trHeight w:val="1361"/>
              </w:trPr>
              <w:tc>
                <w:tcPr>
                  <w:tcW w:type="dxa" w:w="2211"/>
                </w:tcPr>
                <w:p/>
              </w:tc>
              <w:tc>
                <w:tcPr>
                  <w:tcW w:type="dxa" w:w="2211"/>
                </w:tcPr>
                <w:p/>
              </w:tc>
            </w:tr>
            <w:tr>
              <w:tc>
                <w:tcPr>
                  <w:tcW w:type="dxa" w:w="2211"/>
                </w:tcPr>
                <w:p>
                  <w:pPr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sz w:val="18"/>
                      <w:u w:val="single"/>
                    </w:rPr>
                    <w:t>Dr. Maman Budiman</w:t>
                  </w:r>
                </w:p>
              </w:tc>
              <w:tc>
                <w:tcPr>
                  <w:tcW w:type="dxa" w:w="2211"/>
                </w:tcPr>
                <w:p>
                  <w:pPr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sz w:val="18"/>
                      <w:u w:val="single"/>
                    </w:rPr>
                    <w:t>Ir. Harry Fardiman</w:t>
                  </w:r>
                </w:p>
              </w:tc>
            </w:tr>
          </w:tbl>
          <w:p/>
        </w:tc>
        <w:tc>
          <w:tcPr>
            <w:tcW w:type="dxa" w:w="4762"/>
            <w:vAlign w:val="top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Manager Domestic Product Content &amp; Digitalization,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single"/>
              </w:rPr>
              <w:t>Agustinus Pindoan Panjaitan</w:t>
            </w:r>
          </w:p>
        </w:tc>
      </w:tr>
    </w:tbl>
    <w:p>
      <w:pPr>
        <w:spacing w:after="40" w:before="200" w:line="276" w:lineRule="auto"/>
        <w:jc w:val="left"/>
      </w:pPr>
      <w:r>
        <w:rPr>
          <w:rFonts w:ascii="Arial" w:hAnsi="Arial" w:eastAsia="Arial"/>
          <w:b/>
          <w:i w:val="0"/>
          <w:sz w:val="18"/>
          <w:u w:val="none"/>
        </w:rPr>
        <w:t>Catatan pemeriksaan PT Pertamina Patra Niaga: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r>
        <w:br w:type="page"/>
      </w:r>
    </w:p>
    <w:p>
      <w:pPr>
        <w:spacing w:after="40" w:before="0" w:line="276" w:lineRule="auto"/>
        <w:jc w:val="center"/>
      </w:pPr>
      <w:r>
        <w:rPr>
          <w:rFonts w:ascii="Arial" w:hAnsi="Arial" w:eastAsia="Arial"/>
          <w:b/>
          <w:i w:val="0"/>
          <w:sz w:val="24"/>
          <w:u w:val="none"/>
        </w:rPr>
        <w:t>LAMPIRAN 1 — FOTO PERANGKAT PROTOTIPE GLD</w:t>
      </w:r>
    </w:p>
    <w:p>
      <w:pPr>
        <w:spacing w:after="160" w:before="0" w:line="276" w:lineRule="auto"/>
        <w:jc w:val="center"/>
      </w:pPr>
      <w:r>
        <w:rPr>
          <w:rFonts w:ascii="Arial" w:hAnsi="Arial" w:eastAsia="Arial"/>
          <w:b w:val="0"/>
          <w:i w:val="0"/>
          <w:sz w:val="18"/>
          <w:u w:val="none"/>
        </w:rPr>
        <w:t>Gas Leak Detector GLD V2 · S/N GLD2-0x1001 · Lab IoT ITB, Oktober 2026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49"/>
        <w:gridCol w:w="4649"/>
      </w:tblGrid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9254" cy="158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254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 — Tampak depan, tertutup (tutup ber-mesh stainless steel)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0541" cy="158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0541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2 — Tampak belakang, antena LoRa di muka atas base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22581" cy="158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81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3 — Tampak samping, cable entry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79745" cy="158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45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4 — Bagian dalam: 8 sensor gas pada sensor board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158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5 — Motherboard dengan PCB cover terminal (V4) di dalam base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41860" cy="158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86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6 — Tutup ber-mesh dengan kipas DC dan modul sensor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57189" cy="158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189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7 — Iterasi sebelumnya (Agustus 2026): antena di sisi samping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158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8 — Iterasi sebelumnya (Agustus 2026), tampak belakang</w:t>
            </w:r>
          </w:p>
        </w:tc>
      </w:tr>
    </w:tbl>
    <w:p>
      <w:r>
        <w:br w:type="page"/>
      </w:r>
    </w:p>
    <w:p>
      <w:pPr>
        <w:spacing w:after="40" w:before="0" w:line="276" w:lineRule="auto"/>
        <w:jc w:val="center"/>
      </w:pPr>
      <w:r>
        <w:rPr>
          <w:rFonts w:ascii="Arial" w:hAnsi="Arial" w:eastAsia="Arial"/>
          <w:b/>
          <w:i w:val="0"/>
          <w:sz w:val="24"/>
          <w:u w:val="none"/>
        </w:rPr>
        <w:t>LAMPIRAN 2 — FOTO KUNJUNGAN PT PERTAMINA PATRA NIAGA KE ITB</w:t>
      </w:r>
    </w:p>
    <w:p>
      <w:pPr>
        <w:spacing w:after="160" w:before="0" w:line="276" w:lineRule="auto"/>
        <w:jc w:val="center"/>
      </w:pPr>
      <w:r>
        <w:rPr>
          <w:rFonts w:ascii="Arial" w:hAnsi="Arial" w:eastAsia="Arial"/>
          <w:b w:val="0"/>
          <w:i w:val="0"/>
          <w:sz w:val="18"/>
          <w:u w:val="none"/>
        </w:rPr>
        <w:t>Lab IoT, Instrumentation and Computations, Gedung Laboratorium Fisika Terpadu, Institut Teknologi Bandung · 6 Agustus 2026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49"/>
        <w:gridCol w:w="4649"/>
      </w:tblGrid>
      <w:tr>
        <w:tc>
          <w:tcPr>
            <w:tcW w:type="dxa" w:w="4649"/>
          </w:tcPr>
          <w:p>
            <w:pPr>
              <w:jc w:val="center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</w:tblPr>
            <w:tblGrid>
              <w:gridCol w:w="4649"/>
            </w:tblGrid>
            <w:tr>
              <w:trPr>
                <w:trHeight w:val="2494"/>
              </w:trPr>
              <w:tc>
                <w:tcPr>
                  <w:tcW w:type="dxa" w:w="3969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[ tempel foto kunjungan ]</w:t>
                  </w:r>
                </w:p>
              </w:tc>
            </w:tr>
          </w:tbl>
          <w:p/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9 — Kunjungan Pertamina ke Lab IoT ITB, 6 Agustus 2026</w:t>
            </w:r>
          </w:p>
        </w:tc>
        <w:tc>
          <w:tcPr>
            <w:tcW w:type="dxa" w:w="4649"/>
          </w:tcPr>
          <w:p>
            <w:pPr>
              <w:jc w:val="center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</w:tblPr>
            <w:tblGrid>
              <w:gridCol w:w="4649"/>
            </w:tblGrid>
            <w:tr>
              <w:trPr>
                <w:trHeight w:val="2494"/>
              </w:trPr>
              <w:tc>
                <w:tcPr>
                  <w:tcW w:type="dxa" w:w="3969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[ tempel foto kunjungan ]</w:t>
                  </w:r>
                </w:p>
              </w:tc>
            </w:tr>
          </w:tbl>
          <w:p/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10 — Kunjungan Pertamina ke Lab IoT ITB, 6 Agustus 2026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</w:tblPr>
            <w:tblGrid>
              <w:gridCol w:w="4649"/>
            </w:tblGrid>
            <w:tr>
              <w:trPr>
                <w:trHeight w:val="2494"/>
              </w:trPr>
              <w:tc>
                <w:tcPr>
                  <w:tcW w:type="dxa" w:w="3969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[ tempel foto kunjungan ]</w:t>
                  </w:r>
                </w:p>
              </w:tc>
            </w:tr>
          </w:tbl>
          <w:p/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11 — Kunjungan Pertamina ke Lab IoT ITB, 6 Agustus 2026</w:t>
            </w:r>
          </w:p>
        </w:tc>
        <w:tc>
          <w:tcPr>
            <w:tcW w:type="dxa" w:w="4649"/>
          </w:tcPr>
          <w:p>
            <w:pPr>
              <w:jc w:val="center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</w:tblPr>
            <w:tblGrid>
              <w:gridCol w:w="4649"/>
            </w:tblGrid>
            <w:tr>
              <w:trPr>
                <w:trHeight w:val="2494"/>
              </w:trPr>
              <w:tc>
                <w:tcPr>
                  <w:tcW w:type="dxa" w:w="3969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[ tempel foto kunjungan ]</w:t>
                  </w:r>
                </w:p>
              </w:tc>
            </w:tr>
          </w:tbl>
          <w:p/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12 — Kunjungan Pertamina ke Lab IoT ITB, 6 Agustus 2026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sz w:val="16"/>
        <w:u w:val="none"/>
      </w:rPr>
      <w:t xml:space="preserve">LGU-GLD-SP001-T1-2026-001  ·  Rev. 1.0  ·  Halaman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