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6"/>
            <w:shd w:val="clear" w:color="auto" w:fill="1B2A4A"/>
          </w:tcPr>
          <w:p>
            <w:pPr>
              <w:spacing w:after="40"/>
            </w:pPr>
            <w:r>
              <w:rPr>
                <w:b/>
                <w:color w:val="FFFFFF"/>
                <w:sz w:val="28"/>
              </w:rPr>
              <w:t>PT LAPI GANESHA UTAMA</w:t>
            </w:r>
          </w:p>
          <w:p>
            <w:pPr>
              <w:spacing w:after="60"/>
            </w:pPr>
            <w:r>
              <w:rPr>
                <w:color w:val="C7D2E0"/>
                <w:sz w:val="19"/>
              </w:rPr>
              <w:t>Bekerja sama dengan Lab IoT &amp; Fisika Institut Teknologi Bandung</w:t>
            </w:r>
          </w:p>
        </w:tc>
      </w:tr>
    </w:tbl>
    <w:p>
      <w:pPr>
        <w:spacing w:after="120"/>
      </w:pPr>
    </w:p>
    <w:p>
      <w:pPr>
        <w:pStyle w:val="Title"/>
      </w:pPr>
      <w:r>
        <w:rPr>
          <w:b/>
          <w:color w:val="1B2A4A"/>
          <w:sz w:val="36"/>
        </w:rPr>
        <w:t>Laporan Uji Laboratorium 02 — Komunikasi Radio LoRa</w:t>
      </w:r>
    </w:p>
    <w:p>
      <w:pPr>
        <w:spacing w:after="200"/>
      </w:pPr>
      <w:r>
        <w:rPr>
          <w:b w:val="0"/>
          <w:i w:val="0"/>
          <w:color w:val="5B5B5B"/>
          <w:sz w:val="21"/>
        </w:rPr>
        <w:t>Pengujian jarak dan keandalan komunikasi LoRa antara node GLD dan Cluster Head di lingkungan kampus ITB: kuat sinyal (RSSI), SNR, dan persentase paket sampai (PDR) pada berbagai jarak dan halangan.</w:t>
      </w:r>
    </w:p>
    <w:p>
      <w:r>
        <w:rPr>
          <w:b/>
          <w:color w:val="1B2A4A"/>
          <w:sz w:val="22"/>
        </w:rP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736"/>
        <w:gridCol w:w="7200"/>
      </w:tblGrid>
      <w:tr>
        <w:tc>
          <w:tcPr>
            <w:tcW w:type="dxa" w:w="2736"/>
            <w:shd w:val="clear" w:color="auto" w:fill="EFEFEC"/>
          </w:tcPr>
          <w:p>
            <w:pPr>
              <w:spacing w:after="40"/>
            </w:pPr>
            <w:r>
              <w:rPr>
                <w:b/>
                <w:color w:val="5B5B5B"/>
                <w:sz w:val="18"/>
              </w:rPr>
              <w:t>Nomor dokumen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sz w:val="19"/>
              </w:rPr>
              <w:t>LGU/GLD/UJI-LAB/2026-002</w:t>
            </w:r>
          </w:p>
        </w:tc>
      </w:tr>
      <w:tr>
        <w:tc>
          <w:tcPr>
            <w:tcW w:type="dxa" w:w="2736"/>
            <w:shd w:val="clear" w:color="auto" w:fill="EFEFEC"/>
          </w:tcPr>
          <w:p>
            <w:pPr>
              <w:spacing w:after="40"/>
            </w:pPr>
            <w:r>
              <w:rPr>
                <w:b/>
                <w:color w:val="5B5B5B"/>
                <w:sz w:val="18"/>
              </w:rPr>
              <w:t>Revisi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sz w:val="19"/>
              </w:rPr>
              <w:t>1.1</w:t>
            </w:r>
          </w:p>
        </w:tc>
      </w:tr>
      <w:tr>
        <w:tc>
          <w:tcPr>
            <w:tcW w:type="dxa" w:w="2736"/>
            <w:shd w:val="clear" w:color="auto" w:fill="EFEFEC"/>
          </w:tcPr>
          <w:p>
            <w:pPr>
              <w:spacing w:after="40"/>
            </w:pPr>
            <w:r>
              <w:rPr>
                <w:b/>
                <w:color w:val="5B5B5B"/>
                <w:sz w:val="18"/>
              </w:rPr>
              <w:t>Tanggal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sz w:val="19"/>
              </w:rPr>
              <w:t>5 Oktober 2026</w:t>
            </w:r>
          </w:p>
        </w:tc>
      </w:tr>
      <w:tr>
        <w:tc>
          <w:tcPr>
            <w:tcW w:type="dxa" w:w="2736"/>
            <w:shd w:val="clear" w:color="auto" w:fill="EFEFEC"/>
          </w:tcPr>
          <w:p>
            <w:pPr>
              <w:spacing w:after="40"/>
            </w:pPr>
            <w:r>
              <w:rPr>
                <w:b/>
                <w:color w:val="5B5B5B"/>
                <w:sz w:val="18"/>
              </w:rPr>
              <w:t>Periode uji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sz w:val="19"/>
              </w:rPr>
              <w:t>Mei – Juli 2026</w:t>
            </w:r>
          </w:p>
        </w:tc>
      </w:tr>
      <w:tr>
        <w:tc>
          <w:tcPr>
            <w:tcW w:type="dxa" w:w="2736"/>
            <w:shd w:val="clear" w:color="auto" w:fill="EFEFEC"/>
          </w:tcPr>
          <w:p>
            <w:pPr>
              <w:spacing w:after="40"/>
            </w:pPr>
            <w:r>
              <w:rPr>
                <w:b/>
                <w:color w:val="5B5B5B"/>
                <w:sz w:val="18"/>
              </w:rPr>
              <w:t>Item FAT terkait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sz w:val="19"/>
              </w:rPr>
              <w:t>FAT-03 (komunikasi radio GLD ke Cluster Head)</w:t>
            </w:r>
          </w:p>
        </w:tc>
      </w:tr>
      <w:tr>
        <w:tc>
          <w:tcPr>
            <w:tcW w:type="dxa" w:w="2736"/>
            <w:shd w:val="clear" w:color="auto" w:fill="EFEFEC"/>
          </w:tcPr>
          <w:p>
            <w:pPr>
              <w:spacing w:after="40"/>
            </w:pPr>
            <w:r>
              <w:rPr>
                <w:b/>
                <w:color w:val="5B5B5B"/>
                <w:sz w:val="18"/>
              </w:rPr>
              <w:t>Lokasi uji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sz w:val="19"/>
              </w:rPr>
              <w:t>Lab IoT, Instrumentation and Computations, Gedung Laboratorium Fisika Terpadu, dan area kampus Institut Teknologi Bandung</w:t>
            </w:r>
          </w:p>
        </w:tc>
      </w:tr>
      <w:tr>
        <w:tc>
          <w:tcPr>
            <w:tcW w:type="dxa" w:w="2736"/>
            <w:shd w:val="clear" w:color="auto" w:fill="EFEFEC"/>
          </w:tcPr>
          <w:p>
            <w:pPr>
              <w:spacing w:after="40"/>
            </w:pPr>
            <w:r>
              <w:rPr>
                <w:b/>
                <w:color w:val="5B5B5B"/>
                <w:sz w:val="18"/>
              </w:rPr>
              <w:t>Disiapkan oleh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sz w:val="19"/>
              </w:rPr>
              <w:t>PT LAPI Ganesha Utama, bersama Lab IoT &amp; Fisika Institut Teknologi Bandung</w:t>
            </w:r>
          </w:p>
        </w:tc>
      </w:tr>
      <w:tr>
        <w:tc>
          <w:tcPr>
            <w:tcW w:type="dxa" w:w="2736"/>
            <w:shd w:val="clear" w:color="auto" w:fill="EFEFEC"/>
          </w:tcPr>
          <w:p>
            <w:pPr>
              <w:spacing w:after="40"/>
            </w:pPr>
            <w:r>
              <w:rPr>
                <w:b/>
                <w:color w:val="5B5B5B"/>
                <w:sz w:val="18"/>
              </w:rPr>
              <w:t>Ditujukan kepada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sz w:val="19"/>
              </w:rPr>
              <w:t>PT Pertamina Patra Niaga</w:t>
            </w:r>
          </w:p>
        </w:tc>
      </w:tr>
      <w:tr>
        <w:tc>
          <w:tcPr>
            <w:tcW w:type="dxa" w:w="2736"/>
            <w:shd w:val="clear" w:color="auto" w:fill="EFEFEC"/>
          </w:tcPr>
          <w:p>
            <w:pPr>
              <w:spacing w:after="40"/>
            </w:pPr>
            <w:r>
              <w:rPr>
                <w:b/>
                <w:color w:val="5B5B5B"/>
                <w:sz w:val="18"/>
              </w:rPr>
              <w:t>Dokumen terkait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sz w:val="19"/>
              </w:rPr>
              <w:t>Laporan Factory Acceptance Test (FAT) Sistem GLD Tahap 2, LGU/GLD/FAT/2026-001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2A4A"/>
        </w:rPr>
        <w:t>1. Tujuan</w:t>
      </w:r>
    </w:p>
    <w:p>
      <w:pPr>
        <w:spacing w:after="120"/>
      </w:pPr>
      <w:r>
        <w:rPr>
          <w:b w:val="0"/>
          <w:i w:val="0"/>
          <w:sz w:val="19"/>
        </w:rPr>
        <w:t>Mencari jarak terjauh yang masih menjaga PDR 100% dengan RSSI/SNR yang punya margin aman, sambil mencatat halangan (gedung, pepohonan), sebagai dasar penempatan GLD dan Cluster Head di lokasi RU.</w:t>
      </w:r>
    </w:p>
    <w:p>
      <w:pPr>
        <w:pStyle w:val="Heading1"/>
      </w:pPr>
      <w:r>
        <w:rPr>
          <w:color w:val="1B2A4A"/>
        </w:rPr>
        <w:t>2. Perangkat dan konfigurasi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304"/>
        <w:gridCol w:w="7632"/>
      </w:tblGrid>
      <w:tr>
        <w:tc>
          <w:tcPr>
            <w:tcW w:type="dxa" w:w="2304"/>
            <w:shd w:val="clear" w:color="auto" w:fill="1B2A4A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Komponen</w:t>
            </w:r>
          </w:p>
        </w:tc>
        <w:tc>
          <w:tcPr>
            <w:tcW w:type="dxa" w:w="7632"/>
            <w:shd w:val="clear" w:color="auto" w:fill="1B2A4A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Pengirim</w:t>
            </w:r>
          </w:p>
        </w:tc>
        <w:tc>
          <w:tcPr>
            <w:tcW w:type="dxa" w:w="7632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Node GLD / modul LoRa E22-900MM22S</w:t>
            </w:r>
          </w:p>
        </w:tc>
      </w:tr>
      <w:tr>
        <w:tc>
          <w:tcPr>
            <w:tcW w:type="dxa" w:w="2304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Penerima</w:t>
            </w:r>
          </w:p>
        </w:tc>
        <w:tc>
          <w:tcPr>
            <w:tcW w:type="dxa" w:w="7632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Cluster Head (receiver di Labtek XV untuk uji acak)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Frekuensi</w:t>
            </w:r>
          </w:p>
        </w:tc>
        <w:tc>
          <w:tcPr>
            <w:tcW w:type="dxa" w:w="7632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920–923 MHz (STAR 920 MHz, MESH 921 MHz)</w:t>
            </w:r>
          </w:p>
        </w:tc>
      </w:tr>
      <w:tr>
        <w:tc>
          <w:tcPr>
            <w:tcW w:type="dxa" w:w="2304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Antena</w:t>
            </w:r>
          </w:p>
        </w:tc>
        <w:tc>
          <w:tcPr>
            <w:tcW w:type="dxa" w:w="7632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Omni 3 dBi; tinggi antena divariasikan 2–6 m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Parameter dicatat</w:t>
            </w:r>
          </w:p>
        </w:tc>
        <w:tc>
          <w:tcPr>
            <w:tcW w:type="dxa" w:w="7632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Jarak, koordinat, RSSI (min/avg/maks), SNR (min/avg/maks), paket terkirim/diterima, PDR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1B2A4A"/>
        </w:rPr>
        <w:t>3. Metode</w:t>
      </w:r>
    </w:p>
    <w:p>
      <w:pPr>
        <w:pStyle w:val="ListBullet"/>
        <w:spacing w:after="60"/>
      </w:pPr>
      <w:r>
        <w:rPr>
          <w:b w:val="0"/>
          <w:i w:val="0"/>
          <w:sz w:val="20"/>
        </w:rPr>
        <w:t>Node GLD mengirim N paket per titik (100 paket pada uji acak) ke penerima.</w:t>
      </w:r>
    </w:p>
    <w:p>
      <w:pPr>
        <w:pStyle w:val="ListBullet"/>
        <w:spacing w:after="60"/>
      </w:pPr>
      <w:r>
        <w:rPr>
          <w:b w:val="0"/>
          <w:i w:val="0"/>
          <w:sz w:val="20"/>
        </w:rPr>
        <w:t>Titik dipindah bertahap; jarak, koordinat GPS, dan halangan dicatat.</w:t>
      </w:r>
    </w:p>
    <w:p>
      <w:pPr>
        <w:pStyle w:val="ListBullet"/>
        <w:spacing w:after="60"/>
      </w:pPr>
      <w:r>
        <w:rPr>
          <w:b w:val="0"/>
          <w:i w:val="0"/>
          <w:sz w:val="20"/>
        </w:rPr>
        <w:t>Batas link aman = jarak terjauh dengan PDR 100% dan RSSI/SNR masih punya margin.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1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ra_simulas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1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B5B5B"/>
          <w:sz w:val="17"/>
        </w:rPr>
        <w:t>Gambar 1. Skema pengujian simulasi komunikasi LoRa di sekitar ITB</w:t>
      </w:r>
    </w:p>
    <w:p>
      <w:pPr>
        <w:pStyle w:val="Heading1"/>
      </w:pPr>
      <w:r>
        <w:rPr>
          <w:color w:val="1B2A4A"/>
        </w:rPr>
        <w:t>4. Hasil</w:t>
      </w:r>
    </w:p>
    <w:p>
      <w:pPr>
        <w:pStyle w:val="Heading2"/>
      </w:pPr>
      <w:r>
        <w:rPr>
          <w:color w:val="1B2A4A"/>
        </w:rPr>
        <w:t>4.1 Uji baseline berdasarkan kondisi lingkungan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576"/>
        <w:gridCol w:w="3311"/>
        <w:gridCol w:w="1296"/>
        <w:gridCol w:w="1872"/>
        <w:gridCol w:w="1296"/>
        <w:gridCol w:w="1007"/>
      </w:tblGrid>
      <w:tr>
        <w:tc>
          <w:tcPr>
            <w:tcW w:type="dxa" w:w="576"/>
            <w:shd w:val="clear" w:color="auto" w:fill="1B2A4A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type="dxa" w:w="3312"/>
            <w:shd w:val="clear" w:color="auto" w:fill="1B2A4A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Kondisi</w:t>
            </w:r>
          </w:p>
        </w:tc>
        <w:tc>
          <w:tcPr>
            <w:tcW w:type="dxa" w:w="1296"/>
            <w:shd w:val="clear" w:color="auto" w:fill="1B2A4A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Jarak (m)</w:t>
            </w:r>
          </w:p>
        </w:tc>
        <w:tc>
          <w:tcPr>
            <w:tcW w:type="dxa" w:w="1872"/>
            <w:shd w:val="clear" w:color="auto" w:fill="1B2A4A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Tinggi antena Tx / Rx (m)</w:t>
            </w:r>
          </w:p>
        </w:tc>
        <w:tc>
          <w:tcPr>
            <w:tcW w:type="dxa" w:w="1296"/>
            <w:shd w:val="clear" w:color="auto" w:fill="1B2A4A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RSSI (dBm)</w:t>
            </w:r>
          </w:p>
        </w:tc>
        <w:tc>
          <w:tcPr>
            <w:tcW w:type="dxa" w:w="1008"/>
            <w:shd w:val="clear" w:color="auto" w:fill="1B2A4A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PDR</w:t>
            </w:r>
          </w:p>
        </w:tc>
      </w:tr>
      <w:tr>
        <w:tc>
          <w:tcPr>
            <w:tcW w:type="dxa" w:w="57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Area terbuka</w:t>
            </w:r>
          </w:p>
        </w:tc>
        <w:tc>
          <w:tcPr>
            <w:tcW w:type="dxa" w:w="129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10</w:t>
            </w:r>
          </w:p>
        </w:tc>
        <w:tc>
          <w:tcPr>
            <w:tcW w:type="dxa" w:w="187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3 / 3</w:t>
            </w:r>
          </w:p>
        </w:tc>
        <w:tc>
          <w:tcPr>
            <w:tcW w:type="dxa" w:w="129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−47</w:t>
            </w:r>
          </w:p>
        </w:tc>
        <w:tc>
          <w:tcPr>
            <w:tcW w:type="dxa" w:w="100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100%</w:t>
            </w:r>
          </w:p>
        </w:tc>
      </w:tr>
      <w:tr>
        <w:tc>
          <w:tcPr>
            <w:tcW w:type="dxa" w:w="576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3312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Area terbuka</w:t>
            </w:r>
          </w:p>
        </w:tc>
        <w:tc>
          <w:tcPr>
            <w:tcW w:type="dxa" w:w="1296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30</w:t>
            </w:r>
          </w:p>
        </w:tc>
        <w:tc>
          <w:tcPr>
            <w:tcW w:type="dxa" w:w="1872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3 / 3</w:t>
            </w:r>
          </w:p>
        </w:tc>
        <w:tc>
          <w:tcPr>
            <w:tcW w:type="dxa" w:w="1296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−57</w:t>
            </w:r>
          </w:p>
        </w:tc>
        <w:tc>
          <w:tcPr>
            <w:tcW w:type="dxa" w:w="1008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100%</w:t>
            </w:r>
          </w:p>
        </w:tc>
      </w:tr>
      <w:tr>
        <w:tc>
          <w:tcPr>
            <w:tcW w:type="dxa" w:w="57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Area terbuka</w:t>
            </w:r>
          </w:p>
        </w:tc>
        <w:tc>
          <w:tcPr>
            <w:tcW w:type="dxa" w:w="129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100</w:t>
            </w:r>
          </w:p>
        </w:tc>
        <w:tc>
          <w:tcPr>
            <w:tcW w:type="dxa" w:w="187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3 / 3</w:t>
            </w:r>
          </w:p>
        </w:tc>
        <w:tc>
          <w:tcPr>
            <w:tcW w:type="dxa" w:w="129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−71</w:t>
            </w:r>
          </w:p>
        </w:tc>
        <w:tc>
          <w:tcPr>
            <w:tcW w:type="dxa" w:w="100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100%</w:t>
            </w:r>
          </w:p>
        </w:tc>
      </w:tr>
      <w:tr>
        <w:tc>
          <w:tcPr>
            <w:tcW w:type="dxa" w:w="576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3312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Bawah pepohonan</w:t>
            </w:r>
          </w:p>
        </w:tc>
        <w:tc>
          <w:tcPr>
            <w:tcW w:type="dxa" w:w="1296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80</w:t>
            </w:r>
          </w:p>
        </w:tc>
        <w:tc>
          <w:tcPr>
            <w:tcW w:type="dxa" w:w="1872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3 / 3</w:t>
            </w:r>
          </w:p>
        </w:tc>
        <w:tc>
          <w:tcPr>
            <w:tcW w:type="dxa" w:w="1296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−78</w:t>
            </w:r>
          </w:p>
        </w:tc>
        <w:tc>
          <w:tcPr>
            <w:tcW w:type="dxa" w:w="1008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100%</w:t>
            </w:r>
          </w:p>
        </w:tc>
      </w:tr>
      <w:tr>
        <w:tc>
          <w:tcPr>
            <w:tcW w:type="dxa" w:w="57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Bawah pepohonan</w:t>
            </w:r>
          </w:p>
        </w:tc>
        <w:tc>
          <w:tcPr>
            <w:tcW w:type="dxa" w:w="129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80</w:t>
            </w:r>
          </w:p>
        </w:tc>
        <w:tc>
          <w:tcPr>
            <w:tcW w:type="dxa" w:w="187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4 / 4</w:t>
            </w:r>
          </w:p>
        </w:tc>
        <w:tc>
          <w:tcPr>
            <w:tcW w:type="dxa" w:w="129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−84</w:t>
            </w:r>
          </w:p>
        </w:tc>
        <w:tc>
          <w:tcPr>
            <w:tcW w:type="dxa" w:w="100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100%</w:t>
            </w:r>
          </w:p>
        </w:tc>
      </w:tr>
      <w:tr>
        <w:tc>
          <w:tcPr>
            <w:tcW w:type="dxa" w:w="576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3312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Belakang gedung + pepohonan</w:t>
            </w:r>
          </w:p>
        </w:tc>
        <w:tc>
          <w:tcPr>
            <w:tcW w:type="dxa" w:w="1296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tidak dicatat</w:t>
            </w:r>
          </w:p>
        </w:tc>
        <w:tc>
          <w:tcPr>
            <w:tcW w:type="dxa" w:w="1872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3 / 3</w:t>
            </w:r>
          </w:p>
        </w:tc>
        <w:tc>
          <w:tcPr>
            <w:tcW w:type="dxa" w:w="1296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−93</w:t>
            </w:r>
          </w:p>
        </w:tc>
        <w:tc>
          <w:tcPr>
            <w:tcW w:type="dxa" w:w="1008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98%</w:t>
            </w:r>
          </w:p>
        </w:tc>
      </w:tr>
      <w:tr>
        <w:tc>
          <w:tcPr>
            <w:tcW w:type="dxa" w:w="57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7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Belakang gedung + pepohonan (antena diubah)</w:t>
            </w:r>
          </w:p>
        </w:tc>
        <w:tc>
          <w:tcPr>
            <w:tcW w:type="dxa" w:w="129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tidak dicatat</w:t>
            </w:r>
          </w:p>
        </w:tc>
        <w:tc>
          <w:tcPr>
            <w:tcW w:type="dxa" w:w="187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2 / 6</w:t>
            </w:r>
          </w:p>
        </w:tc>
        <w:tc>
          <w:tcPr>
            <w:tcW w:type="dxa" w:w="129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−81</w:t>
            </w:r>
          </w:p>
        </w:tc>
        <w:tc>
          <w:tcPr>
            <w:tcW w:type="dxa" w:w="100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100%</w:t>
            </w:r>
          </w:p>
        </w:tc>
      </w:tr>
      <w:tr>
        <w:tc>
          <w:tcPr>
            <w:tcW w:type="dxa" w:w="576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8</w:t>
            </w:r>
          </w:p>
        </w:tc>
        <w:tc>
          <w:tcPr>
            <w:tcW w:type="dxa" w:w="3312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Area Indomaret</w:t>
            </w:r>
          </w:p>
        </w:tc>
        <w:tc>
          <w:tcPr>
            <w:tcW w:type="dxa" w:w="1296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tidak dicatat</w:t>
            </w:r>
          </w:p>
        </w:tc>
        <w:tc>
          <w:tcPr>
            <w:tcW w:type="dxa" w:w="1872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2 / 6</w:t>
            </w:r>
          </w:p>
        </w:tc>
        <w:tc>
          <w:tcPr>
            <w:tcW w:type="dxa" w:w="1296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−104</w:t>
            </w:r>
          </w:p>
        </w:tc>
        <w:tc>
          <w:tcPr>
            <w:tcW w:type="dxa" w:w="1008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68%</w:t>
            </w:r>
          </w:p>
        </w:tc>
      </w:tr>
      <w:tr>
        <w:tc>
          <w:tcPr>
            <w:tcW w:type="dxa" w:w="57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9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Area Fisika (batas jangkauan)</w:t>
            </w:r>
          </w:p>
        </w:tc>
        <w:tc>
          <w:tcPr>
            <w:tcW w:type="dxa" w:w="129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tidak dicatat</w:t>
            </w:r>
          </w:p>
        </w:tc>
        <w:tc>
          <w:tcPr>
            <w:tcW w:type="dxa" w:w="187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2 / 6</w:t>
            </w:r>
          </w:p>
        </w:tc>
        <w:tc>
          <w:tcPr>
            <w:tcW w:type="dxa" w:w="129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−112</w:t>
            </w:r>
          </w:p>
        </w:tc>
        <w:tc>
          <w:tcPr>
            <w:tcW w:type="dxa" w:w="100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26%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color w:val="5B5B5B"/>
          <w:sz w:val="18"/>
        </w:rPr>
        <w:t>Baris 6–9 diukur berdasarkan kondisi halangan; jarak tidak dicatat pada lembar uji.</w:t>
      </w:r>
    </w:p>
    <w:p>
      <w:pPr>
        <w:pStyle w:val="Heading2"/>
      </w:pPr>
      <w:r>
        <w:rPr>
          <w:color w:val="1B2A4A"/>
        </w:rPr>
        <w:t>4.2 Uji acak di kampus (receiver di Labtek XV, 100 paket per titik)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720"/>
        <w:gridCol w:w="2304"/>
        <w:gridCol w:w="1152"/>
        <w:gridCol w:w="2304"/>
        <w:gridCol w:w="1440"/>
        <w:gridCol w:w="2015"/>
      </w:tblGrid>
      <w:tr>
        <w:tc>
          <w:tcPr>
            <w:tcW w:type="dxa" w:w="720"/>
            <w:shd w:val="clear" w:color="auto" w:fill="1B2A4A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Titik</w:t>
            </w:r>
          </w:p>
        </w:tc>
        <w:tc>
          <w:tcPr>
            <w:tcW w:type="dxa" w:w="2304"/>
            <w:shd w:val="clear" w:color="auto" w:fill="1B2A4A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Lokasi</w:t>
            </w:r>
          </w:p>
        </w:tc>
        <w:tc>
          <w:tcPr>
            <w:tcW w:type="dxa" w:w="1152"/>
            <w:shd w:val="clear" w:color="auto" w:fill="1B2A4A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Jarak (m)</w:t>
            </w:r>
          </w:p>
        </w:tc>
        <w:tc>
          <w:tcPr>
            <w:tcW w:type="dxa" w:w="2304"/>
            <w:shd w:val="clear" w:color="auto" w:fill="1B2A4A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RSSI avg (dBm)</w:t>
            </w:r>
          </w:p>
        </w:tc>
        <w:tc>
          <w:tcPr>
            <w:tcW w:type="dxa" w:w="1440"/>
            <w:shd w:val="clear" w:color="auto" w:fill="1B2A4A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SNR avg (dB)</w:t>
            </w:r>
          </w:p>
        </w:tc>
        <w:tc>
          <w:tcPr>
            <w:tcW w:type="dxa" w:w="2016"/>
            <w:shd w:val="clear" w:color="auto" w:fill="1B2A4A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PDR</w:t>
            </w:r>
          </w:p>
        </w:tc>
      </w:tr>
      <w:tr>
        <w:tc>
          <w:tcPr>
            <w:tcW w:type="dxa" w:w="72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Tx 1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Depan Gedung Minyak</w:t>
            </w:r>
          </w:p>
        </w:tc>
        <w:tc>
          <w:tcPr>
            <w:tcW w:type="dxa" w:w="115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87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−94 (uji real-time singkat)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8,8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tidak diukur (uji singkat)</w:t>
            </w:r>
          </w:p>
        </w:tc>
      </w:tr>
      <w:tr>
        <w:tc>
          <w:tcPr>
            <w:tcW w:type="dxa" w:w="720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Tx 2</w:t>
            </w:r>
          </w:p>
        </w:tc>
        <w:tc>
          <w:tcPr>
            <w:tcW w:type="dxa" w:w="2304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Gerbang Utara</w:t>
            </w:r>
          </w:p>
        </w:tc>
        <w:tc>
          <w:tcPr>
            <w:tcW w:type="dxa" w:w="1152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243</w:t>
            </w:r>
          </w:p>
        </w:tc>
        <w:tc>
          <w:tcPr>
            <w:tcW w:type="dxa" w:w="2304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−101</w:t>
            </w:r>
          </w:p>
        </w:tc>
        <w:tc>
          <w:tcPr>
            <w:tcW w:type="dxa" w:w="1440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6,5</w:t>
            </w:r>
          </w:p>
        </w:tc>
        <w:tc>
          <w:tcPr>
            <w:tcW w:type="dxa" w:w="2016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100% (100/100)</w:t>
            </w:r>
          </w:p>
        </w:tc>
      </w:tr>
      <w:tr>
        <w:tc>
          <w:tcPr>
            <w:tcW w:type="dxa" w:w="72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Tx 3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Depan LFT</w:t>
            </w:r>
          </w:p>
        </w:tc>
        <w:tc>
          <w:tcPr>
            <w:tcW w:type="dxa" w:w="115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177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−94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9,3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100% (100/100)</w:t>
            </w:r>
          </w:p>
        </w:tc>
      </w:tr>
      <w:tr>
        <w:tc>
          <w:tcPr>
            <w:tcW w:type="dxa" w:w="720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Tx 4</w:t>
            </w:r>
          </w:p>
        </w:tc>
        <w:tc>
          <w:tcPr>
            <w:tcW w:type="dxa" w:w="2304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STEI Lt.2 (Labtek V)</w:t>
            </w:r>
          </w:p>
        </w:tc>
        <w:tc>
          <w:tcPr>
            <w:tcW w:type="dxa" w:w="1152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201</w:t>
            </w:r>
          </w:p>
        </w:tc>
        <w:tc>
          <w:tcPr>
            <w:tcW w:type="dxa" w:w="2304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−115</w:t>
            </w:r>
          </w:p>
        </w:tc>
        <w:tc>
          <w:tcPr>
            <w:tcW w:type="dxa" w:w="1440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−5,2</w:t>
            </w:r>
          </w:p>
        </w:tc>
        <w:tc>
          <w:tcPr>
            <w:tcW w:type="dxa" w:w="2016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87% (87/100)</w:t>
            </w:r>
          </w:p>
        </w:tc>
      </w:tr>
      <w:tr>
        <w:tc>
          <w:tcPr>
            <w:tcW w:type="dxa" w:w="72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Tx 5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Depan Gedung Fisika</w:t>
            </w:r>
          </w:p>
        </w:tc>
        <w:tc>
          <w:tcPr>
            <w:tcW w:type="dxa" w:w="115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342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−120 (sesaat)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−14,8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0%</w:t>
            </w:r>
          </w:p>
        </w:tc>
      </w:tr>
      <w:tr>
        <w:tc>
          <w:tcPr>
            <w:tcW w:type="dxa" w:w="720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Tx 6</w:t>
            </w:r>
          </w:p>
        </w:tc>
        <w:tc>
          <w:tcPr>
            <w:tcW w:type="dxa" w:w="2304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SAPPK</w:t>
            </w:r>
          </w:p>
        </w:tc>
        <w:tc>
          <w:tcPr>
            <w:tcW w:type="dxa" w:w="1152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141</w:t>
            </w:r>
          </w:p>
        </w:tc>
        <w:tc>
          <w:tcPr>
            <w:tcW w:type="dxa" w:w="2304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tidak terbaca</w:t>
            </w:r>
          </w:p>
        </w:tc>
        <w:tc>
          <w:tcPr>
            <w:tcW w:type="dxa" w:w="1440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tidak terbaca</w:t>
            </w:r>
          </w:p>
        </w:tc>
        <w:tc>
          <w:tcPr>
            <w:tcW w:type="dxa" w:w="2016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0% (data tidak sampai, terhalang gedung)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B2A4A"/>
        </w:rPr>
        <w:t>4.3 Uji orientasi antena 3 dBi (receiver arah selatan, 100 m)</w:t>
      </w:r>
    </w:p>
    <w:p>
      <w:pPr>
        <w:spacing w:after="120"/>
      </w:pPr>
      <w:r>
        <w:rPr>
          <w:b w:val="0"/>
          <w:i w:val="0"/>
          <w:sz w:val="19"/>
        </w:rPr>
        <w:t>Depan GKUT, arah selatan, 100 m: RSSI −89 / −72 / −60 dBm (min/avg/maks), SNR 9,2 / 10,4 / 11,5 dB, PDR 100%. Titik 200–300 m dan arah lain (barat daya, barat) mengalami timeout karena terhalang gedung. Uji orientasi dalam laporan ini memakai antena 3 dBi.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17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ra_bas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1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B5B5B"/>
          <w:sz w:val="17"/>
        </w:rPr>
        <w:t>Gambar 2. Rekap uji baseline komunikasi LoRa per kondisi lingkungan</w:t>
      </w:r>
    </w:p>
    <w:p>
      <w:pPr>
        <w:pStyle w:val="Heading1"/>
      </w:pPr>
      <w:r>
        <w:rPr>
          <w:color w:val="1B2A4A"/>
        </w:rPr>
        <w:t>5. Kesimpulan</w:t>
      </w:r>
    </w:p>
    <w:p>
      <w:pPr>
        <w:pStyle w:val="ListBullet"/>
        <w:spacing w:after="60"/>
      </w:pPr>
      <w:r>
        <w:rPr>
          <w:b w:val="0"/>
          <w:i w:val="0"/>
          <w:sz w:val="20"/>
        </w:rPr>
        <w:t>Di area terbuka, PDR 100% tercapai hingga 100 m (RSSI −71 dBm); pada jalur pandang bebas di kampus, PDR 100% tercapai pada 177 m dan 243 m (FAT-03 lulus: PDR 100% pada link jalur pandang bebas).</w:t>
      </w:r>
    </w:p>
    <w:p>
      <w:pPr>
        <w:pStyle w:val="ListBullet"/>
        <w:spacing w:after="60"/>
      </w:pPr>
      <w:r>
        <w:rPr>
          <w:b w:val="0"/>
          <w:i w:val="0"/>
          <w:sz w:val="20"/>
        </w:rPr>
        <w:t>Batas jangkauan per hop teridentifikasi: gedung dan pepohonan menurunkan kualitas link (PDR 87% pada 201 m terhalang gedung; putus di atas ±340 m). Jarak antar-hop di lokasi ditetapkan di bawah batas ini.</w:t>
      </w:r>
    </w:p>
    <w:p>
      <w:pPr>
        <w:pStyle w:val="ListBullet"/>
        <w:spacing w:after="60"/>
      </w:pPr>
      <w:r>
        <w:rPr>
          <w:b w:val="0"/>
          <w:i w:val="0"/>
          <w:sz w:val="20"/>
        </w:rPr>
        <w:t>Menaikkan antena penerima ke 6 m memperbaiki link di area gedung dan pepohonan (−93 dBm/98% menjadi −81 dBm/100%).</w:t>
      </w:r>
    </w:p>
    <w:p>
      <w:pPr>
        <w:pStyle w:val="ListBullet"/>
        <w:spacing w:after="60"/>
      </w:pPr>
      <w:r>
        <w:rPr>
          <w:b w:val="0"/>
          <w:i w:val="0"/>
          <w:sz w:val="20"/>
        </w:rPr>
        <w:t>Keterbatasan jarak per hop diatasi dengan jaringan mesh multi-hop Cluster Head (lihat Laporan Uji Lab 03) dan penempatan antena Cluster Head/Gateway yang tinggi.</w:t>
      </w:r>
    </w:p>
    <w:p>
      <w:pPr>
        <w:pStyle w:val="Heading1"/>
      </w:pPr>
      <w:r>
        <w:rPr>
          <w:color w:val="1B2A4A"/>
        </w:rPr>
        <w:t>6. Lembar pengesahan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3311"/>
        <w:gridCol w:w="3311"/>
        <w:gridCol w:w="3311"/>
      </w:tblGrid>
      <w:tr>
        <w:trPr>
          <w:cantSplit/>
        </w:trPr>
        <w:tc>
          <w:tcPr>
            <w:tcW w:type="dxa" w:w="3312"/>
            <w:shd w:val="clear" w:color="auto" w:fill="EFEFEC"/>
          </w:tcPr>
          <w:p>
            <w:pPr>
              <w:keepNext/>
            </w:pPr>
            <w:r>
              <w:rPr>
                <w:b/>
                <w:sz w:val="18"/>
              </w:rPr>
              <w:t>Dilaksanakan oleh</w:t>
              <w:br/>
              <w:t>Lab IoT ITB</w:t>
            </w:r>
          </w:p>
        </w:tc>
        <w:tc>
          <w:tcPr>
            <w:tcW w:type="dxa" w:w="3312"/>
            <w:shd w:val="clear" w:color="auto" w:fill="EFEFEC"/>
          </w:tcPr>
          <w:p>
            <w:pPr>
              <w:keepNext/>
            </w:pPr>
            <w:r>
              <w:rPr>
                <w:b/>
                <w:sz w:val="18"/>
              </w:rPr>
              <w:t>Diperiksa oleh</w:t>
              <w:br/>
              <w:t>PT LAPI Ganesha Utama</w:t>
            </w:r>
          </w:p>
        </w:tc>
        <w:tc>
          <w:tcPr>
            <w:tcW w:type="dxa" w:w="3312"/>
            <w:shd w:val="clear" w:color="auto" w:fill="EFEFEC"/>
          </w:tcPr>
          <w:p>
            <w:pPr>
              <w:keepNext/>
            </w:pPr>
            <w:r>
              <w:rPr>
                <w:b/>
                <w:sz w:val="18"/>
              </w:rPr>
              <w:t>Mengetahui</w:t>
              <w:br/>
              <w:t>PT Pertamina Patra Niaga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br/>
              <w:br/>
              <w:br/>
              <w:br/>
            </w:r>
          </w:p>
          <w:p>
            <w:r>
              <w:rPr>
                <w:color w:val="5B5B5B"/>
                <w:sz w:val="17"/>
              </w:rPr>
              <w:t>Nama:</w:t>
              <w:br/>
              <w:t>Jabatan:</w:t>
              <w:br/>
              <w:t>Tanggal:</w:t>
            </w:r>
          </w:p>
        </w:tc>
        <w:tc>
          <w:tcPr>
            <w:tcW w:type="dxa" w:w="3312"/>
          </w:tcPr>
          <w:p>
            <w:r>
              <w:br/>
              <w:br/>
              <w:br/>
              <w:br/>
            </w:r>
          </w:p>
          <w:p>
            <w:r>
              <w:rPr>
                <w:color w:val="5B5B5B"/>
                <w:sz w:val="17"/>
              </w:rPr>
              <w:t>Nama:</w:t>
              <w:br/>
              <w:t>Jabatan:</w:t>
              <w:br/>
              <w:t>Tanggal:</w:t>
            </w:r>
          </w:p>
        </w:tc>
        <w:tc>
          <w:tcPr>
            <w:tcW w:type="dxa" w:w="3312"/>
          </w:tcPr>
          <w:p>
            <w:r>
              <w:br/>
              <w:br/>
              <w:br/>
              <w:br/>
            </w:r>
          </w:p>
          <w:p>
            <w:r>
              <w:rPr>
                <w:color w:val="5B5B5B"/>
                <w:sz w:val="17"/>
              </w:rPr>
              <w:t>Nama:</w:t>
              <w:br/>
              <w:t>Jabatan:</w:t>
              <w:br/>
              <w:t>Tanggal: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936" w:val="right"/>
      </w:tabs>
    </w:pPr>
    <w:r>
      <w:rPr>
        <w:color w:val="5B5B5B"/>
        <w:sz w:val="16"/>
      </w:rPr>
      <w:t>LGU/GLD/UJI-LAB/2026-002  ·  Rev. 1.1</w:t>
    </w:r>
    <w:r>
      <w:rPr>
        <w:color w:val="5B5B5B"/>
        <w:sz w:val="16"/>
      </w:rPr>
      <w:tab/>
    </w:r>
    <w:r>
      <w:rPr>
        <w:color w:val="5B5B5B"/>
        <w:sz w:val="16"/>
      </w:rPr>
      <w:fldChar w:fldCharType="begin"/>
      <w:instrText xml:space="preserve">PAGE</w:instrText>
    </w:r>
    <w:r>
      <w:rPr>
        <w:color w:val="5B5B5B"/>
        <w:sz w:val="16"/>
      </w:rPr>
      <w:fldChar w:fldCharType="separate"/>
    </w:r>
    <w:r>
      <w:rPr>
        <w:color w:val="5B5B5B"/>
        <w:sz w:val="16"/>
      </w:rPr>
      <w:t>1</w:t>
    </w:r>
    <w:r>
      <w:rPr>
        <w:color w:val="5B5B5B"/>
        <w:sz w:val="16"/>
      </w:rPr>
      <w:fldChar w:fldCharType="end"/>
    </w:r>
    <w:r>
      <w:rPr>
        <w:color w:val="5B5B5B"/>
        <w:sz w:val="16"/>
      </w:rPr>
      <w:t xml:space="preserve"> dari </w:t>
    </w:r>
    <w:r>
      <w:rPr>
        <w:color w:val="5B5B5B"/>
        <w:sz w:val="16"/>
      </w:rPr>
      <w:fldChar w:fldCharType="begin"/>
      <w:instrText xml:space="preserve">NUMPAGES</w:instrText>
    </w:r>
    <w:r>
      <w:rPr>
        <w:color w:val="5B5B5B"/>
        <w:sz w:val="16"/>
      </w:rPr>
      <w:fldChar w:fldCharType="separate"/>
    </w:r>
    <w:r>
      <w:rPr>
        <w:color w:val="5B5B5B"/>
        <w:sz w:val="16"/>
      </w:rPr>
      <w:t>1</w:t>
    </w:r>
    <w:r>
      <w:rPr>
        <w:color w:val="5B5B5B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5B5B5B"/>
        <w:sz w:val="16"/>
      </w:rPr>
      <w:t>Laporan Uji Lab 02 — Komunikasi LoRa  |  Untuk Pengesahan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8" w:lineRule="auto"/>
    </w:pPr>
    <w:rPr>
      <w:rFonts w:ascii="Calibri" w:hAnsi="Calibri"/>
      <w:color w:val="1F1F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