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PT LAPI GANESHA UTAMA</w:t>
            </w:r>
          </w:p>
          <w:p>
            <w:pPr>
              <w:spacing w:after="60"/>
            </w:pPr>
            <w:r>
              <w:rPr>
                <w:color w:val="C7D2E0"/>
                <w:sz w:val="19"/>
              </w:rPr>
              <w:t>Bekerja sama dengan Lab IoT &amp; Fisika Institut Teknologi Bandung</w:t>
            </w:r>
          </w:p>
        </w:tc>
      </w:tr>
    </w:tbl>
    <w:p>
      <w:pPr>
        <w:spacing w:after="160"/>
      </w:pPr>
    </w:p>
    <w:p>
      <w:pPr>
        <w:pStyle w:val="Title"/>
        <w:spacing w:after="80"/>
      </w:pPr>
      <w:r>
        <w:rPr>
          <w:b/>
          <w:color w:val="1B2A4A"/>
          <w:sz w:val="38"/>
        </w:rPr>
        <w:t>Tanggapan atas Desain &amp; Layout Pemasangan GLD</w:t>
      </w:r>
    </w:p>
    <w:p>
      <w:pPr>
        <w:spacing w:after="200"/>
      </w:pPr>
      <w:r>
        <w:rPr>
          <w:b w:val="0"/>
          <w:i w:val="0"/>
          <w:color w:val="5B5B5B"/>
          <w:sz w:val="24"/>
        </w:rPr>
        <w:t>RU IV Cilacap — bahan rapat teknis penetapan titik &amp; kebutuhan instalasi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Nomor dokumen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LGU/GLD/INSTALASI-TANGGAPAN/2026-001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Revisi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Tanggal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2 Oktober 2026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Ditujukan kepada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Tim PT Pertamina Patra Niaga — RU IV Cilacap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Menanggapi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Block diagram lingkup kerja, layout titik pemasangan, dan MoM Koordinasi Persiapan Pemasangan GLD 29 September 2026 dari Pertamina RU IV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Dokumen LGU terkait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  <w:t>Daftar Perangkat &amp; Kebutuhan Pemasangan rev 1.1; Spesifikasi Material Instalasi rev 1.5</w:t>
            </w:r>
          </w:p>
        </w:tc>
      </w:tr>
    </w:tbl>
    <w:p>
      <w:pPr>
        <w:spacing w:after="120"/>
      </w:pPr>
    </w:p>
    <w:p>
      <w:pPr>
        <w:pStyle w:val="Heading1"/>
      </w:pPr>
      <w:r>
        <w:t>1. Ringkasan</w:t>
      </w:r>
    </w:p>
    <w:p>
      <w:pPr>
        <w:spacing w:after="140"/>
      </w:pPr>
      <w:r>
        <w:rPr>
          <w:b w:val="0"/>
          <w:i w:val="0"/>
          <w:sz w:val="20"/>
        </w:rPr>
        <w:t xml:space="preserve">LGU &amp; ITB telah menerima block diagram lingkup kerja, layout titik pemasangan, dan MoM rapat 29 September 2026 dari Pertamina RU IV. Secara umum desain tersebut </w:t>
      </w:r>
      <w:r>
        <w:rPr>
          <w:b/>
          <w:i w:val="0"/>
          <w:sz w:val="20"/>
        </w:rPr>
        <w:t>sejalan</w:t>
      </w:r>
      <w:r>
        <w:rPr>
          <w:b w:val="0"/>
          <w:i w:val="0"/>
          <w:sz w:val="20"/>
        </w:rPr>
        <w:t xml:space="preserve"> dengan arsitektur sistem dan pembagian lingkup yang diusulkan LGU: perangkat GLD, Cluster Head, panel surya, dan Gateway oleh LGU; tiang/penyangga, junction box, PSU, kabel daya, server, UPS, dan jaringan IT oleh Pertamina.</w:t>
      </w:r>
    </w:p>
    <w:p>
      <w:pPr>
        <w:spacing w:after="140"/>
      </w:pPr>
      <w:r>
        <w:rPr>
          <w:b w:val="0"/>
          <w:i w:val="0"/>
          <w:sz w:val="20"/>
        </w:rPr>
        <w:t xml:space="preserve">Dokumen ini memetakan desain Pertamina terhadap dokumen LGU, menandai butir yang </w:t>
      </w:r>
      <w:r>
        <w:rPr>
          <w:b/>
          <w:i w:val="0"/>
          <w:sz w:val="20"/>
        </w:rPr>
        <w:t>sesuai</w:t>
      </w:r>
      <w:r>
        <w:rPr>
          <w:b w:val="0"/>
          <w:i w:val="0"/>
          <w:sz w:val="20"/>
        </w:rPr>
        <w:t xml:space="preserve">, butir yang </w:t>
      </w:r>
      <w:r>
        <w:rPr>
          <w:b/>
          <w:i w:val="0"/>
          <w:sz w:val="20"/>
        </w:rPr>
        <w:t>akan disesuaikan</w:t>
      </w:r>
      <w:r>
        <w:rPr>
          <w:b w:val="0"/>
          <w:i w:val="0"/>
          <w:sz w:val="20"/>
        </w:rPr>
        <w:t xml:space="preserve"> LGU, dan butir yang </w:t>
      </w:r>
      <w:r>
        <w:rPr>
          <w:b/>
          <w:i w:val="0"/>
          <w:sz w:val="20"/>
        </w:rPr>
        <w:t>perlu dikonfirmasi</w:t>
      </w:r>
      <w:r>
        <w:rPr>
          <w:b w:val="0"/>
          <w:i w:val="0"/>
          <w:sz w:val="20"/>
        </w:rPr>
        <w:t xml:space="preserve"> dalam rapat teknis.</w:t>
      </w:r>
    </w:p>
    <w:p>
      <w:pPr>
        <w:pStyle w:val="Heading1"/>
      </w:pPr>
      <w:r>
        <w:t>2. Desain dari Pertamina RU IV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50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diagram_scop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0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0"/>
          <w:i/>
          <w:color w:val="5B5B5B"/>
          <w:sz w:val="17"/>
        </w:rPr>
        <w:t>Gambar 1. Block diagram lingkup kerja LGU dan Pertamina (sumber: Pertamina RU IV).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262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titi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0"/>
          <w:i/>
          <w:color w:val="5B5B5B"/>
          <w:sz w:val="17"/>
        </w:rPr>
        <w:t>Gambar 2. Layout titik pemasangan: GLD-1, GLD-2, JB-1, JB-2, CH-1–3, GW-1 (sumber: Pertamina RU IV).</w:t>
      </w:r>
    </w:p>
    <w:p>
      <w:r>
        <w:br w:type="page"/>
      </w:r>
    </w:p>
    <w:p>
      <w:pPr>
        <w:pStyle w:val="Heading1"/>
      </w:pPr>
      <w:r>
        <w:t>3. Pemetaan terhadap Dokumen LGU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 w:val="true"/>
        </w:trPr>
        <w:tc>
          <w:tcPr>
            <w:tcW w:type="dxa" w:w="144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94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Desain Pertamina</w:t>
            </w:r>
          </w:p>
        </w:tc>
        <w:tc>
          <w:tcPr>
            <w:tcW w:type="dxa" w:w="2088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Dokumen LGU</w:t>
            </w:r>
          </w:p>
        </w:tc>
        <w:tc>
          <w:tcPr>
            <w:tcW w:type="dxa" w:w="108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88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Catatan / tindak lanjut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  <w:t>Jumlah titik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7"/>
              </w:rPr>
              <w:t>2 GLD, 3 CH, 1 Gateway, 2 junction box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7"/>
              </w:rPr>
              <w:t>3 GLD + 1 cadangan; CH 6 (angka perencanaan); 1 Gateway</w:t>
            </w:r>
          </w:p>
        </w:tc>
        <w:tc>
          <w:tcPr>
            <w:tcW w:type="dxa" w:w="1080"/>
            <w:shd w:val="clear" w:color="auto" w:fill="FFF3DC"/>
          </w:tcPr>
          <w:p>
            <w:pPr>
              <w:spacing w:after="20"/>
            </w:pPr>
            <w:r>
              <w:rPr>
                <w:b/>
                <w:sz w:val="17"/>
              </w:rPr>
              <w:t>Sesuaikan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LGU menyesuaikan dokumen ke layout ini. Perlu konfirmasi: unit GLD ke-3 dipasang di titik tambahan atau menjadi cadangan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FAFAF8"/>
          </w:tcPr>
          <w:p>
            <w:pPr>
              <w:spacing w:after="20"/>
            </w:pPr>
            <w:r>
              <w:rPr>
                <w:b/>
                <w:sz w:val="17"/>
              </w:rPr>
              <w:t>Tiang / penyangga</w:t>
            </w:r>
          </w:p>
        </w:tc>
        <w:tc>
          <w:tcPr>
            <w:tcW w:type="dxa" w:w="1944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Stanchion 2", hot-dip galvanized (HDG)</w:t>
            </w:r>
          </w:p>
        </w:tc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Pipa galvanis 2" Sch40, OD 60,3 mm</w:t>
            </w:r>
          </w:p>
        </w:tc>
        <w:tc>
          <w:tcPr>
            <w:tcW w:type="dxa" w:w="1080"/>
            <w:shd w:val="clear" w:color="auto" w:fill="EAF4EC"/>
          </w:tcPr>
          <w:p>
            <w:pPr>
              <w:spacing w:after="20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type="dxa" w:w="2880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Cocok dengan U-bolt 2"/DN50 pada pelat mounting GLD. Konfirmasi: stanchion dengan base plate dibaut ke lantai beton (seperti foto GLD-2) atau ditanam &amp; dicor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  <w:t>Mounting GLD &amp; Gateway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7"/>
              </w:rPr>
              <w:t>Mounting support oleh Pertamina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7"/>
              </w:rPr>
              <w:t>Pelat 250 × 250 mm + U-bolt sesuai gambar LGU</w:t>
            </w:r>
          </w:p>
        </w:tc>
        <w:tc>
          <w:tcPr>
            <w:tcW w:type="dxa" w:w="1080"/>
            <w:shd w:val="clear" w:color="auto" w:fill="EAF4EC"/>
          </w:tcPr>
          <w:p>
            <w:pPr>
              <w:spacing w:after="20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Gambar CAD pelat dari LGU menjadi acuan fabrikasi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FAFAF8"/>
          </w:tcPr>
          <w:p>
            <w:pPr>
              <w:spacing w:after="20"/>
            </w:pPr>
            <w:r>
              <w:rPr>
                <w:b/>
                <w:sz w:val="17"/>
              </w:rPr>
              <w:t>Catu daya GLD</w:t>
            </w:r>
          </w:p>
        </w:tc>
        <w:tc>
          <w:tcPr>
            <w:tcW w:type="dxa" w:w="1944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Local receptacle 220 VAC → PSU di junction box → 24 VDC ke GLD</w:t>
            </w:r>
          </w:p>
        </w:tc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Opsi A: PSU per titik di box dekat sumber 220 VAC</w:t>
            </w:r>
          </w:p>
        </w:tc>
        <w:tc>
          <w:tcPr>
            <w:tcW w:type="dxa" w:w="1080"/>
            <w:shd w:val="clear" w:color="auto" w:fill="EAF4EC"/>
          </w:tcPr>
          <w:p>
            <w:pPr>
              <w:spacing w:after="20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type="dxa" w:w="2880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PSU 24 VDC ≥ 1 A per GLD (disarankan 2,5 A tipe DIN-rail) + MCB 2 A sisi AC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  <w:t>Junction box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7"/>
              </w:rPr>
              <w:t>SS316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7"/>
              </w:rPr>
              <w:t>Box PSU di area aman</w:t>
            </w:r>
          </w:p>
        </w:tc>
        <w:tc>
          <w:tcPr>
            <w:tcW w:type="dxa" w:w="1080"/>
            <w:shd w:val="clear" w:color="auto" w:fill="EAF4EC"/>
          </w:tcPr>
          <w:p>
            <w:pPr>
              <w:spacing w:after="20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SS316 cocok untuk lingkungan dekat laut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FAFAF8"/>
          </w:tcPr>
          <w:p>
            <w:pPr>
              <w:spacing w:after="20"/>
            </w:pPr>
            <w:r>
              <w:rPr>
                <w:b/>
                <w:sz w:val="17"/>
              </w:rPr>
              <w:t>Kabel 24 VDC</w:t>
            </w:r>
          </w:p>
        </w:tc>
        <w:tc>
          <w:tcPr>
            <w:tcW w:type="dxa" w:w="1944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2C, 16 AWG (≈ 1,31 mm²)</w:t>
            </w:r>
          </w:p>
        </w:tc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2 × 1,5 mm² untuk jarak ≤ 50 m</w:t>
            </w:r>
          </w:p>
        </w:tc>
        <w:tc>
          <w:tcPr>
            <w:tcW w:type="dxa" w:w="1080"/>
            <w:shd w:val="clear" w:color="auto" w:fill="EAF4EC"/>
          </w:tcPr>
          <w:p>
            <w:pPr>
              <w:spacing w:after="20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type="dxa" w:w="2880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16 AWG memenuhi bila JB → GLD ≤ ± 45 m (drop 5 % pada 1 A desain) atau ≤ ± 135 m pada konsumsi aktual 0,33 A. Pada layout, JB berada dekat GLD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  <w:t>Cluster Head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7"/>
              </w:rPr>
              <w:t>Lingkup LGU, catu daya panel surya; mounting tidak ditandai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7"/>
              </w:rPr>
              <w:t>Bracket 2 panel surya + unit CH &amp; antena di atas tiang dibawa LGU; tiang 2", ± 3 m di atas tanah</w:t>
            </w:r>
          </w:p>
        </w:tc>
        <w:tc>
          <w:tcPr>
            <w:tcW w:type="dxa" w:w="1080"/>
            <w:shd w:val="clear" w:color="auto" w:fill="FBE6E4"/>
          </w:tcPr>
          <w:p>
            <w:pPr>
              <w:spacing w:after="20"/>
            </w:pPr>
            <w:r>
              <w:rPr>
                <w:b/>
                <w:sz w:val="17"/>
              </w:rPr>
              <w:t>Konfirmasi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Siapa yang menyediakan tiang CH (3 titik di perimeter)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FAFAF8"/>
          </w:tcPr>
          <w:p>
            <w:pPr>
              <w:spacing w:after="20"/>
            </w:pPr>
            <w:r>
              <w:rPr>
                <w:b/>
                <w:sz w:val="17"/>
              </w:rPr>
              <w:t>Gateway</w:t>
            </w:r>
          </w:p>
        </w:tc>
        <w:tc>
          <w:tcPr>
            <w:tcW w:type="dxa" w:w="1944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Gateway di field dengan link RF; mounting support oleh Pertamina; GW-1 di gedung</w:t>
            </w:r>
          </w:p>
        </w:tc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Unit Gateway di dalam ruangan dekat server; antena omni 8 dBi di mast + koaksial ≤ 15 m</w:t>
            </w:r>
          </w:p>
        </w:tc>
        <w:tc>
          <w:tcPr>
            <w:tcW w:type="dxa" w:w="1080"/>
            <w:shd w:val="clear" w:color="auto" w:fill="FBE6E4"/>
          </w:tcPr>
          <w:p>
            <w:pPr>
              <w:spacing w:after="20"/>
            </w:pPr>
            <w:r>
              <w:rPr>
                <w:b/>
                <w:sz w:val="17"/>
              </w:rPr>
              <w:t>Konfirmasi</w:t>
            </w:r>
          </w:p>
        </w:tc>
        <w:tc>
          <w:tcPr>
            <w:tcW w:type="dxa" w:w="2880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Posisi unit Gateway (dalam/luar gedung), sumber daya Gateway (adaptor 5 V dari 220 VAC — belum ada di diagram), dan jalur Gateway → server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  <w:t>Router jaringan field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7"/>
              </w:rPr>
              <w:t>Belum digambar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7"/>
              </w:rPr>
              <w:t>Router milik LGU antara Gateway dan PC server, tanpa internet</w:t>
            </w:r>
          </w:p>
        </w:tc>
        <w:tc>
          <w:tcPr>
            <w:tcW w:type="dxa" w:w="1080"/>
            <w:shd w:val="clear" w:color="auto" w:fill="FFF3DC"/>
          </w:tcPr>
          <w:p>
            <w:pPr>
              <w:spacing w:after="20"/>
            </w:pPr>
            <w:r>
              <w:rPr>
                <w:b/>
                <w:sz w:val="17"/>
              </w:rPr>
              <w:t>Sesuaikan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Ditambahkan pada block diagram (lingkup LGU, di dalam gedung)</w:t>
            </w:r>
          </w:p>
        </w:tc>
      </w:tr>
      <w:tr>
        <w:trPr>
          <w:cantSplit w:val="true"/>
        </w:trPr>
        <w:tc>
          <w:tcPr>
            <w:tcW w:type="dxa" w:w="1440"/>
            <w:shd w:val="clear" w:color="auto" w:fill="FAFAF8"/>
          </w:tcPr>
          <w:p>
            <w:pPr>
              <w:spacing w:after="20"/>
            </w:pPr>
            <w:r>
              <w:rPr>
                <w:b/>
                <w:sz w:val="17"/>
              </w:rPr>
              <w:t>Server, UPS, jaringan IT</w:t>
            </w:r>
          </w:p>
        </w:tc>
        <w:tc>
          <w:tcPr>
            <w:tcW w:type="dxa" w:w="1944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Lingkup Pertamina, di dalam gedung</w:t>
            </w:r>
          </w:p>
        </w:tc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PC server + UPS disediakan Pertamina</w:t>
            </w:r>
          </w:p>
        </w:tc>
        <w:tc>
          <w:tcPr>
            <w:tcW w:type="dxa" w:w="1080"/>
            <w:shd w:val="clear" w:color="auto" w:fill="EAF4EC"/>
          </w:tcPr>
          <w:p>
            <w:pPr>
              <w:spacing w:after="20"/>
            </w:pPr>
            <w:r>
              <w:rPr>
                <w:b/>
                <w:sz w:val="17"/>
              </w:rPr>
              <w:t>Sesuai</w:t>
            </w:r>
          </w:p>
        </w:tc>
        <w:tc>
          <w:tcPr>
            <w:tcW w:type="dxa" w:w="2880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Spesifikasi di MoM (i5, RAM 16 GB, SSD 128–256 GB) memenuhi minimum LGU (4 core, 8 GB, 100 GB)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sz w:val="17"/>
              </w:rPr>
              <w:t>Klasifikasi area</w:t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sz w:val="17"/>
              </w:rPr>
              <w:t>Area field ditandai "CL.I DV.I"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7"/>
              </w:rPr>
              <w:t>Instalasi permanen pada lokasi non-ATEX di perimeter SRU</w:t>
            </w:r>
          </w:p>
        </w:tc>
        <w:tc>
          <w:tcPr>
            <w:tcW w:type="dxa" w:w="1080"/>
            <w:shd w:val="clear" w:color="auto" w:fill="FBE6E4"/>
          </w:tcPr>
          <w:p>
            <w:pPr>
              <w:spacing w:after="20"/>
            </w:pPr>
            <w:r>
              <w:rPr>
                <w:b/>
                <w:sz w:val="17"/>
              </w:rPr>
              <w:t>Konfirmasi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Perlu konfirmasi HSE RU IV atas klasifikasi area di tiap titik GLD dan CH (lihat Bagian 4)</w:t>
            </w:r>
          </w:p>
        </w:tc>
      </w:tr>
    </w:tbl>
    <w:p>
      <w:pPr>
        <w:spacing w:after="80"/>
      </w:pPr>
    </w:p>
    <w:p>
      <w:pPr>
        <w:pStyle w:val="Heading1"/>
      </w:pPr>
      <w:r>
        <w:t>4. Catatan Klasifikasi Area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6E5"/>
            <w:tcBorders>
              <w:top w:val="single" w:sz="6" w:color="C98A12"/>
              <w:left w:val="single" w:sz="6" w:color="C98A12"/>
              <w:bottom w:val="single" w:sz="6" w:color="C98A12"/>
              <w:right w:val="single" w:sz="6" w:color="C98A1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Perlu konfirmasi HSE. </w:t>
            </w:r>
            <w:r>
              <w:rPr>
                <w:sz w:val="19"/>
              </w:rPr>
              <w:t>Block diagram menandai area field sebagai Class I Division 1. Unit GLD saat ini sedang dalam proses sertifikasi ATEX/IECEx dan belum memiliki sertifikat Ex, sehingga sesuai kesepakatan sebelumnya pemasangan permanen diarahkan pada lokasi non-ATEX. Penetapan titik GLD-1, GLD-2, dan CH-1–3 menunggu konfirmasi klasifikasi area dari HSE RU IV. Bila sebagian titik berada di area terklasifikasi, LGU dapat membantu mencari titik alternatif terdekat yang berada di area aman.</w:t>
            </w:r>
          </w:p>
        </w:tc>
      </w:tr>
    </w:tbl>
    <w:p>
      <w:pPr>
        <w:spacing w:after="80"/>
      </w:pPr>
    </w:p>
    <w:p>
      <w:pPr>
        <w:pStyle w:val="Heading1"/>
      </w:pPr>
      <w:r>
        <w:t>5. Pertanyaan untuk Rapat Teknis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662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Pertanyaan</w:t>
            </w:r>
          </w:p>
        </w:tc>
        <w:tc>
          <w:tcPr>
            <w:tcW w:type="dxa" w:w="2088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Pihak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sz w:val="17"/>
              </w:rPr>
              <w:t>Klasifikasi area di titik GLD-1, GLD-2, CH-1, CH-2, CH-3 (apakah termasuk area aman)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7"/>
              </w:rPr>
              <w:t>HSE RU IV</w:t>
            </w:r>
          </w:p>
        </w:tc>
      </w:tr>
      <w:tr>
        <w:trPr>
          <w:cantSplit w:val="true"/>
        </w:trPr>
        <w:tc>
          <w:tcPr>
            <w:tcW w:type="dxa" w:w="648"/>
            <w:shd w:val="clear" w:color="auto" w:fill="FAFAF8"/>
          </w:tcPr>
          <w:p>
            <w:pPr>
              <w:spacing w:after="20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6624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Unit GLD ke-3: titik pemasangan tambahan atau disimpan sebagai cadangan</w:t>
            </w:r>
          </w:p>
        </w:tc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RU IV &amp; LGU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sz w:val="17"/>
              </w:rPr>
              <w:t>Tiang CH (3 titik): penyedia, tinggi (usulan ± 3 m di atas tanah), dan metode dudukan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7"/>
              </w:rPr>
              <w:t>RU IV</w:t>
            </w:r>
          </w:p>
        </w:tc>
      </w:tr>
      <w:tr>
        <w:trPr>
          <w:cantSplit w:val="true"/>
        </w:trPr>
        <w:tc>
          <w:tcPr>
            <w:tcW w:type="dxa" w:w="648"/>
            <w:shd w:val="clear" w:color="auto" w:fill="FAFAF8"/>
          </w:tcPr>
          <w:p>
            <w:pPr>
              <w:spacing w:after="20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6624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Posisi unit Gateway, sumber 220 VAC untuk adaptornya, serta jalur ke ruang server</w:t>
            </w:r>
          </w:p>
        </w:tc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RU IV &amp; LGU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sz w:val="17"/>
              </w:rPr>
              <w:t>Stanchion GLD: base plate dibaut ke beton atau ditanam &amp; dicor; tinggi sensor ± 0,5–1 m dari lantai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7"/>
              </w:rPr>
              <w:t>RU IV</w:t>
            </w:r>
          </w:p>
        </w:tc>
      </w:tr>
      <w:tr>
        <w:trPr>
          <w:cantSplit w:val="true"/>
        </w:trPr>
        <w:tc>
          <w:tcPr>
            <w:tcW w:type="dxa" w:w="648"/>
            <w:shd w:val="clear" w:color="auto" w:fill="FAFAF8"/>
          </w:tcPr>
          <w:p>
            <w:pPr>
              <w:spacing w:after="20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6624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Jarak kabel JB → GLD per titik (untuk verifikasi 16 AWG)</w:t>
            </w:r>
          </w:p>
        </w:tc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sz w:val="17"/>
              </w:rPr>
              <w:t>RU IV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sz w:val="17"/>
              </w:rPr>
              <w:t>Ruang &amp; titik jaringan untuk PC server, UPS, dan router LGU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7"/>
              </w:rPr>
              <w:t>RU IV (IT)</w:t>
            </w:r>
          </w:p>
        </w:tc>
      </w:tr>
    </w:tbl>
    <w:p>
      <w:pPr>
        <w:spacing w:after="80"/>
      </w:pPr>
    </w:p>
    <w:p>
      <w:pPr>
        <w:pStyle w:val="Heading1"/>
      </w:pPr>
      <w:r>
        <w:t>6. Tindak Lanjut LGU</w:t>
      </w:r>
    </w:p>
    <w:p>
      <w:pPr>
        <w:pStyle w:val="ListBullet"/>
        <w:spacing w:after="60"/>
      </w:pPr>
      <w:r>
        <w:rPr>
          <w:sz w:val="20"/>
        </w:rPr>
        <w:t>Daftar perangkat, spesifikasi, dimensi, dan kebutuhan utilitas (tindak lanjut no. 1 MoM 29 Sep) telah disampaikan dalam Daftar Perangkat &amp; Kebutuhan Pemasangan rev 1.1 dan Spesifikasi Material Instalasi rev 1.5.</w:t>
      </w:r>
    </w:p>
    <w:p>
      <w:pPr>
        <w:pStyle w:val="ListBullet"/>
        <w:spacing w:after="60"/>
      </w:pPr>
      <w:r>
        <w:rPr>
          <w:sz w:val="20"/>
        </w:rPr>
        <w:t>Setelah rapat teknis, LGU memperbarui Spesifikasi Material (jumlah titik, tiang CH, Gateway, router) dan BoQ sesuai layout final sebagai dasar rekomendasi kebutuhan lapangan dan kontrak jasa pemasangan RU IV.</w:t>
      </w:r>
    </w:p>
    <w:p>
      <w:pPr>
        <w:pStyle w:val="ListBullet"/>
        <w:spacing w:after="60"/>
      </w:pPr>
      <w:r>
        <w:rPr>
          <w:sz w:val="20"/>
        </w:rPr>
        <w:t>LGU mendampingi plot posisi perangkat dan penentuan aksesori serta wiring pada sesi teknis bersama perwakilan lokasi.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5B5B"/>
        <w:sz w:val="16"/>
      </w:rPr>
      <w:t xml:space="preserve">LGU/GLD/INSTALASI-TANGGAPAN/2026-001  ·  Rev. 1.0  ·  2 Oktober 2026  ·  Halaman </w:t>
    </w:r>
    <w:r>
      <w:rPr>
        <w:color w:val="5B5B5B"/>
        <w:sz w:val="16"/>
      </w:rPr>
      <w:fldChar w:fldCharType="begin"/>
      <w:instrText xml:space="preserve">PAGE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  <w:r>
      <w:rPr>
        <w:color w:val="5B5B5B"/>
        <w:sz w:val="16"/>
      </w:rPr>
      <w:t xml:space="preserve"> dari </w:t>
    </w:r>
    <w:r>
      <w:rPr>
        <w:color w:val="5B5B5B"/>
        <w:sz w:val="16"/>
      </w:rPr>
      <w:fldChar w:fldCharType="begin"/>
      <w:instrText xml:space="preserve">NUMPAGES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B5B5B"/>
        <w:sz w:val="16"/>
      </w:rPr>
      <w:t>Tanggapan Desain &amp; Layout Pemasangan GLD — RU IV Cilacap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