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B335F"/>
          <w:sz w:val="26"/>
        </w:rPr>
        <w:t>PT LAPI GANESHA UTAMA</w:t>
      </w:r>
    </w:p>
    <w:p>
      <w:pPr>
        <w:spacing w:after="280"/>
      </w:pPr>
      <w:r>
        <w:rPr>
          <w:color w:val="555B66"/>
          <w:sz w:val="18"/>
        </w:rPr>
        <w:t>Bekerja sama dengan Institut Teknologi Bandung — Lab IoT &amp; Lab Fisika</w:t>
      </w:r>
    </w:p>
    <w:p>
      <w:pPr>
        <w:spacing w:after="40" w:before="0"/>
      </w:pPr>
      <w:r>
        <w:rPr>
          <w:b/>
          <w:i w:val="0"/>
          <w:color w:val="2B5FCB"/>
          <w:sz w:val="17"/>
        </w:rPr>
        <w:t>DRAF INTERNAL — BELUM DIKIRIM</w:t>
      </w:r>
    </w:p>
    <w:p>
      <w:pPr>
        <w:spacing w:after="80" w:before="0"/>
      </w:pPr>
      <w:r>
        <w:rPr>
          <w:b/>
          <w:i w:val="0"/>
          <w:color w:val="1B335F"/>
          <w:sz w:val="35"/>
        </w:rPr>
        <w:t>Isian Application Form for ATEX (GTS, Rev. A0)</w:t>
      </w:r>
    </w:p>
    <w:p>
      <w:pPr>
        <w:spacing w:after="240" w:before="0"/>
      </w:pPr>
      <w:r>
        <w:rPr>
          <w:b w:val="0"/>
          <w:i w:val="0"/>
          <w:color w:val="555B66"/>
          <w:sz w:val="22"/>
        </w:rPr>
        <w:t>Gas Leak Detector (GLD) V2 — Node Sensor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04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9"/>
              </w:rPr>
              <w:t>Formulir sumber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Application Form for ATEX, versi A0 — Shanghai Global Testing Services Co., Ltd. (GTS), diterima 23 Sep 2026</w:t>
            </w:r>
          </w:p>
        </w:tc>
      </w:tr>
      <w:tr>
        <w:tc>
          <w:tcPr>
            <w:tcW w:type="dxa" w:w="2304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9"/>
              </w:rPr>
              <w:t>Berkas asli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Sumber Dokumen/input form sertifikasi/GTS_ATEX_Application_Form_A0.pdf</w:t>
            </w:r>
          </w:p>
        </w:tc>
      </w:tr>
      <w:tr>
        <w:tc>
          <w:tcPr>
            <w:tcW w:type="dxa" w:w="2304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9"/>
              </w:rPr>
              <w:t>Dokumen acuan data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Dokumen Teknis Sertifikasi GLD IECEx/ATEX — No. GMI/GLD/IECEX-TDF/2026-001</w:t>
            </w:r>
          </w:p>
        </w:tc>
      </w:tr>
      <w:tr>
        <w:tc>
          <w:tcPr>
            <w:tcW w:type="dxa" w:w="2304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9"/>
              </w:rPr>
              <w:t>Tujuan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Draf isian internal agar transkrip ke formulir resmi GTS tinggal salin — BUKAN berkas yang dikirim ke GTS</w:t>
            </w:r>
          </w:p>
        </w:tc>
      </w:tr>
      <w:tr>
        <w:tc>
          <w:tcPr>
            <w:tcW w:type="dxa" w:w="2304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9"/>
              </w:rPr>
              <w:t>Status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Applicant = Manufacturer = PT Galaksi Megatama Indonesia (28 Sep, satu entitas — LGU/ITB tidak lagi dicantumkan). Method of Protection kini rekomendasi tim (Ex d, 28 Sep — bukan keputusan resmi/ExCB). Nama PIC teknis (kontak day-to-day), penandatangan resmi, dan Sample Return masih “Perlu keputusan” — lihat highlight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3F6FC"/>
          </w:tcPr>
          <w:p>
            <w:pPr>
              <w:spacing w:after="40" w:before="40"/>
            </w:pPr>
            <w:r>
              <w:rPr>
                <w:b/>
                <w:color w:val="149174"/>
                <w:sz w:val="19"/>
              </w:rPr>
              <w:t xml:space="preserve">✓ Diputuskan:  </w:t>
            </w:r>
            <w:r>
              <w:rPr>
                <w:color w:val="262321"/>
                <w:sz w:val="19"/>
              </w:rPr>
              <w:t>Formulir GTS memisahkan dua entitas: “Applicant” (pemohon/委托方) dan “Manufacturer” (制造商). **Keputusan diperbarui (28 Sep 2026, menggantikan keputusan 23 Sep/dec:142)**: “Applicant” = “Manufacturer” = **PT Galaksi Megatama Indonesia** — satu entitas tunggal. LGU dan ITB tidak lagi dicantumkan di formulir maupun dokumen sertifikasi manapun. Alamat Applicant memakai alamat resmi (kantor terdaftar) PT Galaksi dari dokumen legalitas (Akta/NIB/NPWP/SK Kemenkumham). Nama Direksi diketahui dari akta (Presiden Direktur: Nur Rohman; Direktur: Antonius Prasetyo; Komisaris: Crisa Andi Sujatmiko — Akta No. 52, 22 Sep 2022) — Presiden Direktur adalah pejabat berwenang mewakili perusahaan secara hukum (representasi statutori), tapi **nomor telepon/e-mail pribadi beliau maupun PIC teknis day-to-day untuk korespondensi ExCB TIDAK ada di dokumen legalitas manapun** — jangan ditebak, tandai “Perlu keputusan” sampai PT Galaksi menunjuk kontak resminya.</w:t>
            </w:r>
          </w:p>
        </w:tc>
      </w:tr>
    </w:tbl>
    <w:p>
      <w:pPr>
        <w:spacing w:after="80"/>
      </w:pPr>
    </w:p>
    <w:p>
      <w:pPr>
        <w:spacing w:after="80" w:before="0"/>
      </w:pPr>
      <w:r>
        <w:rPr>
          <w:b/>
          <w:i w:val="0"/>
          <w:color w:val="1B335F"/>
          <w:sz w:val="25"/>
        </w:rPr>
        <w:t>1. Applicant Contact Information — Info Kontak Pemohon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5040"/>
        <w:gridCol w:w="2592"/>
      </w:tblGrid>
      <w:tr>
        <w:trPr>
          <w:tblHeader w:val="true"/>
        </w:trPr>
        <w:tc>
          <w:tcPr>
            <w:tcW w:type="dxa" w:w="2880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FIELD (FORM GTS)</w:t>
            </w:r>
          </w:p>
        </w:tc>
        <w:tc>
          <w:tcPr>
            <w:tcW w:type="dxa" w:w="5040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ISIAN DRAF</w:t>
            </w:r>
          </w:p>
        </w:tc>
        <w:tc>
          <w:tcPr>
            <w:tcW w:type="dxa" w:w="2592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Applicant company name — 委托方公司名称</w:t>
            </w:r>
          </w:p>
        </w:tc>
        <w:tc>
          <w:tcPr>
            <w:tcW w:type="dxa" w:w="5040"/>
            <w:shd w:val="clear" w:fill="FFFFFF"/>
          </w:tcPr>
          <w:p>
            <w:pPr>
              <w:spacing w:after="40"/>
            </w:pPr>
            <w:r>
              <w:rPr>
                <w:sz w:val="19"/>
              </w:rPr>
              <w:t>PT Galaksi Megatama Indonesia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b/>
                <w:color w:val="149174"/>
                <w:sz w:val="18"/>
              </w:rPr>
              <w:t>Tersedia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Applicant company address</w:t>
            </w:r>
          </w:p>
        </w:tc>
        <w:tc>
          <w:tcPr>
            <w:tcW w:type="dxa" w:w="5040"/>
            <w:shd w:val="clear" w:fill="FFFFFF"/>
          </w:tcPr>
          <w:p>
            <w:pPr>
              <w:spacing w:after="40"/>
            </w:pPr>
            <w:r>
              <w:rPr>
                <w:sz w:val="19"/>
              </w:rPr>
              <w:t>Plaza Summarecon Bekasi, Jl. Bulevar Ahmad Yani Kav. K.01, Level 7, Harapanmulya Village, Medansatria Sub-district, Bekasi City, West Java 17143, Indonesia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b/>
                <w:color w:val="149174"/>
                <w:sz w:val="18"/>
              </w:rPr>
              <w:t>Tersedia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Contact person</w:t>
            </w:r>
          </w:p>
        </w:tc>
        <w:tc>
          <w:tcPr>
            <w:tcW w:type="dxa" w:w="5040"/>
            <w:shd w:val="clear" w:fill="FFFFFF"/>
          </w:tcPr>
          <w:p>
            <w:pPr>
              <w:spacing w:after="40"/>
            </w:pPr>
            <w:r>
              <w:rPr>
                <w:sz w:val="19"/>
              </w:rPr>
              <w:t>Belum ditunjuk — Presiden Direktur (Nur Rohman, per Akta No. 52) adalah penandatangan sah secara hukum, tapi PIC teknis/korespondensi day-to-day untuk ExCB belum ditentukan perusahaan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b/>
                <w:color w:val="B02A37"/>
                <w:sz w:val="18"/>
              </w:rPr>
              <w:t>Perlu keputusan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Position</w:t>
            </w:r>
          </w:p>
        </w:tc>
        <w:tc>
          <w:tcPr>
            <w:tcW w:type="dxa" w:w="5040"/>
            <w:shd w:val="clear" w:fill="FFFFFF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b/>
                <w:color w:val="B02A37"/>
                <w:sz w:val="18"/>
              </w:rPr>
              <w:t>Perlu keputusan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Mobile / Tel</w:t>
            </w:r>
          </w:p>
        </w:tc>
        <w:tc>
          <w:tcPr>
            <w:tcW w:type="dxa" w:w="5040"/>
            <w:shd w:val="clear" w:fill="FFFFFF"/>
          </w:tcPr>
          <w:p>
            <w:pPr>
              <w:spacing w:after="40"/>
            </w:pPr>
            <w:r>
              <w:rPr>
                <w:sz w:val="19"/>
              </w:rPr>
              <w:t>Tidak ada di dokumen legalitas — perlu diminta langsung ke PT Galaksi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b/>
                <w:color w:val="B02A37"/>
                <w:sz w:val="18"/>
              </w:rPr>
              <w:t>Perlu keputusan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E-mail</w:t>
            </w:r>
          </w:p>
        </w:tc>
        <w:tc>
          <w:tcPr>
            <w:tcW w:type="dxa" w:w="5040"/>
            <w:shd w:val="clear" w:fill="FFFFFF"/>
          </w:tcPr>
          <w:p>
            <w:pPr>
              <w:spacing w:after="40"/>
            </w:pPr>
            <w:r>
              <w:rPr>
                <w:sz w:val="19"/>
              </w:rPr>
              <w:t>Tidak ada di dokumen legalitas — perlu diminta langsung ke PT Galaksi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b/>
                <w:color w:val="B02A37"/>
                <w:sz w:val="18"/>
              </w:rPr>
              <w:t>Perlu keputusan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Report &amp; invoice mailing address</w:t>
            </w:r>
          </w:p>
        </w:tc>
        <w:tc>
          <w:tcPr>
            <w:tcW w:type="dxa" w:w="5040"/>
            <w:shd w:val="clear" w:fill="FFFFFF"/>
          </w:tcPr>
          <w:p>
            <w:pPr>
              <w:spacing w:after="40"/>
            </w:pPr>
            <w:r>
              <w:rPr>
                <w:sz w:val="19"/>
              </w:rPr>
              <w:t>Sama dengan alamat Applicant di atas (Plaza Summarecon Bekasi)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b/>
                <w:color w:val="149174"/>
                <w:sz w:val="18"/>
              </w:rPr>
              <w:t>Tersedia</w:t>
            </w:r>
          </w:p>
        </w:tc>
      </w:tr>
    </w:tbl>
    <w:p>
      <w:pPr>
        <w:spacing w:after="80"/>
      </w:pPr>
    </w:p>
    <w:p>
      <w:pPr>
        <w:spacing w:after="80" w:before="0"/>
      </w:pPr>
      <w:r>
        <w:rPr>
          <w:b/>
          <w:i w:val="0"/>
          <w:color w:val="1B335F"/>
          <w:sz w:val="25"/>
        </w:rPr>
        <w:t>2. Data Utama (akan menjadi acuan sertifikat)</w:t>
      </w:r>
    </w:p>
    <w:p>
      <w:pPr>
        <w:spacing w:after="120" w:before="0"/>
      </w:pPr>
      <w:r>
        <w:rPr>
          <w:b w:val="0"/>
          <w:i/>
          <w:color w:val="555B66"/>
          <w:sz w:val="18"/>
        </w:rPr>
        <w:t>Kolom “Chinese” pada formulir asli tidak diisi di sini — belum ada terjemahan Mandarin resmi untuk data produk; tanyakan ke GTS apakah wajib disediakan pemohon atau diterjemahkan oleh lab.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6336"/>
        <w:gridCol w:w="1296"/>
      </w:tblGrid>
      <w:tr>
        <w:trPr>
          <w:tblHeader w:val="true"/>
        </w:trPr>
        <w:tc>
          <w:tcPr>
            <w:tcW w:type="dxa" w:w="2880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FIELD (FORM GTS)</w:t>
            </w:r>
          </w:p>
        </w:tc>
        <w:tc>
          <w:tcPr>
            <w:tcW w:type="dxa" w:w="6336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ISIAN DRAF</w:t>
            </w:r>
          </w:p>
        </w:tc>
        <w:tc>
          <w:tcPr>
            <w:tcW w:type="dxa" w:w="1296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Applicant 申请公司</w:t>
            </w:r>
          </w:p>
        </w:tc>
        <w:tc>
          <w:tcPr>
            <w:tcW w:type="dxa" w:w="6336"/>
            <w:shd w:val="clear" w:fill="FFFFFF"/>
          </w:tcPr>
          <w:p>
            <w:pPr>
              <w:spacing w:after="40"/>
            </w:pPr>
            <w:r>
              <w:rPr>
                <w:sz w:val="19"/>
              </w:rPr>
              <w:t>PT Galaksi Megatama Indonesia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b/>
                <w:color w:val="149174"/>
                <w:sz w:val="18"/>
              </w:rPr>
              <w:t>Tersedia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Add 申请公司地址</w:t>
            </w:r>
          </w:p>
        </w:tc>
        <w:tc>
          <w:tcPr>
            <w:tcW w:type="dxa" w:w="6336"/>
            <w:shd w:val="clear" w:fill="FFFFFF"/>
          </w:tcPr>
          <w:p>
            <w:pPr>
              <w:spacing w:after="40"/>
            </w:pPr>
            <w:r>
              <w:rPr>
                <w:sz w:val="19"/>
              </w:rPr>
              <w:t>Plaza Summarecon Bekasi, Jl. Bulevar Ahmad Yani Kav. K.01, Level 7, Harapanmulya Village, Medansatria Sub-district, Bekasi City, West Java 17143, Indonesia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b/>
                <w:color w:val="149174"/>
                <w:sz w:val="18"/>
              </w:rPr>
              <w:t>Tersedia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Manufacturer 制造商</w:t>
            </w:r>
          </w:p>
        </w:tc>
        <w:tc>
          <w:tcPr>
            <w:tcW w:type="dxa" w:w="6336"/>
            <w:shd w:val="clear" w:fill="FFFFFF"/>
          </w:tcPr>
          <w:p>
            <w:pPr>
              <w:spacing w:after="40"/>
            </w:pPr>
            <w:r>
              <w:rPr>
                <w:sz w:val="19"/>
              </w:rPr>
              <w:t>PT Galaksi Megatama Indonesia (sama dengan Applicant — satu entitas)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b/>
                <w:color w:val="149174"/>
                <w:sz w:val="18"/>
              </w:rPr>
              <w:t>Tersedia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Add 制造商地址</w:t>
            </w:r>
          </w:p>
        </w:tc>
        <w:tc>
          <w:tcPr>
            <w:tcW w:type="dxa" w:w="6336"/>
            <w:shd w:val="clear" w:fill="FFFFFF"/>
          </w:tcPr>
          <w:p>
            <w:pPr>
              <w:spacing w:after="40"/>
            </w:pPr>
            <w:r>
              <w:rPr>
                <w:sz w:val="19"/>
              </w:rPr>
              <w:t>Sama dengan alamat Applicant di atas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b/>
                <w:color w:val="149174"/>
                <w:sz w:val="18"/>
              </w:rPr>
              <w:t>Tersedia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Product 产品名称</w:t>
            </w:r>
          </w:p>
        </w:tc>
        <w:tc>
          <w:tcPr>
            <w:tcW w:type="dxa" w:w="6336"/>
            <w:shd w:val="clear" w:fill="FFFFFF"/>
          </w:tcPr>
          <w:p>
            <w:pPr>
              <w:spacing w:after="40"/>
            </w:pPr>
            <w:r>
              <w:rPr>
                <w:sz w:val="19"/>
              </w:rPr>
              <w:t>Gas Leak Detector (GLD) — Node Sensor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b/>
                <w:color w:val="149174"/>
                <w:sz w:val="18"/>
              </w:rPr>
              <w:t>Tersedia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Model No 全部型号</w:t>
            </w:r>
          </w:p>
        </w:tc>
        <w:tc>
          <w:tcPr>
            <w:tcW w:type="dxa" w:w="6336"/>
            <w:shd w:val="clear" w:fill="FFFFFF"/>
          </w:tcPr>
          <w:p>
            <w:pPr>
              <w:spacing w:after="40"/>
            </w:pPr>
            <w:r>
              <w:rPr>
                <w:sz w:val="19"/>
              </w:rPr>
              <w:t>GLD V2 (satu model saat ini; belum ada varian lain)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b/>
                <w:color w:val="149174"/>
                <w:sz w:val="18"/>
              </w:rPr>
              <w:t>Tersedia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Main model 主测型号</w:t>
            </w:r>
          </w:p>
        </w:tc>
        <w:tc>
          <w:tcPr>
            <w:tcW w:type="dxa" w:w="6336"/>
            <w:shd w:val="clear" w:fill="FFFFFF"/>
          </w:tcPr>
          <w:p>
            <w:pPr>
              <w:spacing w:after="40"/>
            </w:pPr>
            <w:r>
              <w:rPr>
                <w:sz w:val="19"/>
              </w:rPr>
              <w:t>GLD V2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b/>
                <w:color w:val="149174"/>
                <w:sz w:val="18"/>
              </w:rPr>
              <w:t>Tersedia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Marking Code 防爆标识</w:t>
            </w:r>
          </w:p>
        </w:tc>
        <w:tc>
          <w:tcPr>
            <w:tcW w:type="dxa" w:w="6336"/>
            <w:shd w:val="clear" w:fill="FFFFFF"/>
          </w:tcPr>
          <w:p>
            <w:pPr>
              <w:spacing w:after="40"/>
            </w:pPr>
            <w:r>
              <w:rPr>
                <w:sz w:val="19"/>
              </w:rPr>
              <w:t>Belum final — rekomendasi tim per 28 Sep 2026 (bukan keputusan ExCB): II 2G Ex db IIC T4 Gb (Method of Protection dipersempit ke Ex d — lihat bagian Method of Protection; opsi Ex e/i/n/dst. sudah dikesampingkan tim). ⚠️ Draf tim sebelumnya (24 Sep) sempat juga menulis “Ex tb IIIC T135°C Db, Tamb −40°C to +85°C” di bagian nameplate — TIDAK dipakai di sini krn ini disalin dari marking produk referensi (flame detector Talentum, bukan data GLD) dan bertentangan dgn tabel Mechanical Parameters di dokumen yg sama (−20°C to +60°C, dec:144); GLD juga belum pernah dinilai butuh proteksi debu (“D”/“tb”).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b/>
                <w:color w:val="B02A37"/>
                <w:sz w:val="18"/>
              </w:rPr>
              <w:t>Perlu keputusan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Rating 技术参数</w:t>
            </w:r>
          </w:p>
        </w:tc>
        <w:tc>
          <w:tcPr>
            <w:tcW w:type="dxa" w:w="6336"/>
            <w:shd w:val="clear" w:fill="FFFFFF"/>
          </w:tcPr>
          <w:p>
            <w:pPr>
              <w:spacing w:after="40"/>
            </w:pPr>
            <w:r>
              <w:rPr>
                <w:sz w:val="19"/>
              </w:rPr>
              <w:t>24 VDC, arus maks. ≈0,33 A, daya maks. 7,995 W (≈8 W) — konfigurasi produksi (bukan varian baterai R&amp;D)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b/>
                <w:color w:val="149174"/>
                <w:sz w:val="18"/>
              </w:rPr>
              <w:t>Tersedia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Product size and weight 产品尺寸及重量</w:t>
            </w:r>
          </w:p>
        </w:tc>
        <w:tc>
          <w:tcPr>
            <w:tcW w:type="dxa" w:w="6336"/>
            <w:shd w:val="clear" w:fill="FFFFFF"/>
          </w:tcPr>
          <w:p>
            <w:pPr>
              <w:spacing w:after="40"/>
            </w:pPr>
            <w:r>
              <w:rPr>
                <w:sz w:val="19"/>
              </w:rPr>
              <w:t>200 × 90 × 290 mm; 2,378 kg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b/>
                <w:color w:val="149174"/>
                <w:sz w:val="18"/>
              </w:rPr>
              <w:t>Tersedia</w:t>
            </w:r>
          </w:p>
        </w:tc>
      </w:tr>
    </w:tbl>
    <w:p>
      <w:pPr>
        <w:spacing w:after="80"/>
      </w:pPr>
    </w:p>
    <w:p>
      <w:pPr>
        <w:spacing w:after="60" w:before="0"/>
      </w:pPr>
      <w:r>
        <w:rPr>
          <w:b/>
          <w:i w:val="0"/>
          <w:color w:val="1B335F"/>
          <w:sz w:val="19"/>
        </w:rPr>
        <w:t>Short description of product(s) / 产品的简要描述 — draf: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3F6FC"/>
          </w:tcPr>
          <w:p>
            <w:pPr>
              <w:spacing w:after="40" w:before="40"/>
            </w:pPr>
            <w:r>
              <w:rPr>
                <w:b/>
                <w:color w:val="B56A1E"/>
                <w:sz w:val="19"/>
              </w:rPr>
              <w:t xml:space="preserve">Draf (cek ulang):  </w:t>
            </w:r>
            <w:r>
              <w:rPr>
                <w:color w:val="262321"/>
                <w:sz w:val="19"/>
              </w:rPr>
              <w:t>“A fixed (stationary), wall/pipe-mounted wireless sensor node for continuous flammable and toxic gas leak detection in oil &amp; gas refinery processing areas. The unit samples ambient air via an internal MQ-series sensor array, classifies gas presence on-device using an embedded AI model, and reports readings and alarms over a LoRa wireless mesh network to a central monitoring system. Powered by a continuous 24 VDC site supply.”</w:t>
            </w:r>
          </w:p>
        </w:tc>
      </w:tr>
    </w:tbl>
    <w:p>
      <w:pPr>
        <w:spacing w:after="80"/>
      </w:pPr>
    </w:p>
    <w:p>
      <w:pPr>
        <w:spacing w:after="80" w:before="0"/>
      </w:pPr>
      <w:r>
        <w:rPr>
          <w:b/>
          <w:i w:val="0"/>
          <w:color w:val="B56A1E"/>
          <w:sz w:val="25"/>
        </w:rPr>
        <w:t>Method of Protection — Rekomendasi tim: Ex d (lihat dec:98, dec:150)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CEFDD"/>
          </w:tcPr>
          <w:p>
            <w:pPr>
              <w:spacing w:after="40" w:before="40"/>
            </w:pPr>
            <w:r>
              <w:rPr>
                <w:b/>
                <w:color w:val="B56A1E"/>
                <w:sz w:val="19"/>
              </w:rPr>
              <w:t xml:space="preserve">⚠  </w:t>
            </w:r>
            <w:r>
              <w:rPr>
                <w:color w:val="B56A1E"/>
                <w:sz w:val="19"/>
              </w:rPr>
              <w:t>Ini bukan sekadar formulir kosong — memilih salah satu opsi ini adalah keputusan rekayasa yang menentukan seluruh scope pengujian (flame-path, komponen bersertifikat Ex, dst.). Rekomendasi tim (28 Sep 2026, bukan keputusan ExCB): “Ex d” (flameproof enclosure) — cocok dengan desain casing yang sudah ada (die-cast aluminium ADC12 + tutup mesh stainless steel sebagai flame path/flame arrestor), pola yang sama dipakai ketiga produk gas detector bersertifikat yang sudah dipelajari sebagai referensi (Talentum 16000, Sensepoint XCD, KD-12 — semuanya Ex d). “Ex i” (intrinsic safety) dikesampingkan: heater sensor MQ menyala terus (≈0,75 W/sensor) langsung dari catu 24VDC tanpa barrier pembatas arus bersertifikat — sulit direkonsiliasi dengan batas energi intrinsically-safe untuk Grup IIC. “Ex e” (increased safety) juga tidak dikejar karena tidak ditujukan untuk komponen yang normalnya beroperasi dengan percikan/panas (heater sensor). Tetap tandai sebagai rekomendasi tim, bukan keputusan resmi tim engineering/ExCB — perlu sign-off formal sebelum submission.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color w:val="1B335F"/>
          <w:sz w:val="19"/>
        </w:rPr>
        <w:t>☒  Gas – Flameproof enclosures "d"</w:t>
      </w:r>
      <w:r>
        <w:rPr>
          <w:i/>
          <w:color w:val="555B66"/>
          <w:sz w:val="17"/>
        </w:rPr>
        <w:t xml:space="preserve">  — rekomendasi tim, belum sign-off resmi</w:t>
      </w:r>
    </w:p>
    <w:p>
      <w:pPr>
        <w:spacing w:after="60"/>
      </w:pPr>
      <w:r>
        <w:rPr>
          <w:sz w:val="19"/>
        </w:rPr>
        <w:t>☐  Gas and Dust – Pressurized enclosures "p"</w:t>
      </w:r>
    </w:p>
    <w:p>
      <w:pPr>
        <w:spacing w:after="60"/>
      </w:pPr>
      <w:r>
        <w:rPr>
          <w:sz w:val="19"/>
        </w:rPr>
        <w:t>☐  Gas – Powder filling "q"</w:t>
      </w:r>
    </w:p>
    <w:p>
      <w:pPr>
        <w:spacing w:after="60"/>
      </w:pPr>
      <w:r>
        <w:rPr>
          <w:sz w:val="19"/>
        </w:rPr>
        <w:t>☐  Gas – Oil immersion "o"</w:t>
      </w:r>
    </w:p>
    <w:p>
      <w:pPr>
        <w:spacing w:after="60"/>
      </w:pPr>
      <w:r>
        <w:rPr>
          <w:sz w:val="19"/>
        </w:rPr>
        <w:t>☐  Gas – Increased safety "e"</w:t>
      </w:r>
    </w:p>
    <w:p>
      <w:pPr>
        <w:spacing w:after="60"/>
      </w:pPr>
      <w:r>
        <w:rPr>
          <w:sz w:val="19"/>
        </w:rPr>
        <w:t>☐  Gas and Dust – Intrinsic safety "i"</w:t>
      </w:r>
    </w:p>
    <w:p>
      <w:pPr>
        <w:spacing w:after="60"/>
      </w:pPr>
      <w:r>
        <w:rPr>
          <w:sz w:val="19"/>
        </w:rPr>
        <w:t>☐  Gas – Type of protection "n"</w:t>
      </w:r>
    </w:p>
    <w:p>
      <w:pPr>
        <w:spacing w:after="60"/>
      </w:pPr>
      <w:r>
        <w:rPr>
          <w:sz w:val="19"/>
        </w:rPr>
        <w:t>☐  Gas – Optical radiation "op"</w:t>
      </w:r>
    </w:p>
    <w:p>
      <w:pPr>
        <w:spacing w:after="60"/>
      </w:pPr>
      <w:r>
        <w:rPr>
          <w:sz w:val="19"/>
        </w:rPr>
        <w:t>☐  Gas and Dust – Encapsulation "m"</w:t>
      </w:r>
    </w:p>
    <w:p>
      <w:pPr>
        <w:spacing w:after="60"/>
      </w:pPr>
      <w:r>
        <w:rPr>
          <w:sz w:val="19"/>
        </w:rPr>
        <w:t>☐  Dust – Protection by enclosures "t"</w:t>
      </w:r>
    </w:p>
    <w:p>
      <w:pPr>
        <w:spacing w:after="60"/>
      </w:pPr>
      <w:r>
        <w:rPr>
          <w:sz w:val="19"/>
        </w:rPr>
        <w:t>☐  Safety-, Control-, Regulation Device (EN 50495)</w:t>
      </w:r>
    </w:p>
    <w:p>
      <w:pPr>
        <w:spacing w:after="80"/>
      </w:pPr>
    </w:p>
    <w:p>
      <w:pPr>
        <w:spacing w:after="80" w:before="0"/>
      </w:pPr>
      <w:r>
        <w:rPr>
          <w:b/>
          <w:i w:val="0"/>
          <w:color w:val="1B335F"/>
          <w:sz w:val="25"/>
        </w:rPr>
        <w:t>Group Equipment, Explosion Subgroup, Level of Protection</w:t>
      </w:r>
    </w:p>
    <w:p>
      <w:pPr>
        <w:spacing w:after="120" w:before="0"/>
      </w:pPr>
      <w:r>
        <w:rPr>
          <w:b w:val="0"/>
          <w:i/>
          <w:color w:val="555B66"/>
          <w:sz w:val="18"/>
        </w:rPr>
        <w:t>Ditandai berdasarkan rekomendasi tim yang sudah tercatat di Dokumen Teknis Sertifikasi §2.5 — “Group II” konsisten dengan penggunaan non-tambang (refinery) dan relatif tidak ambigu; Subgroup/Level tetap berstatus rekomendasi tim, bukan keputusan ExCB.</w:t>
      </w:r>
    </w:p>
    <w:p>
      <w:pPr>
        <w:spacing w:after="60"/>
      </w:pPr>
      <w:r>
        <w:rPr>
          <w:sz w:val="19"/>
        </w:rPr>
        <w:t>☐  Group I (mining)</w:t>
      </w:r>
    </w:p>
    <w:p>
      <w:pPr>
        <w:spacing w:after="60"/>
      </w:pPr>
      <w:r>
        <w:rPr>
          <w:b/>
          <w:color w:val="1B335F"/>
          <w:sz w:val="19"/>
        </w:rPr>
        <w:t>☒  Group II (Non-mining equipment)</w:t>
      </w:r>
      <w:r>
        <w:rPr>
          <w:i/>
          <w:color w:val="555B66"/>
          <w:sz w:val="17"/>
        </w:rPr>
        <w:t xml:space="preserve">  — sesuai penggunaan refinery/non-tambang — relatif pasti</w:t>
      </w:r>
    </w:p>
    <w:p>
      <w:pPr>
        <w:spacing w:after="60"/>
      </w:pPr>
      <w:r>
        <w:rPr>
          <w:sz w:val="19"/>
        </w:rPr>
        <w:t>☐  Group III (Dust, IEC only)</w:t>
      </w:r>
    </w:p>
    <w:p>
      <w:pPr>
        <w:spacing w:after="80"/>
      </w:pPr>
    </w:p>
    <w:p>
      <w:pPr>
        <w:spacing w:after="60"/>
      </w:pPr>
      <w:r>
        <w:rPr>
          <w:sz w:val="19"/>
        </w:rPr>
        <w:t>☐  Subgroup II</w:t>
      </w:r>
    </w:p>
    <w:p>
      <w:pPr>
        <w:spacing w:after="60"/>
      </w:pPr>
      <w:r>
        <w:rPr>
          <w:sz w:val="19"/>
        </w:rPr>
        <w:t>☐  Subgroup IIA</w:t>
      </w:r>
    </w:p>
    <w:p>
      <w:pPr>
        <w:spacing w:after="60"/>
      </w:pPr>
      <w:r>
        <w:rPr>
          <w:sz w:val="19"/>
        </w:rPr>
        <w:t>☐  Subgroup IIB</w:t>
      </w:r>
    </w:p>
    <w:p>
      <w:pPr>
        <w:spacing w:after="60"/>
      </w:pPr>
      <w:r>
        <w:rPr>
          <w:b/>
          <w:color w:val="1B335F"/>
          <w:sz w:val="19"/>
        </w:rPr>
        <w:t>☒  Subgroup IIC</w:t>
      </w:r>
      <w:r>
        <w:rPr>
          <w:i/>
          <w:color w:val="555B66"/>
          <w:sz w:val="17"/>
        </w:rPr>
        <w:t xml:space="preserve">  — rekomendasi tim (H₂ termasuk gas target) — BUKAN keputusan ExCB, lihat §2.5</w:t>
      </w:r>
    </w:p>
    <w:p>
      <w:pPr>
        <w:spacing w:after="80"/>
      </w:pPr>
    </w:p>
    <w:p>
      <w:pPr>
        <w:spacing w:after="60"/>
      </w:pPr>
      <w:r>
        <w:rPr>
          <w:sz w:val="19"/>
        </w:rPr>
        <w:t>☐  Category 1 G/Ga (Zone 0)</w:t>
      </w:r>
    </w:p>
    <w:p>
      <w:pPr>
        <w:spacing w:after="60"/>
      </w:pPr>
      <w:r>
        <w:rPr>
          <w:b/>
          <w:color w:val="1B335F"/>
          <w:sz w:val="19"/>
        </w:rPr>
        <w:t>☒  Category 2 G/Gb (Zone 1)</w:t>
      </w:r>
      <w:r>
        <w:rPr>
          <w:i/>
          <w:color w:val="555B66"/>
          <w:sz w:val="17"/>
        </w:rPr>
        <w:t xml:space="preserve">  — rekomendasi tim — BUKAN keputusan ExCB, lihat §2.5</w:t>
      </w:r>
    </w:p>
    <w:p>
      <w:pPr>
        <w:spacing w:after="60"/>
      </w:pPr>
      <w:r>
        <w:rPr>
          <w:sz w:val="19"/>
        </w:rPr>
        <w:t>☐  Category 3 G/Gc (Zone 2)</w:t>
      </w:r>
    </w:p>
    <w:p>
      <w:pPr>
        <w:spacing w:after="80"/>
      </w:pPr>
    </w:p>
    <w:p>
      <w:pPr>
        <w:spacing w:after="80" w:before="0"/>
      </w:pPr>
      <w:r>
        <w:rPr>
          <w:b/>
          <w:i w:val="0"/>
          <w:color w:val="1B335F"/>
          <w:sz w:val="25"/>
        </w:rPr>
        <w:t>IP Protection, Classification of Installation and Use, dan lainnya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11"/>
        <w:gridCol w:w="6048"/>
        <w:gridCol w:w="1152"/>
      </w:tblGrid>
      <w:tr>
        <w:trPr>
          <w:tblHeader w:val="true"/>
        </w:trPr>
        <w:tc>
          <w:tcPr>
            <w:tcW w:type="dxa" w:w="3312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FIELD (FORM GTS)</w:t>
            </w:r>
          </w:p>
        </w:tc>
        <w:tc>
          <w:tcPr>
            <w:tcW w:type="dxa" w:w="6048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ISIAN DRAF</w:t>
            </w:r>
          </w:p>
        </w:tc>
        <w:tc>
          <w:tcPr>
            <w:tcW w:type="dxa" w:w="1152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40"/>
            </w:pPr>
            <w:r>
              <w:rPr>
                <w:b/>
                <w:sz w:val="19"/>
              </w:rPr>
              <w:t>IP Protection</w:t>
            </w:r>
          </w:p>
        </w:tc>
        <w:tc>
          <w:tcPr>
            <w:tcW w:type="dxa" w:w="6048"/>
            <w:shd w:val="clear" w:fill="FFFFFF"/>
          </w:tcPr>
          <w:p>
            <w:pPr>
              <w:spacing w:after="40"/>
            </w:pPr>
            <w:r>
              <w:rPr>
                <w:sz w:val="19"/>
              </w:rPr>
              <w:t>IP66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b/>
                <w:color w:val="149174"/>
                <w:sz w:val="18"/>
              </w:rPr>
              <w:t>Tersedia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40"/>
            </w:pPr>
            <w:r>
              <w:rPr>
                <w:b/>
                <w:sz w:val="19"/>
              </w:rPr>
              <w:t>Classification of installation and use</w:t>
            </w:r>
          </w:p>
        </w:tc>
        <w:tc>
          <w:tcPr>
            <w:tcW w:type="dxa" w:w="6048"/>
            <w:shd w:val="clear" w:fill="FFFFFF"/>
          </w:tcPr>
          <w:p>
            <w:pPr>
              <w:spacing w:after="40"/>
            </w:pPr>
            <w:r>
              <w:rPr>
                <w:sz w:val="19"/>
              </w:rPr>
              <w:t>Stationary (dipasang tetap via bracket/U-bolt ke struktur pipa existing — bukan portable maupun hand-held)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b/>
                <w:color w:val="149174"/>
                <w:sz w:val="18"/>
              </w:rPr>
              <w:t>Tersedia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40"/>
            </w:pPr>
            <w:r>
              <w:rPr>
                <w:b/>
                <w:sz w:val="19"/>
              </w:rPr>
              <w:t>Intended use limit for a certain kind of atmosphere</w:t>
            </w:r>
          </w:p>
        </w:tc>
        <w:tc>
          <w:tcPr>
            <w:tcW w:type="dxa" w:w="6048"/>
            <w:shd w:val="clear" w:fill="FFFFFF"/>
          </w:tcPr>
          <w:p>
            <w:pPr>
              <w:spacing w:after="40"/>
            </w:pPr>
            <w:r>
              <w:rPr>
                <w:sz w:val="19"/>
              </w:rPr>
              <w:t>Flammable/toxic gas atmospheres di area proses kilang minyak &amp; gas; gas target sesuai model AI (Bagian 2.3.b) — draf, cek ulang cakupan resmi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b/>
                <w:color w:val="B56A1E"/>
                <w:sz w:val="18"/>
              </w:rPr>
              <w:t>Draf — cek ulang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40"/>
            </w:pPr>
            <w:r>
              <w:rPr>
                <w:b/>
                <w:sz w:val="19"/>
              </w:rPr>
              <w:t>Ambient pressure range</w:t>
            </w:r>
          </w:p>
        </w:tc>
        <w:tc>
          <w:tcPr>
            <w:tcW w:type="dxa" w:w="6048"/>
            <w:shd w:val="clear" w:fill="FFFFFF"/>
          </w:tcPr>
          <w:p>
            <w:pPr>
              <w:spacing w:after="40"/>
            </w:pPr>
            <w:r>
              <w:rPr>
                <w:sz w:val="19"/>
              </w:rPr>
              <w:t>Tidak ada data pengujian — disarankan centang “No specified standard, lab to recommend” (无指定标准，由实验室推荐)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b/>
                <w:color w:val="B56A1E"/>
                <w:sz w:val="18"/>
              </w:rPr>
              <w:t>Sebagian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40"/>
            </w:pPr>
            <w:r>
              <w:rPr>
                <w:b/>
                <w:sz w:val="19"/>
              </w:rPr>
              <w:t>Sample Return</w:t>
            </w:r>
          </w:p>
        </w:tc>
        <w:tc>
          <w:tcPr>
            <w:tcW w:type="dxa" w:w="6048"/>
            <w:shd w:val="clear" w:fill="FFFFFF"/>
          </w:tcPr>
          <w:p>
            <w:pPr>
              <w:spacing w:after="40"/>
            </w:pPr>
            <w:r>
              <w:rPr>
                <w:sz w:val="19"/>
              </w:rPr>
              <w:t>Belum diputuskan — perlu keputusan admin/logistik (retur berbayar / diambil sendiri / dimusnahkan)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b/>
                <w:color w:val="B02A37"/>
                <w:sz w:val="18"/>
              </w:rPr>
              <w:t>Perlu keputusan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80" w:before="0"/>
      </w:pPr>
      <w:r>
        <w:rPr>
          <w:b/>
          <w:i w:val="0"/>
          <w:color w:val="1B335F"/>
          <w:sz w:val="25"/>
        </w:rPr>
        <w:t>3. Documents Submitted — Status Kesiapan Berkas</w:t>
      </w:r>
    </w:p>
    <w:p>
      <w:pPr>
        <w:spacing w:after="120" w:before="0"/>
      </w:pPr>
      <w:r>
        <w:rPr>
          <w:b w:val="0"/>
          <w:i/>
          <w:color w:val="555B66"/>
          <w:sz w:val="18"/>
        </w:rPr>
        <w:t>Dicocokkan terhadap isi Dokumen Teknis Sertifikasi GLD IECEx/ATEX (Bagian 2.6) per 23 Sep 2026.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11"/>
        <w:gridCol w:w="6192"/>
        <w:gridCol w:w="1007"/>
      </w:tblGrid>
      <w:tr>
        <w:trPr>
          <w:tblHeader w:val="true"/>
        </w:trPr>
        <w:tc>
          <w:tcPr>
            <w:tcW w:type="dxa" w:w="3312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FIELD (FORM GTS)</w:t>
            </w:r>
          </w:p>
        </w:tc>
        <w:tc>
          <w:tcPr>
            <w:tcW w:type="dxa" w:w="6192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ISIAN DRAF</w:t>
            </w:r>
          </w:p>
        </w:tc>
        <w:tc>
          <w:tcPr>
            <w:tcW w:type="dxa" w:w="1008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40"/>
            </w:pPr>
            <w:r>
              <w:rPr>
                <w:b/>
                <w:sz w:val="19"/>
              </w:rPr>
              <w:t>User Instructions (English)</w:t>
            </w:r>
          </w:p>
        </w:tc>
        <w:tc>
          <w:tcPr>
            <w:tcW w:type="dxa" w:w="6192"/>
            <w:shd w:val="clear" w:fill="FFFFFF"/>
          </w:tcPr>
          <w:p>
            <w:pPr>
              <w:spacing w:after="40"/>
            </w:pPr>
            <w:r>
              <w:rPr>
                <w:sz w:val="19"/>
              </w:rPr>
              <w:t>Tersedia — Instruction_Manual_GLD.docx (Rev 0.8)</w:t>
            </w:r>
          </w:p>
        </w:tc>
        <w:tc>
          <w:tcPr>
            <w:tcW w:type="dxa" w:w="1008"/>
          </w:tcPr>
          <w:p>
            <w:pPr>
              <w:spacing w:after="40"/>
            </w:pPr>
            <w:r>
              <w:rPr>
                <w:b/>
                <w:color w:val="149174"/>
                <w:sz w:val="18"/>
              </w:rPr>
              <w:t>Tersedia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40"/>
            </w:pPr>
            <w:r>
              <w:rPr>
                <w:b/>
                <w:sz w:val="19"/>
              </w:rPr>
              <w:t>Wiring/Circuit diagram</w:t>
            </w:r>
          </w:p>
        </w:tc>
        <w:tc>
          <w:tcPr>
            <w:tcW w:type="dxa" w:w="6192"/>
            <w:shd w:val="clear" w:fill="FFFFFF"/>
          </w:tcPr>
          <w:p>
            <w:pPr>
              <w:spacing w:after="40"/>
            </w:pPr>
            <w:r>
              <w:rPr>
                <w:sz w:val="19"/>
              </w:rPr>
              <w:t>Tersedia — diagram blok skematik 9 lembar penuh (§2.6.a)</w:t>
            </w:r>
          </w:p>
        </w:tc>
        <w:tc>
          <w:tcPr>
            <w:tcW w:type="dxa" w:w="1008"/>
          </w:tcPr>
          <w:p>
            <w:pPr>
              <w:spacing w:after="40"/>
            </w:pPr>
            <w:r>
              <w:rPr>
                <w:b/>
                <w:color w:val="149174"/>
                <w:sz w:val="18"/>
              </w:rPr>
              <w:t>Tersedia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40"/>
            </w:pPr>
            <w:r>
              <w:rPr>
                <w:b/>
                <w:sz w:val="19"/>
              </w:rPr>
              <w:t>CDF (critical component list)</w:t>
            </w:r>
          </w:p>
        </w:tc>
        <w:tc>
          <w:tcPr>
            <w:tcW w:type="dxa" w:w="6192"/>
            <w:shd w:val="clear" w:fill="FFFFFF"/>
          </w:tcPr>
          <w:p>
            <w:pPr>
              <w:spacing w:after="40"/>
            </w:pPr>
            <w:r>
              <w:rPr>
                <w:sz w:val="19"/>
              </w:rPr>
              <w:t>Sebagian — BOM elektronik lengkap ada (EasyEDA/JLCPCB); komponen Ex-safety-relevant kini teridentifikasi by name (mesh stainless steel, gasket karet, DC fan, battery case) dari gambar exploded-view draf tim 24 Sep, tapi grade material/sertifikat Ex per komponen masih belum ada</w:t>
            </w:r>
          </w:p>
        </w:tc>
        <w:tc>
          <w:tcPr>
            <w:tcW w:type="dxa" w:w="1008"/>
          </w:tcPr>
          <w:p>
            <w:pPr>
              <w:spacing w:after="40"/>
            </w:pPr>
            <w:r>
              <w:rPr>
                <w:b/>
                <w:color w:val="B56A1E"/>
                <w:sz w:val="18"/>
              </w:rPr>
              <w:t>Sebagian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40"/>
            </w:pPr>
            <w:r>
              <w:rPr>
                <w:b/>
                <w:sz w:val="19"/>
              </w:rPr>
              <w:t>Drawings (structure)</w:t>
            </w:r>
          </w:p>
        </w:tc>
        <w:tc>
          <w:tcPr>
            <w:tcW w:type="dxa" w:w="6192"/>
            <w:shd w:val="clear" w:fill="FFFFFF"/>
          </w:tcPr>
          <w:p>
            <w:pPr>
              <w:spacing w:after="40"/>
            </w:pPr>
            <w:r>
              <w:rPr>
                <w:sz w:val="19"/>
              </w:rPr>
              <w:t>Sebagian — gambar CAD berdimensi casing v3 &amp; bracket ada, plus gambar common base (BP18-1Z) &amp; exploded-view assembly berlabel dari draf tim 24 Sep; gambar struktur resmi dari mitra casing (PT Galaksi) dengan parameter flame-path/section-view masih belum ada</w:t>
            </w:r>
          </w:p>
        </w:tc>
        <w:tc>
          <w:tcPr>
            <w:tcW w:type="dxa" w:w="1008"/>
          </w:tcPr>
          <w:p>
            <w:pPr>
              <w:spacing w:after="40"/>
            </w:pPr>
            <w:r>
              <w:rPr>
                <w:b/>
                <w:color w:val="B56A1E"/>
                <w:sz w:val="18"/>
              </w:rPr>
              <w:t>Sebagian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40"/>
            </w:pPr>
            <w:r>
              <w:rPr>
                <w:b/>
                <w:sz w:val="19"/>
              </w:rPr>
              <w:t>Specification</w:t>
            </w:r>
          </w:p>
        </w:tc>
        <w:tc>
          <w:tcPr>
            <w:tcW w:type="dxa" w:w="6192"/>
            <w:shd w:val="clear" w:fill="FFFFFF"/>
          </w:tcPr>
          <w:p>
            <w:pPr>
              <w:spacing w:after="40"/>
            </w:pPr>
            <w:r>
              <w:rPr>
                <w:sz w:val="19"/>
              </w:rPr>
              <w:t>Tersedia — Dokumen_Teknis_Sertifikasi_GLD_IECEx_ATEX itu sendiri berfungsi sbg spec</w:t>
            </w:r>
          </w:p>
        </w:tc>
        <w:tc>
          <w:tcPr>
            <w:tcW w:type="dxa" w:w="1008"/>
          </w:tcPr>
          <w:p>
            <w:pPr>
              <w:spacing w:after="40"/>
            </w:pPr>
            <w:r>
              <w:rPr>
                <w:b/>
                <w:color w:val="149174"/>
                <w:sz w:val="18"/>
              </w:rPr>
              <w:t>Tersedia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40"/>
            </w:pPr>
            <w:r>
              <w:rPr>
                <w:b/>
                <w:sz w:val="19"/>
              </w:rPr>
              <w:t>Rating Label</w:t>
            </w:r>
          </w:p>
        </w:tc>
        <w:tc>
          <w:tcPr>
            <w:tcW w:type="dxa" w:w="6192"/>
            <w:shd w:val="clear" w:fill="FFFFFF"/>
          </w:tcPr>
          <w:p>
            <w:pPr>
              <w:spacing w:after="40"/>
            </w:pPr>
            <w:r>
              <w:rPr>
                <w:sz w:val="19"/>
              </w:rPr>
              <w:t>Belum ada — desain nameplate/marking belum dibuat (§2.6.h)</w:t>
            </w:r>
          </w:p>
        </w:tc>
        <w:tc>
          <w:tcPr>
            <w:tcW w:type="dxa" w:w="1008"/>
          </w:tcPr>
          <w:p>
            <w:pPr>
              <w:spacing w:after="40"/>
            </w:pPr>
            <w:r>
              <w:rPr>
                <w:b/>
                <w:color w:val="B02A37"/>
                <w:sz w:val="18"/>
              </w:rPr>
              <w:t>Belum tersedia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40"/>
            </w:pPr>
            <w:r>
              <w:rPr>
                <w:b/>
                <w:sz w:val="19"/>
              </w:rPr>
              <w:t>Declaration of Difference Between Models</w:t>
            </w:r>
          </w:p>
        </w:tc>
        <w:tc>
          <w:tcPr>
            <w:tcW w:type="dxa" w:w="6192"/>
            <w:shd w:val="clear" w:fill="FFFFFF"/>
          </w:tcPr>
          <w:p>
            <w:pPr>
              <w:spacing w:after="40"/>
            </w:pPr>
            <w:r>
              <w:rPr>
                <w:sz w:val="19"/>
              </w:rPr>
              <w:t>Tidak relevan saat ini — hanya 1 model (GLD V2), tidak ada varian yang perlu dideklarasikan bedanya</w:t>
            </w:r>
          </w:p>
        </w:tc>
        <w:tc>
          <w:tcPr>
            <w:tcW w:type="dxa" w:w="1008"/>
          </w:tcPr>
          <w:p>
            <w:pPr>
              <w:spacing w:after="40"/>
            </w:pPr>
            <w:r>
              <w:rPr>
                <w:b/>
                <w:color w:val="555B66"/>
                <w:sz w:val="18"/>
              </w:rPr>
              <w:t>N/A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40"/>
            </w:pPr>
            <w:r>
              <w:rPr>
                <w:b/>
                <w:sz w:val="19"/>
              </w:rPr>
              <w:t>Copy of Critical Component Certificate</w:t>
            </w:r>
          </w:p>
        </w:tc>
        <w:tc>
          <w:tcPr>
            <w:tcW w:type="dxa" w:w="6192"/>
            <w:shd w:val="clear" w:fill="FFFFFF"/>
          </w:tcPr>
          <w:p>
            <w:pPr>
              <w:spacing w:after="40"/>
            </w:pPr>
            <w:r>
              <w:rPr>
                <w:sz w:val="19"/>
              </w:rPr>
              <w:t>Belum ada — belum ada komponen Ex-certified yang teridentifikasi dalam BOM (§2.6.i)</w:t>
            </w:r>
          </w:p>
        </w:tc>
        <w:tc>
          <w:tcPr>
            <w:tcW w:type="dxa" w:w="1008"/>
          </w:tcPr>
          <w:p>
            <w:pPr>
              <w:spacing w:after="40"/>
            </w:pPr>
            <w:r>
              <w:rPr>
                <w:b/>
                <w:color w:val="B02A37"/>
                <w:sz w:val="18"/>
              </w:rPr>
              <w:t>Belum tersedia</w:t>
            </w:r>
          </w:p>
        </w:tc>
      </w:tr>
    </w:tbl>
    <w:p>
      <w:pPr>
        <w:spacing w:after="80"/>
      </w:pPr>
    </w:p>
    <w:p>
      <w:pPr>
        <w:spacing w:after="160" w:before="200"/>
      </w:pPr>
      <w:r>
        <w:rPr>
          <w:b/>
          <w:i w:val="0"/>
          <w:color w:val="1B335F"/>
          <w:sz w:val="25"/>
        </w:rPr>
        <w:t>Pengesahan isian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896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9"/>
              </w:rPr>
              <w:t>Diisi oleh</w:t>
            </w:r>
          </w:p>
        </w:tc>
        <w:tc>
          <w:tcPr>
            <w:tcW w:type="dxa" w:w="4896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9"/>
              </w:rPr>
              <w:t>Diperiksa oleh</w:t>
            </w:r>
          </w:p>
        </w:tc>
      </w:tr>
      <w:tr>
        <w:tc>
          <w:tcPr>
            <w:tcW w:type="dxa" w:w="4896"/>
          </w:tcPr>
          <w:p>
            <w:pPr>
              <w:spacing w:after="920"/>
            </w:pPr>
            <w:r>
              <w:rPr>
                <w:color w:val="555B66"/>
                <w:sz w:val="17"/>
              </w:rPr>
              <w:t>Nama, jabatan, tanggal, tanda tangan</w:t>
            </w:r>
          </w:p>
        </w:tc>
        <w:tc>
          <w:tcPr>
            <w:tcW w:type="dxa" w:w="4896"/>
          </w:tcPr>
          <w:p>
            <w:pPr>
              <w:spacing w:after="920"/>
            </w:pPr>
            <w:r>
              <w:rPr>
                <w:color w:val="555B66"/>
                <w:sz w:val="17"/>
              </w:rPr>
              <w:t>Nama, jabatan, tanggal, tanda tangan</w:t>
            </w:r>
          </w:p>
        </w:tc>
      </w:tr>
    </w:tbl>
    <w:p>
      <w:pPr>
        <w:spacing w:after="160"/>
      </w:pPr>
    </w:p>
    <w:p>
      <w:pPr>
        <w:spacing w:after="160" w:before="0"/>
        <w:jc w:val="center"/>
      </w:pPr>
      <w:r>
        <w:rPr>
          <w:b w:val="0"/>
          <w:i/>
          <w:color w:val="555B66"/>
          <w:sz w:val="17"/>
        </w:rPr>
        <w:t>Dokumen internal — draf isian, bukan berkas yang dikirim ke GTS. Field bertanda “Perlu keputusan” harus diselesaikan sebelum transkrip ke formulir resmi.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3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