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72"/>
      </w:tblGrid>
      <w:tr>
        <w:tc>
          <w:tcPr>
            <w:tcW w:type="dxa" w:w="9972"/>
            <w:shd w:val="clear" w:color="auto" w:fill="1B2A4A"/>
          </w:tcPr>
          <w:p>
            <w:pPr>
              <w:spacing w:after="40"/>
            </w:pPr>
            <w:r>
              <w:rPr>
                <w:b/>
                <w:color w:val="FFFFFF"/>
                <w:sz w:val="28"/>
              </w:rPr>
              <w:t>PT LAPI GANESHA UTAMA</w:t>
            </w:r>
          </w:p>
          <w:p>
            <w:pPr>
              <w:spacing w:after="60"/>
            </w:pPr>
            <w:r>
              <w:rPr>
                <w:color w:val="C7D2E0"/>
                <w:sz w:val="19"/>
              </w:rPr>
              <w:t>Bekerja sama dengan Lab IoT &amp; Fisika Institut Teknologi Bandung</w:t>
            </w:r>
          </w:p>
        </w:tc>
      </w:tr>
    </w:tbl>
    <w:p>
      <w:pPr>
        <w:spacing w:after="200"/>
      </w:pPr>
    </w:p>
    <w:p>
      <w:pPr>
        <w:pStyle w:val="Title"/>
        <w:spacing w:after="80"/>
      </w:pPr>
      <w:r>
        <w:rPr>
          <w:b/>
          <w:color w:val="1B2A4A"/>
          <w:sz w:val="40"/>
        </w:rPr>
        <w:t>Daftar Perangkat &amp; Kebutuhan Pemasangan GLD</w:t>
      </w:r>
    </w:p>
    <w:p>
      <w:pPr>
        <w:spacing w:after="240"/>
      </w:pPr>
      <w:r>
        <w:rPr>
          <w:b w:val="0"/>
          <w:i w:val="0"/>
          <w:color w:val="5B5B5B"/>
          <w:sz w:val="24"/>
        </w:rPr>
        <w:t>Pilot RU IV Cilacap — perangkat yang akan dipasang dan hal yang perlu disiapkan di lokasi</w:t>
      </w:r>
    </w:p>
    <w:tbl>
      <w:tblPr>
        <w:tblStyle w:val="TableGrid"/>
        <w:tblW w:type="auto" w:w="0"/>
        <w:tblLook w:firstColumn="1" w:firstRow="1" w:lastColumn="0" w:lastRow="0" w:noHBand="0" w:noVBand="1" w:val="04A0"/>
      </w:tblPr>
      <w:tblGrid>
        <w:gridCol w:w="4986"/>
        <w:gridCol w:w="4986"/>
      </w:tblGrid>
      <w:tr>
        <w:tc>
          <w:tcPr>
            <w:tcW w:type="dxa" w:w="2736"/>
            <w:shd w:val="clear" w:color="auto" w:fill="EFEFEC"/>
          </w:tcPr>
          <w:p>
            <w:pPr>
              <w:spacing w:after="40"/>
            </w:pPr>
            <w:r>
              <w:rPr>
                <w:b/>
                <w:color w:val="5B5B5B"/>
                <w:sz w:val="18"/>
              </w:rPr>
              <w:t>Nomor dokumen</w:t>
            </w:r>
          </w:p>
        </w:tc>
        <w:tc>
          <w:tcPr>
            <w:tcW w:type="dxa" w:w="6624"/>
          </w:tcPr>
          <w:p>
            <w:pPr>
              <w:spacing w:after="40"/>
            </w:pPr>
            <w:r>
              <w:rPr>
                <w:sz w:val="19"/>
              </w:rPr>
              <w:t>LGU/GLD/INSTALASI-PERANGKAT/2026-001</w:t>
            </w:r>
          </w:p>
        </w:tc>
      </w:tr>
      <w:tr>
        <w:tc>
          <w:tcPr>
            <w:tcW w:type="dxa" w:w="2736"/>
            <w:shd w:val="clear" w:color="auto" w:fill="EFEFEC"/>
          </w:tcPr>
          <w:p>
            <w:pPr>
              <w:spacing w:after="40"/>
            </w:pPr>
            <w:r>
              <w:rPr>
                <w:b/>
                <w:color w:val="5B5B5B"/>
                <w:sz w:val="18"/>
              </w:rPr>
              <w:t>Revisi</w:t>
            </w:r>
          </w:p>
        </w:tc>
        <w:tc>
          <w:tcPr>
            <w:tcW w:type="dxa" w:w="6624"/>
          </w:tcPr>
          <w:p>
            <w:pPr>
              <w:spacing w:after="40"/>
            </w:pPr>
            <w:r>
              <w:rPr>
                <w:sz w:val="19"/>
              </w:rPr>
              <w:t>1.2</w:t>
            </w:r>
          </w:p>
        </w:tc>
      </w:tr>
      <w:tr>
        <w:tc>
          <w:tcPr>
            <w:tcW w:type="dxa" w:w="2736"/>
            <w:shd w:val="clear" w:color="auto" w:fill="EFEFEC"/>
          </w:tcPr>
          <w:p>
            <w:pPr>
              <w:spacing w:after="40"/>
            </w:pPr>
            <w:r>
              <w:rPr>
                <w:b/>
                <w:color w:val="5B5B5B"/>
                <w:sz w:val="18"/>
              </w:rPr>
              <w:t>Tanggal</w:t>
            </w:r>
          </w:p>
        </w:tc>
        <w:tc>
          <w:tcPr>
            <w:tcW w:type="dxa" w:w="6624"/>
          </w:tcPr>
          <w:p>
            <w:pPr>
              <w:spacing w:after="40"/>
            </w:pPr>
            <w:r>
              <w:rPr>
                <w:sz w:val="19"/>
              </w:rPr>
              <w:t>2 Oktober 2026</w:t>
            </w:r>
          </w:p>
        </w:tc>
      </w:tr>
      <w:tr>
        <w:tc>
          <w:tcPr>
            <w:tcW w:type="dxa" w:w="2736"/>
            <w:shd w:val="clear" w:color="auto" w:fill="EFEFEC"/>
          </w:tcPr>
          <w:p>
            <w:pPr>
              <w:spacing w:after="40"/>
            </w:pPr>
            <w:r>
              <w:rPr>
                <w:b/>
                <w:color w:val="5B5B5B"/>
                <w:sz w:val="18"/>
              </w:rPr>
              <w:t>Ditujukan kepada</w:t>
            </w:r>
          </w:p>
        </w:tc>
        <w:tc>
          <w:tcPr>
            <w:tcW w:type="dxa" w:w="6624"/>
          </w:tcPr>
          <w:p>
            <w:pPr>
              <w:spacing w:after="40"/>
            </w:pPr>
            <w:r>
              <w:rPr>
                <w:sz w:val="19"/>
              </w:rPr>
              <w:t>Tim PT Pertamina Patra Niaga — RU IV Cilacap</w:t>
            </w:r>
          </w:p>
        </w:tc>
      </w:tr>
      <w:tr>
        <w:tc>
          <w:tcPr>
            <w:tcW w:type="dxa" w:w="2736"/>
            <w:shd w:val="clear" w:color="auto" w:fill="EFEFEC"/>
          </w:tcPr>
          <w:p>
            <w:pPr>
              <w:spacing w:after="40"/>
            </w:pPr>
            <w:r>
              <w:rPr>
                <w:b/>
                <w:color w:val="5B5B5B"/>
                <w:sz w:val="18"/>
              </w:rPr>
              <w:t>Disiapkan oleh</w:t>
            </w:r>
          </w:p>
        </w:tc>
        <w:tc>
          <w:tcPr>
            <w:tcW w:type="dxa" w:w="6624"/>
          </w:tcPr>
          <w:p>
            <w:pPr>
              <w:spacing w:after="40"/>
            </w:pPr>
            <w:r>
              <w:rPr>
                <w:sz w:val="19"/>
              </w:rPr>
              <w:t>PT LAPI Ganesha Utama, bersama Lab IoT &amp; Fisika Institut Teknologi Bandung</w:t>
            </w:r>
          </w:p>
        </w:tc>
      </w:tr>
      <w:tr>
        <w:tc>
          <w:tcPr>
            <w:tcW w:type="dxa" w:w="2736"/>
            <w:shd w:val="clear" w:color="auto" w:fill="EFEFEC"/>
          </w:tcPr>
          <w:p>
            <w:pPr>
              <w:spacing w:after="40"/>
            </w:pPr>
            <w:r>
              <w:rPr>
                <w:b/>
                <w:color w:val="5B5B5B"/>
                <w:sz w:val="18"/>
              </w:rPr>
              <w:t>Tujuan</w:t>
            </w:r>
          </w:p>
        </w:tc>
        <w:tc>
          <w:tcPr>
            <w:tcW w:type="dxa" w:w="6624"/>
          </w:tcPr>
          <w:p>
            <w:pPr>
              <w:spacing w:after="40"/>
            </w:pPr>
            <w:r>
              <w:rPr>
                <w:sz w:val="19"/>
              </w:rPr>
              <w:t>Bahan persiapan pemasangan perangkat GLD Tahap 2 di RU IV Cilacap</w:t>
            </w:r>
          </w:p>
        </w:tc>
      </w:tr>
    </w:tbl>
    <w:p>
      <w:pPr>
        <w:spacing w:after="160"/>
      </w:pPr>
    </w:p>
    <w:p>
      <w:pPr>
        <w:pStyle w:val="Heading1"/>
      </w:pPr>
      <w:r>
        <w:t>1. Ringkasan</w:t>
      </w:r>
    </w:p>
    <w:p>
      <w:pPr>
        <w:spacing w:after="140"/>
      </w:pPr>
      <w:r>
        <w:rPr>
          <w:b w:val="0"/>
          <w:i w:val="0"/>
          <w:sz w:val="20"/>
        </w:rPr>
        <w:t>Sistem GLD terdiri dari sensor node GLD yang mendeteksi gas dan menjalankan model AI di perangkat, Cluster Head yang meneruskan data melalui jaringan LoRa, Gateway yang menjembatani jaringan LoRa ke server, dan PC server di lokasi yang menjalankan broker data dan dashboard operator.</w:t>
      </w:r>
    </w:p>
    <w:p>
      <w:pPr>
        <w:spacing w:after="140"/>
      </w:pPr>
      <w:r>
        <w:rPr>
          <w:b w:val="0"/>
          <w:i w:val="0"/>
          <w:sz w:val="20"/>
        </w:rPr>
        <w:t>Arah pemasangan yang sudah disepakati: instalasi permanen di lokasi non-ATEX pada perimeter Sulfur Recovery Unit (SRU), dan gas test chamber yang dioperasikan di kantor kilang (non-area proses). Pemasangan fisik dilaksanakan oleh vendor yang ditunjuk Pertamina; LGU &amp; ITB menyiapkan perangkat, desain pemasangan, supervisi QA, serta pekerjaan elektrikal spesifik GLD dan commissioning.</w:t>
      </w:r>
    </w:p>
    <w:p>
      <w:pPr>
        <w:pStyle w:val="Heading1"/>
      </w:pPr>
      <w:r>
        <w:t>2. Daftar Perangkat yang Akan Dipasang</w:t>
      </w:r>
    </w:p>
    <w:tbl>
      <w:tblPr>
        <w:tblW w:type="auto" w:w="0"/>
        <w:jc w:val="center"/>
        <w:tblLayout w:type="fixed"/>
        <w:tblLook w:firstColumn="1" w:firstRow="1" w:lastColumn="0" w:lastRow="0" w:noHBand="0" w:noVBand="1" w:val="04A0"/>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Pr>
      <w:tblGrid>
        <w:gridCol w:w="2493"/>
        <w:gridCol w:w="2493"/>
        <w:gridCol w:w="2493"/>
        <w:gridCol w:w="2493"/>
      </w:tblGrid>
      <w:tr>
        <w:trPr>
          <w:tblHeader w:val="true"/>
          <w:cantSplit w:val="true"/>
        </w:trPr>
        <w:tc>
          <w:tcPr>
            <w:tcW w:type="dxa" w:w="1944"/>
            <w:shd w:val="clear" w:color="auto" w:fill="1B2A4A"/>
          </w:tcPr>
          <w:p>
            <w:pPr>
              <w:spacing w:after="20"/>
            </w:pPr>
            <w:r>
              <w:rPr>
                <w:b/>
                <w:color w:val="FFFFFF"/>
                <w:sz w:val="17"/>
              </w:rPr>
              <w:t>Perangkat</w:t>
            </w:r>
          </w:p>
        </w:tc>
        <w:tc>
          <w:tcPr>
            <w:tcW w:type="dxa" w:w="1368"/>
            <w:shd w:val="clear" w:color="auto" w:fill="1B2A4A"/>
          </w:tcPr>
          <w:p>
            <w:pPr>
              <w:spacing w:after="20"/>
            </w:pPr>
            <w:r>
              <w:rPr>
                <w:b/>
                <w:color w:val="FFFFFF"/>
                <w:sz w:val="17"/>
              </w:rPr>
              <w:t>Jumlah</w:t>
            </w:r>
          </w:p>
        </w:tc>
        <w:tc>
          <w:tcPr>
            <w:tcW w:type="dxa" w:w="4248"/>
            <w:shd w:val="clear" w:color="auto" w:fill="1B2A4A"/>
          </w:tcPr>
          <w:p>
            <w:pPr>
              <w:spacing w:after="20"/>
            </w:pPr>
            <w:r>
              <w:rPr>
                <w:b/>
                <w:color w:val="FFFFFF"/>
                <w:sz w:val="17"/>
              </w:rPr>
              <w:t>Spesifikasi utama</w:t>
            </w:r>
          </w:p>
        </w:tc>
        <w:tc>
          <w:tcPr>
            <w:tcW w:type="dxa" w:w="1800"/>
            <w:shd w:val="clear" w:color="auto" w:fill="1B2A4A"/>
          </w:tcPr>
          <w:p>
            <w:pPr>
              <w:spacing w:after="20"/>
            </w:pPr>
            <w:r>
              <w:rPr>
                <w:b/>
                <w:color w:val="FFFFFF"/>
                <w:sz w:val="17"/>
              </w:rPr>
              <w:t>Penempatan</w:t>
            </w:r>
          </w:p>
        </w:tc>
      </w:tr>
      <w:tr>
        <w:trPr>
          <w:cantSplit w:val="true"/>
        </w:trPr>
        <w:tc>
          <w:tcPr>
            <w:tcW w:type="dxa" w:w="1944"/>
          </w:tcPr>
          <w:p>
            <w:pPr>
              <w:spacing w:after="20"/>
            </w:pPr>
            <w:r>
              <w:rPr>
                <w:b/>
                <w:sz w:val="18"/>
              </w:rPr>
              <w:t>GLD — Node Sensor</w:t>
            </w:r>
          </w:p>
        </w:tc>
        <w:tc>
          <w:tcPr>
            <w:tcW w:type="dxa" w:w="1368"/>
          </w:tcPr>
          <w:p>
            <w:pPr>
              <w:spacing w:after="20"/>
            </w:pPr>
            <w:r>
              <w:rPr>
                <w:sz w:val="18"/>
              </w:rPr>
              <w:t>3 unit + 1 cadangan</w:t>
            </w:r>
          </w:p>
        </w:tc>
        <w:tc>
          <w:tcPr>
            <w:tcW w:type="dxa" w:w="4248"/>
          </w:tcPr>
          <w:p>
            <w:pPr>
              <w:spacing w:after="20"/>
            </w:pPr>
            <w:r>
              <w:rPr>
                <w:sz w:val="18"/>
              </w:rPr>
              <w:t>8 sensor gas MQ + AI on-device (ESP32-S3)</w:t>
            </w:r>
          </w:p>
          <w:p>
            <w:pPr>
              <w:spacing w:after="20"/>
            </w:pPr>
            <w:r>
              <w:rPr>
                <w:sz w:val="18"/>
              </w:rPr>
              <w:t>24 VDC, maks 8 W (≈0,33 A)</w:t>
            </w:r>
          </w:p>
          <w:p>
            <w:pPr>
              <w:spacing w:after="20"/>
            </w:pPr>
            <w:r>
              <w:rPr>
                <w:sz w:val="18"/>
              </w:rPr>
              <w:t>200 × 90 × 290 mm; 2,378 kg</w:t>
            </w:r>
          </w:p>
          <w:p>
            <w:pPr>
              <w:spacing w:after="20"/>
            </w:pPr>
            <w:r>
              <w:rPr>
                <w:sz w:val="18"/>
              </w:rPr>
              <w:t>Enclosure aluminium ADC12 + stainless steel, IP66</w:t>
            </w:r>
          </w:p>
          <w:p>
            <w:pPr>
              <w:spacing w:after="20"/>
            </w:pPr>
            <w:r>
              <w:rPr>
                <w:sz w:val="18"/>
              </w:rPr>
              <w:t>Antena omni 3 dBi; alarm visual/audible terintegrasi</w:t>
            </w:r>
          </w:p>
        </w:tc>
        <w:tc>
          <w:tcPr>
            <w:tcW w:type="dxa" w:w="1800"/>
          </w:tcPr>
          <w:p>
            <w:pPr>
              <w:spacing w:after="20"/>
            </w:pPr>
            <w:r>
              <w:rPr>
                <w:sz w:val="18"/>
              </w:rPr>
              <w:t>Titik pantau di perimeter SRU (outdoor)</w:t>
            </w:r>
          </w:p>
        </w:tc>
      </w:tr>
      <w:tr>
        <w:trPr>
          <w:cantSplit w:val="true"/>
        </w:trPr>
        <w:tc>
          <w:tcPr>
            <w:tcW w:type="dxa" w:w="1944"/>
            <w:shd w:val="clear" w:color="auto" w:fill="FAFAF8"/>
          </w:tcPr>
          <w:p>
            <w:pPr>
              <w:spacing w:after="20"/>
            </w:pPr>
            <w:r>
              <w:rPr>
                <w:b/>
                <w:sz w:val="18"/>
              </w:rPr>
              <w:t>Cluster Head (CH)</w:t>
            </w:r>
          </w:p>
        </w:tc>
        <w:tc>
          <w:tcPr>
            <w:tcW w:type="dxa" w:w="1368"/>
            <w:shd w:val="clear" w:color="auto" w:fill="FAFAF8"/>
          </w:tcPr>
          <w:p>
            <w:pPr>
              <w:spacing w:after="20"/>
            </w:pPr>
            <w:r>
              <w:rPr>
                <w:sz w:val="18"/>
              </w:rPr>
              <w:t>2 unit</w:t>
            </w:r>
          </w:p>
        </w:tc>
        <w:tc>
          <w:tcPr>
            <w:tcW w:type="dxa" w:w="4248"/>
            <w:shd w:val="clear" w:color="auto" w:fill="FAFAF8"/>
          </w:tcPr>
          <w:p>
            <w:pPr>
              <w:spacing w:after="20"/>
            </w:pPr>
            <w:r>
              <w:rPr>
                <w:sz w:val="18"/>
              </w:rPr>
              <w:t>Relay LoRa dua radio (star + mesh)</w:t>
            </w:r>
          </w:p>
          <w:p>
            <w:pPr>
              <w:spacing w:after="20"/>
            </w:pPr>
            <w:r>
              <w:rPr>
                <w:sz w:val="18"/>
              </w:rPr>
              <w:t>Catu daya solar (2 panel) + baterai 18650; maks 0,73 W</w:t>
            </w:r>
          </w:p>
          <w:p>
            <w:pPr>
              <w:spacing w:after="20"/>
            </w:pPr>
            <w:r>
              <w:rPr>
                <w:sz w:val="18"/>
              </w:rPr>
              <w:t>CH besar: enclosure aluminium silinder ± Ø76 × 104 mm (+ konektor ± 15 mm)</w:t>
            </w:r>
          </w:p>
          <w:p>
            <w:pPr>
              <w:spacing w:after="20"/>
            </w:pPr>
            <w:r>
              <w:rPr>
                <w:sz w:val="18"/>
              </w:rPr>
              <w:t>Antena 3 dBi (star) dan 8 dBi (mesh)</w:t>
            </w:r>
          </w:p>
        </w:tc>
        <w:tc>
          <w:tcPr>
            <w:tcW w:type="dxa" w:w="1800"/>
            <w:shd w:val="clear" w:color="auto" w:fill="FAFAF8"/>
          </w:tcPr>
          <w:p>
            <w:pPr>
              <w:spacing w:after="20"/>
            </w:pPr>
            <w:r>
              <w:rPr>
                <w:sz w:val="18"/>
              </w:rPr>
              <w:t>Outdoor, area aman, terpapar sinar matahari</w:t>
            </w:r>
          </w:p>
        </w:tc>
      </w:tr>
      <w:tr>
        <w:trPr>
          <w:cantSplit w:val="true"/>
        </w:trPr>
        <w:tc>
          <w:tcPr>
            <w:tcW w:type="dxa" w:w="1944"/>
          </w:tcPr>
          <w:p>
            <w:pPr>
              <w:spacing w:after="20"/>
            </w:pPr>
            <w:r>
              <w:rPr>
                <w:b/>
                <w:sz w:val="18"/>
              </w:rPr>
              <w:t>Gateway</w:t>
            </w:r>
          </w:p>
        </w:tc>
        <w:tc>
          <w:tcPr>
            <w:tcW w:type="dxa" w:w="1368"/>
          </w:tcPr>
          <w:p>
            <w:pPr>
              <w:spacing w:after="20"/>
            </w:pPr>
            <w:r>
              <w:rPr>
                <w:sz w:val="18"/>
              </w:rPr>
              <w:t>1 unit</w:t>
            </w:r>
          </w:p>
        </w:tc>
        <w:tc>
          <w:tcPr>
            <w:tcW w:type="dxa" w:w="4248"/>
          </w:tcPr>
          <w:p>
            <w:pPr>
              <w:spacing w:after="20"/>
            </w:pPr>
            <w:r>
              <w:rPr>
                <w:sz w:val="18"/>
              </w:rPr>
              <w:t>Jembatan LoRa mesh ke MQTT (ESP32-S3)</w:t>
            </w:r>
          </w:p>
          <w:p>
            <w:pPr>
              <w:spacing w:after="20"/>
            </w:pPr>
            <w:r>
              <w:rPr>
                <w:sz w:val="18"/>
              </w:rPr>
              <w:t>5 V via adaptor; maks 0,73 W</w:t>
            </w:r>
          </w:p>
          <w:p>
            <w:pPr>
              <w:spacing w:after="20"/>
            </w:pPr>
            <w:r>
              <w:rPr>
                <w:sz w:val="18"/>
              </w:rPr>
              <w:t>Enclosure metal (dimensi dikonfirmasi tim LGU)</w:t>
            </w:r>
          </w:p>
          <w:p>
            <w:pPr>
              <w:spacing w:after="20"/>
            </w:pPr>
            <w:r>
              <w:rPr>
                <w:sz w:val="18"/>
              </w:rPr>
              <w:t>Antena omni 8 dBi; uplink Wi-Fi ke PC server</w:t>
            </w:r>
          </w:p>
        </w:tc>
        <w:tc>
          <w:tcPr>
            <w:tcW w:type="dxa" w:w="1800"/>
          </w:tcPr>
          <w:p>
            <w:pPr>
              <w:spacing w:after="20"/>
            </w:pPr>
            <w:r>
              <w:rPr>
                <w:sz w:val="18"/>
              </w:rPr>
              <w:t>Unit di dalam ruangan (safe area); antena di luar/atap</w:t>
            </w:r>
          </w:p>
        </w:tc>
      </w:tr>
      <w:tr>
        <w:trPr>
          <w:cantSplit w:val="true"/>
        </w:trPr>
        <w:tc>
          <w:tcPr>
            <w:tcW w:type="dxa" w:w="1944"/>
            <w:shd w:val="clear" w:color="auto" w:fill="FAFAF8"/>
          </w:tcPr>
          <w:p>
            <w:pPr>
              <w:spacing w:after="20"/>
            </w:pPr>
            <w:r>
              <w:rPr>
                <w:b/>
                <w:sz w:val="18"/>
              </w:rPr>
              <w:t>PC server site</w:t>
            </w:r>
          </w:p>
        </w:tc>
        <w:tc>
          <w:tcPr>
            <w:tcW w:type="dxa" w:w="1368"/>
            <w:shd w:val="clear" w:color="auto" w:fill="FAFAF8"/>
          </w:tcPr>
          <w:p>
            <w:pPr>
              <w:spacing w:after="20"/>
            </w:pPr>
            <w:r>
              <w:rPr>
                <w:sz w:val="18"/>
              </w:rPr>
              <w:t>1 unit</w:t>
            </w:r>
          </w:p>
        </w:tc>
        <w:tc>
          <w:tcPr>
            <w:tcW w:type="dxa" w:w="4248"/>
            <w:shd w:val="clear" w:color="auto" w:fill="FAFAF8"/>
          </w:tcPr>
          <w:p>
            <w:pPr>
              <w:spacing w:after="20"/>
            </w:pPr>
            <w:r>
              <w:rPr>
                <w:sz w:val="18"/>
              </w:rPr>
              <w:t>Minimum 4 vCore, RAM 8 GB, SSD 100 GB (disarankan 8 vCore/16 GB/250 GB)</w:t>
            </w:r>
          </w:p>
          <w:p>
            <w:pPr>
              <w:spacing w:after="20"/>
            </w:pPr>
            <w:r>
              <w:rPr>
                <w:sz w:val="18"/>
              </w:rPr>
              <w:t>Ubuntu Server 22.04 LTS, Docker</w:t>
            </w:r>
          </w:p>
          <w:p>
            <w:pPr>
              <w:spacing w:after="20"/>
            </w:pPr>
            <w:r>
              <w:rPr>
                <w:sz w:val="18"/>
              </w:rPr>
              <w:t>NIC Gigabit; NIC kedua bila dashboard diakses dari intranet kantor</w:t>
            </w:r>
          </w:p>
        </w:tc>
        <w:tc>
          <w:tcPr>
            <w:tcW w:type="dxa" w:w="1800"/>
            <w:shd w:val="clear" w:color="auto" w:fill="FAFAF8"/>
          </w:tcPr>
          <w:p>
            <w:pPr>
              <w:spacing w:after="20"/>
            </w:pPr>
            <w:r>
              <w:rPr>
                <w:sz w:val="18"/>
              </w:rPr>
              <w:t>Ruangan dekat Gateway</w:t>
            </w:r>
          </w:p>
        </w:tc>
      </w:tr>
      <w:tr>
        <w:trPr>
          <w:cantSplit w:val="true"/>
        </w:trPr>
        <w:tc>
          <w:tcPr>
            <w:tcW w:type="dxa" w:w="1944"/>
          </w:tcPr>
          <w:p>
            <w:pPr>
              <w:spacing w:after="20"/>
            </w:pPr>
            <w:r>
              <w:rPr>
                <w:b/>
                <w:sz w:val="18"/>
              </w:rPr>
              <w:t>Router jaringan field</w:t>
            </w:r>
          </w:p>
        </w:tc>
        <w:tc>
          <w:tcPr>
            <w:tcW w:type="dxa" w:w="1368"/>
          </w:tcPr>
          <w:p>
            <w:pPr>
              <w:spacing w:after="20"/>
            </w:pPr>
            <w:r>
              <w:rPr>
                <w:sz w:val="18"/>
              </w:rPr>
              <w:t>1 unit</w:t>
            </w:r>
          </w:p>
        </w:tc>
        <w:tc>
          <w:tcPr>
            <w:tcW w:type="dxa" w:w="4248"/>
          </w:tcPr>
          <w:p>
            <w:pPr>
              <w:spacing w:after="20"/>
            </w:pPr>
            <w:r>
              <w:rPr>
                <w:sz w:val="18"/>
              </w:rPr>
              <w:t>Jaringan lokal Gateway ↔ PC server (independen dari jaringan kilang)</w:t>
            </w:r>
          </w:p>
        </w:tc>
        <w:tc>
          <w:tcPr>
            <w:tcW w:type="dxa" w:w="1800"/>
          </w:tcPr>
          <w:p>
            <w:pPr>
              <w:spacing w:after="20"/>
            </w:pPr>
            <w:r>
              <w:rPr>
                <w:sz w:val="18"/>
              </w:rPr>
              <w:t>Bersama PC server</w:t>
            </w:r>
          </w:p>
        </w:tc>
      </w:tr>
      <w:tr>
        <w:trPr>
          <w:cantSplit w:val="true"/>
        </w:trPr>
        <w:tc>
          <w:tcPr>
            <w:tcW w:type="dxa" w:w="1944"/>
            <w:shd w:val="clear" w:color="auto" w:fill="FAFAF8"/>
          </w:tcPr>
          <w:p>
            <w:pPr>
              <w:spacing w:after="20"/>
            </w:pPr>
            <w:r>
              <w:rPr>
                <w:b/>
                <w:sz w:val="18"/>
              </w:rPr>
              <w:t>Gas test chamber portable</w:t>
            </w:r>
          </w:p>
        </w:tc>
        <w:tc>
          <w:tcPr>
            <w:tcW w:type="dxa" w:w="1368"/>
            <w:shd w:val="clear" w:color="auto" w:fill="FAFAF8"/>
          </w:tcPr>
          <w:p>
            <w:pPr>
              <w:spacing w:after="20"/>
            </w:pPr>
            <w:r>
              <w:rPr>
                <w:sz w:val="18"/>
              </w:rPr>
              <w:t>1 set</w:t>
            </w:r>
          </w:p>
        </w:tc>
        <w:tc>
          <w:tcPr>
            <w:tcW w:type="dxa" w:w="4248"/>
            <w:shd w:val="clear" w:color="auto" w:fill="FAFAF8"/>
          </w:tcPr>
          <w:p>
            <w:pPr>
              <w:spacing w:after="20"/>
            </w:pPr>
            <w:r>
              <w:rPr>
                <w:sz w:val="18"/>
              </w:rPr>
              <w:t>Chamber akrilik dengan pompa, solenoid valve, sensor pembanding; untuk pengambilan dataset dan pelatihan model AI di lokasi</w:t>
            </w:r>
          </w:p>
        </w:tc>
        <w:tc>
          <w:tcPr>
            <w:tcW w:type="dxa" w:w="1800"/>
            <w:shd w:val="clear" w:color="auto" w:fill="FAFAF8"/>
          </w:tcPr>
          <w:p>
            <w:pPr>
              <w:spacing w:after="20"/>
            </w:pPr>
            <w:r>
              <w:rPr>
                <w:sz w:val="18"/>
              </w:rPr>
              <w:t>Kantor kilang (non-area proses)</w:t>
            </w:r>
          </w:p>
        </w:tc>
      </w:tr>
    </w:tbl>
    <w:p>
      <w:pPr>
        <w:spacing w:after="80"/>
      </w:pPr>
    </w:p>
    <w:p>
      <w:pPr>
        <w:spacing w:after="140"/>
      </w:pPr>
      <w:r>
        <w:rPr>
          <w:b w:val="0"/>
          <w:i/>
          <w:color w:val="5B5B5B"/>
          <w:sz w:val="18"/>
        </w:rPr>
        <w:t>Jumlah GLD, Cluster Head, dan Gateway mengikuti konfigurasi RU IV pada proposal GLD Tahap 2; jumlah dan titik final disesuaikan dengan penetapan titik pasang bersama RU IV.</w:t>
      </w:r>
    </w:p>
    <w:p>
      <w:pPr>
        <w:pStyle w:val="Heading1"/>
      </w:pPr>
      <w:r>
        <w:t>3. Yang Perlu Disiapkan di Lokasi (Pertamina RU IV &amp; Vendor Instalasi)</w:t>
      </w:r>
    </w:p>
    <w:tbl>
      <w:tblPr>
        <w:tblW w:type="auto" w:w="0"/>
        <w:jc w:val="center"/>
        <w:tblLayout w:type="fixed"/>
        <w:tblLook w:firstColumn="1" w:firstRow="1" w:lastColumn="0" w:lastRow="0" w:noHBand="0" w:noVBand="1" w:val="04A0"/>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Pr>
      <w:tblGrid>
        <w:gridCol w:w="3324"/>
        <w:gridCol w:w="3324"/>
        <w:gridCol w:w="3324"/>
      </w:tblGrid>
      <w:tr>
        <w:trPr>
          <w:tblHeader w:val="true"/>
          <w:cantSplit w:val="true"/>
        </w:trPr>
        <w:tc>
          <w:tcPr>
            <w:tcW w:type="dxa" w:w="1800"/>
            <w:shd w:val="clear" w:color="auto" w:fill="1B2A4A"/>
          </w:tcPr>
          <w:p>
            <w:pPr>
              <w:spacing w:after="20"/>
            </w:pPr>
            <w:r>
              <w:rPr>
                <w:b/>
                <w:color w:val="FFFFFF"/>
                <w:sz w:val="17"/>
              </w:rPr>
              <w:t>Perangkat</w:t>
            </w:r>
          </w:p>
        </w:tc>
        <w:tc>
          <w:tcPr>
            <w:tcW w:type="dxa" w:w="5832"/>
            <w:shd w:val="clear" w:color="auto" w:fill="1B2A4A"/>
          </w:tcPr>
          <w:p>
            <w:pPr>
              <w:spacing w:after="20"/>
            </w:pPr>
            <w:r>
              <w:rPr>
                <w:b/>
                <w:color w:val="FFFFFF"/>
                <w:sz w:val="17"/>
              </w:rPr>
              <w:t>Kebutuhan di lokasi</w:t>
            </w:r>
          </w:p>
        </w:tc>
        <w:tc>
          <w:tcPr>
            <w:tcW w:type="dxa" w:w="1728"/>
            <w:shd w:val="clear" w:color="auto" w:fill="1B2A4A"/>
          </w:tcPr>
          <w:p>
            <w:pPr>
              <w:spacing w:after="20"/>
            </w:pPr>
            <w:r>
              <w:rPr>
                <w:b/>
                <w:color w:val="FFFFFF"/>
                <w:sz w:val="17"/>
              </w:rPr>
              <w:t>Pihak</w:t>
            </w:r>
          </w:p>
        </w:tc>
      </w:tr>
      <w:tr>
        <w:trPr>
          <w:cantSplit w:val="true"/>
        </w:trPr>
        <w:tc>
          <w:tcPr>
            <w:tcW w:type="dxa" w:w="1800"/>
          </w:tcPr>
          <w:p>
            <w:pPr>
              <w:spacing w:after="20"/>
            </w:pPr>
            <w:r>
              <w:rPr>
                <w:b/>
                <w:sz w:val="18"/>
              </w:rPr>
              <w:t>GLD (per titik)</w:t>
            </w:r>
          </w:p>
        </w:tc>
        <w:tc>
          <w:tcPr>
            <w:tcW w:type="dxa" w:w="5832"/>
          </w:tcPr>
          <w:p>
            <w:pPr>
              <w:spacing w:after="20"/>
            </w:pPr>
            <w:r>
              <w:rPr>
                <w:sz w:val="18"/>
              </w:rPr>
              <w:t>Titik catu daya 24 VDC ≥1 A per unit, termasuk kabel, PSU/adaptor AC-DC, proteksi &amp; titik isolasi (LOTO)</w:t>
            </w:r>
          </w:p>
          <w:p>
            <w:pPr>
              <w:spacing w:after="20"/>
            </w:pPr>
            <w:r>
              <w:rPr>
                <w:sz w:val="18"/>
              </w:rPr>
              <w:t>Struktur pemasangan: pipa/handrail 2" (DN50, OD 60,3 mm) di titik pasang</w:t>
            </w:r>
          </w:p>
          <w:p>
            <w:pPr>
              <w:spacing w:after="20"/>
            </w:pPr>
            <w:r>
              <w:rPr>
                <w:sz w:val="18"/>
              </w:rPr>
              <w:t>Jalur kabel dari sumber daya ke titik pasang</w:t>
            </w:r>
          </w:p>
          <w:p>
            <w:pPr>
              <w:spacing w:after="20"/>
            </w:pPr>
            <w:r>
              <w:rPr>
                <w:sz w:val="18"/>
              </w:rPr>
              <w:t>Akses kerja dan clearance di depan inlet gas sensor</w:t>
            </w:r>
          </w:p>
        </w:tc>
        <w:tc>
          <w:tcPr>
            <w:tcW w:type="dxa" w:w="1728"/>
          </w:tcPr>
          <w:p>
            <w:pPr>
              <w:spacing w:after="20"/>
            </w:pPr>
            <w:r>
              <w:rPr>
                <w:sz w:val="18"/>
              </w:rPr>
              <w:t>Pertamina RU IV</w:t>
            </w:r>
          </w:p>
        </w:tc>
      </w:tr>
      <w:tr>
        <w:trPr>
          <w:cantSplit w:val="true"/>
        </w:trPr>
        <w:tc>
          <w:tcPr>
            <w:tcW w:type="dxa" w:w="1800"/>
            <w:shd w:val="clear" w:color="auto" w:fill="FAFAF8"/>
          </w:tcPr>
          <w:p>
            <w:pPr>
              <w:spacing w:after="20"/>
            </w:pPr>
            <w:r>
              <w:rPr>
                <w:b/>
                <w:sz w:val="18"/>
              </w:rPr>
              <w:t>Bracket GLD</w:t>
            </w:r>
          </w:p>
        </w:tc>
        <w:tc>
          <w:tcPr>
            <w:tcW w:type="dxa" w:w="5832"/>
            <w:shd w:val="clear" w:color="auto" w:fill="FAFAF8"/>
          </w:tcPr>
          <w:p>
            <w:pPr>
              <w:spacing w:after="20"/>
            </w:pPr>
            <w:r>
              <w:rPr>
                <w:sz w:val="18"/>
              </w:rPr>
              <w:t>Fabrikasi pelat mounting 250 × 250 mm + U-bolt M10 (2"/DN50) sesuai gambar CAD LGU, material anti-korosi, tanpa las/bor pada struktur existing</w:t>
            </w:r>
          </w:p>
          <w:p>
            <w:pPr>
              <w:spacing w:after="20"/>
            </w:pPr>
            <w:r>
              <w:rPr>
                <w:sz w:val="18"/>
              </w:rPr>
              <w:t>Pemasangan fisik unit</w:t>
            </w:r>
          </w:p>
        </w:tc>
        <w:tc>
          <w:tcPr>
            <w:tcW w:type="dxa" w:w="1728"/>
            <w:shd w:val="clear" w:color="auto" w:fill="FAFAF8"/>
          </w:tcPr>
          <w:p>
            <w:pPr>
              <w:spacing w:after="20"/>
            </w:pPr>
            <w:r>
              <w:rPr>
                <w:sz w:val="18"/>
              </w:rPr>
              <w:t>Vendor instalasi</w:t>
            </w:r>
          </w:p>
        </w:tc>
      </w:tr>
      <w:tr>
        <w:trPr>
          <w:cantSplit w:val="true"/>
        </w:trPr>
        <w:tc>
          <w:tcPr>
            <w:tcW w:type="dxa" w:w="1800"/>
          </w:tcPr>
          <w:p>
            <w:pPr>
              <w:spacing w:after="20"/>
            </w:pPr>
            <w:r>
              <w:rPr>
                <w:b/>
                <w:sz w:val="18"/>
              </w:rPr>
              <w:t>Cluster Head</w:t>
            </w:r>
          </w:p>
        </w:tc>
        <w:tc>
          <w:tcPr>
            <w:tcW w:type="dxa" w:w="5832"/>
          </w:tcPr>
          <w:p>
            <w:pPr>
              <w:spacing w:after="20"/>
            </w:pPr>
            <w:r>
              <w:rPr>
                <w:sz w:val="18"/>
              </w:rPr>
              <w:t>Lokasi outdoor di area aman dengan paparan matahari untuk panel surya</w:t>
            </w:r>
          </w:p>
          <w:p>
            <w:pPr>
              <w:spacing w:after="20"/>
            </w:pPr>
            <w:r>
              <w:rPr>
                <w:sz w:val="18"/>
              </w:rPr>
              <w:t>Tiang tegak (pipa) sebagai dudukan unit CH, bracket 2 panel surya (diklem ke tiang), dan antena di puncak tiang — konfigurasi seperti Gambar 1</w:t>
            </w:r>
          </w:p>
        </w:tc>
        <w:tc>
          <w:tcPr>
            <w:tcW w:type="dxa" w:w="1728"/>
          </w:tcPr>
          <w:p>
            <w:pPr>
              <w:spacing w:after="20"/>
            </w:pPr>
            <w:r>
              <w:rPr>
                <w:sz w:val="18"/>
              </w:rPr>
              <w:t>Pertamina RU IV &amp; vendor</w:t>
            </w:r>
          </w:p>
        </w:tc>
      </w:tr>
      <w:tr>
        <w:trPr>
          <w:cantSplit w:val="true"/>
        </w:trPr>
        <w:tc>
          <w:tcPr>
            <w:tcW w:type="dxa" w:w="1800"/>
            <w:shd w:val="clear" w:color="auto" w:fill="FAFAF8"/>
          </w:tcPr>
          <w:p>
            <w:pPr>
              <w:spacing w:after="20"/>
            </w:pPr>
            <w:r>
              <w:rPr>
                <w:b/>
                <w:sz w:val="18"/>
              </w:rPr>
              <w:t>Gateway</w:t>
            </w:r>
          </w:p>
        </w:tc>
        <w:tc>
          <w:tcPr>
            <w:tcW w:type="dxa" w:w="5832"/>
            <w:shd w:val="clear" w:color="auto" w:fill="FAFAF8"/>
          </w:tcPr>
          <w:p>
            <w:pPr>
              <w:spacing w:after="20"/>
            </w:pPr>
            <w:r>
              <w:rPr>
                <w:sz w:val="18"/>
              </w:rPr>
              <w:t>Ruang indoor di area aman + stopkontak untuk adaptor 5 V</w:t>
            </w:r>
          </w:p>
          <w:p>
            <w:pPr>
              <w:spacing w:after="20"/>
            </w:pPr>
            <w:r>
              <w:rPr>
                <w:sz w:val="18"/>
              </w:rPr>
              <w:t>Titik antena di luar/atap dengan jalur kabel antena ke unit</w:t>
            </w:r>
          </w:p>
        </w:tc>
        <w:tc>
          <w:tcPr>
            <w:tcW w:type="dxa" w:w="1728"/>
            <w:shd w:val="clear" w:color="auto" w:fill="FAFAF8"/>
          </w:tcPr>
          <w:p>
            <w:pPr>
              <w:spacing w:after="20"/>
            </w:pPr>
            <w:r>
              <w:rPr>
                <w:sz w:val="18"/>
              </w:rPr>
              <w:t>Pertamina RU IV</w:t>
            </w:r>
          </w:p>
        </w:tc>
      </w:tr>
      <w:tr>
        <w:trPr>
          <w:cantSplit w:val="true"/>
        </w:trPr>
        <w:tc>
          <w:tcPr>
            <w:tcW w:type="dxa" w:w="1800"/>
          </w:tcPr>
          <w:p>
            <w:pPr>
              <w:spacing w:after="20"/>
            </w:pPr>
            <w:r>
              <w:rPr>
                <w:b/>
                <w:sz w:val="18"/>
              </w:rPr>
              <w:t>PC server</w:t>
            </w:r>
          </w:p>
        </w:tc>
        <w:tc>
          <w:tcPr>
            <w:tcW w:type="dxa" w:w="5832"/>
          </w:tcPr>
          <w:p>
            <w:pPr>
              <w:spacing w:after="20"/>
            </w:pPr>
            <w:r>
              <w:rPr>
                <w:sz w:val="18"/>
              </w:rPr>
              <w:t>Unit PC fisik sesuai spesifikasi minimum (bagian 2), ditempatkan dekat Gateway, dengan catu daya</w:t>
            </w:r>
          </w:p>
          <w:p>
            <w:pPr>
              <w:spacing w:after="20"/>
            </w:pPr>
            <w:r>
              <w:rPr>
                <w:sz w:val="18"/>
              </w:rPr>
              <w:t>Akses ke intranet kantor melalui NIC kedua bila dashboard ingin dibuka dari kantor</w:t>
            </w:r>
          </w:p>
        </w:tc>
        <w:tc>
          <w:tcPr>
            <w:tcW w:type="dxa" w:w="1728"/>
          </w:tcPr>
          <w:p>
            <w:pPr>
              <w:spacing w:after="20"/>
            </w:pPr>
            <w:r>
              <w:rPr>
                <w:sz w:val="18"/>
              </w:rPr>
              <w:t>Pertamina RU IV</w:t>
            </w:r>
          </w:p>
        </w:tc>
      </w:tr>
      <w:tr>
        <w:trPr>
          <w:cantSplit w:val="true"/>
        </w:trPr>
        <w:tc>
          <w:tcPr>
            <w:tcW w:type="dxa" w:w="1800"/>
            <w:shd w:val="clear" w:color="auto" w:fill="FAFAF8"/>
          </w:tcPr>
          <w:p>
            <w:pPr>
              <w:spacing w:after="20"/>
            </w:pPr>
            <w:r>
              <w:rPr>
                <w:b/>
                <w:sz w:val="18"/>
              </w:rPr>
              <w:t>Gas test chamber</w:t>
            </w:r>
          </w:p>
        </w:tc>
        <w:tc>
          <w:tcPr>
            <w:tcW w:type="dxa" w:w="5832"/>
            <w:shd w:val="clear" w:color="auto" w:fill="FAFAF8"/>
          </w:tcPr>
          <w:p>
            <w:pPr>
              <w:spacing w:after="20"/>
            </w:pPr>
            <w:r>
              <w:rPr>
                <w:sz w:val="18"/>
              </w:rPr>
              <w:t>Ruang/meja di kantor kilang (non-area proses) + stopkontak listrik</w:t>
            </w:r>
          </w:p>
        </w:tc>
        <w:tc>
          <w:tcPr>
            <w:tcW w:type="dxa" w:w="1728"/>
            <w:shd w:val="clear" w:color="auto" w:fill="FAFAF8"/>
          </w:tcPr>
          <w:p>
            <w:pPr>
              <w:spacing w:after="20"/>
            </w:pPr>
            <w:r>
              <w:rPr>
                <w:sz w:val="18"/>
              </w:rPr>
              <w:t>Pertamina RU IV</w:t>
            </w:r>
          </w:p>
        </w:tc>
      </w:tr>
      <w:tr>
        <w:trPr>
          <w:cantSplit w:val="true"/>
        </w:trPr>
        <w:tc>
          <w:tcPr>
            <w:tcW w:type="dxa" w:w="1800"/>
          </w:tcPr>
          <w:p>
            <w:pPr>
              <w:spacing w:after="20"/>
            </w:pPr>
            <w:r>
              <w:rPr>
                <w:b/>
                <w:sz w:val="18"/>
              </w:rPr>
              <w:t>Umum</w:t>
            </w:r>
          </w:p>
        </w:tc>
        <w:tc>
          <w:tcPr>
            <w:tcW w:type="dxa" w:w="5832"/>
          </w:tcPr>
          <w:p>
            <w:pPr>
              <w:spacing w:after="20"/>
            </w:pPr>
            <w:r>
              <w:rPr>
                <w:sz w:val="18"/>
              </w:rPr>
              <w:t>Penetapan titik pasang &amp; dokumen klasifikasi area</w:t>
            </w:r>
          </w:p>
          <w:p>
            <w:pPr>
              <w:spacing w:after="20"/>
            </w:pPr>
            <w:r>
              <w:rPr>
                <w:sz w:val="18"/>
              </w:rPr>
              <w:t>Pengesahan TRA/JSA, izin kerja, izin masuk personel &amp; barang</w:t>
            </w:r>
          </w:p>
          <w:p>
            <w:pPr>
              <w:spacing w:after="20"/>
            </w:pPr>
            <w:r>
              <w:rPr>
                <w:sz w:val="18"/>
              </w:rPr>
              <w:t>Penugasan vendor instalasi</w:t>
            </w:r>
          </w:p>
          <w:p>
            <w:pPr>
              <w:spacing w:after="20"/>
            </w:pPr>
            <w:r>
              <w:rPr>
                <w:sz w:val="18"/>
              </w:rPr>
              <w:t>PIC operasi, HSE, control room, dan IT selama pemasangan</w:t>
            </w:r>
          </w:p>
        </w:tc>
        <w:tc>
          <w:tcPr>
            <w:tcW w:type="dxa" w:w="1728"/>
          </w:tcPr>
          <w:p>
            <w:pPr>
              <w:spacing w:after="20"/>
            </w:pPr>
            <w:r>
              <w:rPr>
                <w:sz w:val="18"/>
              </w:rPr>
              <w:t>Pertamina RU IV</w:t>
            </w:r>
          </w:p>
        </w:tc>
      </w:tr>
    </w:tbl>
    <w:p>
      <w:pPr>
        <w:spacing w:after="80"/>
      </w:pPr>
    </w:p>
    <w:p>
      <w:pPr>
        <w:pStyle w:val="Heading2"/>
      </w:pPr>
      <w:r>
        <w:t>Contoh konfigurasi pemasangan Cluster Head</w:t>
      </w:r>
    </w:p>
    <w:p>
      <w:pPr>
        <w:spacing w:after="140"/>
      </w:pPr>
      <w:r>
        <w:rPr>
          <w:b w:val="0"/>
          <w:i w:val="0"/>
          <w:sz w:val="20"/>
        </w:rPr>
        <w:t>Cluster Head akan dipasang dengan konfigurasi seperti foto uji di bawah: unit CH dan antena omni berada pada satu tiang, dua panel surya dipasang pada bracket baja yang diklem (U-clamp) ke tiang dengan arah hadap berlawanan, dan kabel diturunkan sepanjang tiang. Bracket ini tidak memerlukan las maupun bor pada tiang.</w:t>
      </w:r>
    </w:p>
    <w:tbl>
      <w:tblPr>
        <w:tblW w:type="auto" w:w="0"/>
        <w:jc w:val="center"/>
        <w:tblLook w:firstColumn="1" w:firstRow="1" w:lastColumn="0" w:lastRow="0" w:noHBand="0" w:noVBand="1" w:val="04A0"/>
      </w:tblPr>
      <w:tblGrid>
        <w:gridCol w:w="3324"/>
        <w:gridCol w:w="3324"/>
        <w:gridCol w:w="3324"/>
      </w:tblGrid>
      <w:tr>
        <w:tc>
          <w:tcPr>
            <w:tcW w:type="dxa" w:w="3324"/>
          </w:tcPr>
          <w:p>
            <w:pPr>
              <w:jc w:val="center"/>
            </w:pPr>
            <w:r>
              <w:drawing>
                <wp:inline xmlns:a="http://schemas.openxmlformats.org/drawingml/2006/main" xmlns:pic="http://schemas.openxmlformats.org/drawingml/2006/picture">
                  <wp:extent cx="1874519" cy="2499359"/>
                  <wp:docPr id="1" name="Picture 1"/>
                  <wp:cNvGraphicFramePr>
                    <a:graphicFrameLocks noChangeAspect="1"/>
                  </wp:cNvGraphicFramePr>
                  <a:graphic>
                    <a:graphicData uri="http://schemas.openxmlformats.org/drawingml/2006/picture">
                      <pic:pic>
                        <pic:nvPicPr>
                          <pic:cNvPr id="0" name="ch_bracket_solar_detail.jpg"/>
                          <pic:cNvPicPr/>
                        </pic:nvPicPr>
                        <pic:blipFill>
                          <a:blip r:embed="rId11"/>
                          <a:stretch>
                            <a:fillRect/>
                          </a:stretch>
                        </pic:blipFill>
                        <pic:spPr>
                          <a:xfrm>
                            <a:off x="0" y="0"/>
                            <a:ext cx="1874519" cy="2499359"/>
                          </a:xfrm>
                          <a:prstGeom prst="rect"/>
                        </pic:spPr>
                      </pic:pic>
                    </a:graphicData>
                  </a:graphic>
                </wp:inline>
              </w:drawing>
            </w:r>
          </w:p>
        </w:tc>
        <w:tc>
          <w:tcPr>
            <w:tcW w:type="dxa" w:w="3324"/>
          </w:tcPr>
          <w:p>
            <w:pPr>
              <w:jc w:val="center"/>
            </w:pPr>
            <w:r>
              <w:drawing>
                <wp:inline xmlns:a="http://schemas.openxmlformats.org/drawingml/2006/main" xmlns:pic="http://schemas.openxmlformats.org/drawingml/2006/picture">
                  <wp:extent cx="1874519" cy="2499359"/>
                  <wp:docPr id="2" name="Picture 2"/>
                  <wp:cNvGraphicFramePr>
                    <a:graphicFrameLocks noChangeAspect="1"/>
                  </wp:cNvGraphicFramePr>
                  <a:graphic>
                    <a:graphicData uri="http://schemas.openxmlformats.org/drawingml/2006/picture">
                      <pic:pic>
                        <pic:nvPicPr>
                          <pic:cNvPr id="0" name="ch_mast_antena_lapangan.jpg"/>
                          <pic:cNvPicPr/>
                        </pic:nvPicPr>
                        <pic:blipFill>
                          <a:blip r:embed="rId12"/>
                          <a:stretch>
                            <a:fillRect/>
                          </a:stretch>
                        </pic:blipFill>
                        <pic:spPr>
                          <a:xfrm>
                            <a:off x="0" y="0"/>
                            <a:ext cx="1874519" cy="2499359"/>
                          </a:xfrm>
                          <a:prstGeom prst="rect"/>
                        </pic:spPr>
                      </pic:pic>
                    </a:graphicData>
                  </a:graphic>
                </wp:inline>
              </w:drawing>
            </w:r>
          </w:p>
        </w:tc>
        <w:tc>
          <w:tcPr>
            <w:tcW w:type="dxa" w:w="3324"/>
          </w:tcPr>
          <w:p>
            <w:pPr>
              <w:jc w:val="center"/>
            </w:pPr>
            <w:r>
              <w:drawing>
                <wp:inline xmlns:a="http://schemas.openxmlformats.org/drawingml/2006/main" xmlns:pic="http://schemas.openxmlformats.org/drawingml/2006/picture">
                  <wp:extent cx="1874519" cy="2499359"/>
                  <wp:docPr id="3" name="Picture 3"/>
                  <wp:cNvGraphicFramePr>
                    <a:graphicFrameLocks noChangeAspect="1"/>
                  </wp:cNvGraphicFramePr>
                  <a:graphic>
                    <a:graphicData uri="http://schemas.openxmlformats.org/drawingml/2006/picture">
                      <pic:pic>
                        <pic:nvPicPr>
                          <pic:cNvPr id="0" name="ch_mast_antena_atap.jpg"/>
                          <pic:cNvPicPr/>
                        </pic:nvPicPr>
                        <pic:blipFill>
                          <a:blip r:embed="rId13"/>
                          <a:stretch>
                            <a:fillRect/>
                          </a:stretch>
                        </pic:blipFill>
                        <pic:spPr>
                          <a:xfrm>
                            <a:off x="0" y="0"/>
                            <a:ext cx="1874519" cy="2499359"/>
                          </a:xfrm>
                          <a:prstGeom prst="rect"/>
                        </pic:spPr>
                      </pic:pic>
                    </a:graphicData>
                  </a:graphic>
                </wp:inline>
              </w:drawing>
            </w:r>
          </w:p>
        </w:tc>
      </w:tr>
      <w:tr>
        <w:tc>
          <w:tcPr>
            <w:tcW w:type="dxa" w:w="3324"/>
          </w:tcPr>
          <w:p>
            <w:pPr>
              <w:jc w:val="center"/>
            </w:pPr>
            <w:r>
              <w:rPr>
                <w:color w:val="5B5B5B"/>
                <w:sz w:val="16"/>
              </w:rPr>
              <w:t>(a) Bracket 2 panel surya, diklem ke tiang</w:t>
            </w:r>
          </w:p>
        </w:tc>
        <w:tc>
          <w:tcPr>
            <w:tcW w:type="dxa" w:w="3324"/>
          </w:tcPr>
          <w:p>
            <w:pPr>
              <w:jc w:val="center"/>
            </w:pPr>
            <w:r>
              <w:rPr>
                <w:color w:val="5B5B5B"/>
                <w:sz w:val="16"/>
              </w:rPr>
              <w:t>(b) Tiang + antena, uji di lapangan</w:t>
            </w:r>
          </w:p>
        </w:tc>
        <w:tc>
          <w:tcPr>
            <w:tcW w:type="dxa" w:w="3324"/>
          </w:tcPr>
          <w:p>
            <w:pPr>
              <w:jc w:val="center"/>
            </w:pPr>
            <w:r>
              <w:rPr>
                <w:color w:val="5B5B5B"/>
                <w:sz w:val="16"/>
              </w:rPr>
              <w:t>(c) Tiang + antena, uji di atap gedung</w:t>
            </w:r>
          </w:p>
        </w:tc>
      </w:tr>
    </w:tbl>
    <w:p>
      <w:pPr>
        <w:spacing w:after="80"/>
        <w:jc w:val="center"/>
      </w:pPr>
      <w:r>
        <w:rPr>
          <w:b/>
          <w:i w:val="0"/>
          <w:sz w:val="18"/>
        </w:rPr>
        <w:t>Gambar 1. Konfigurasi pemasangan Cluster Head dengan bracket panel surya (uji LGU &amp; ITB di Bandung).</w:t>
      </w:r>
    </w:p>
    <w:p>
      <w:pPr>
        <w:spacing w:after="140"/>
      </w:pPr>
      <w:r>
        <w:rPr>
          <w:b w:val="0"/>
          <w:i/>
          <w:color w:val="5B5B5B"/>
          <w:sz w:val="18"/>
        </w:rPr>
        <w:t>Drum pada foto hanya dudukan sementara untuk pengujian. Di RU IV, tiang dipasang permanen (ditanam dan dicor, atau diklem ke struktur existing) sesuai dokumen Spesifikasi Material Instalasi; material tiang dan dudukan mengikuti ketentuan kilang.</w:t>
      </w:r>
    </w:p>
    <w:p>
      <w:pPr>
        <w:pStyle w:val="Heading1"/>
      </w:pPr>
      <w:r>
        <w:t>4. Yang Disiapkan LGU &amp; ITB</w:t>
      </w:r>
    </w:p>
    <w:p>
      <w:pPr>
        <w:pStyle w:val="ListBullet"/>
        <w:spacing w:after="60"/>
      </w:pPr>
      <w:r>
        <w:rPr>
          <w:sz w:val="20"/>
        </w:rPr>
        <w:t>Unit GLD (4), Cluster Head (2), Gateway (1), dan router jaringan field — firmware terpasang dan diverifikasi sebelum keberangkatan.</w:t>
      </w:r>
    </w:p>
    <w:p>
      <w:pPr>
        <w:pStyle w:val="ListBullet"/>
        <w:spacing w:after="60"/>
      </w:pPr>
      <w:r>
        <w:rPr>
          <w:sz w:val="20"/>
        </w:rPr>
        <w:t>Gambar CAD pemasangan (pelat mounting U-bolt) sebagai acuan fabrikasi vendor.</w:t>
      </w:r>
    </w:p>
    <w:p>
      <w:pPr>
        <w:pStyle w:val="ListBullet"/>
        <w:spacing w:after="60"/>
      </w:pPr>
      <w:r>
        <w:rPr>
          <w:sz w:val="20"/>
        </w:rPr>
        <w:t>Instalasi software di PC server: broker MQTT, backend, dan dashboard (installer satu paket).</w:t>
      </w:r>
    </w:p>
    <w:p>
      <w:pPr>
        <w:pStyle w:val="ListBullet"/>
        <w:spacing w:after="60"/>
      </w:pPr>
      <w:r>
        <w:rPr>
          <w:sz w:val="20"/>
        </w:rPr>
        <w:t>Gas test chamber portable beserta perlengkapannya.</w:t>
      </w:r>
    </w:p>
    <w:p>
      <w:pPr>
        <w:pStyle w:val="ListBullet"/>
        <w:spacing w:after="60"/>
      </w:pPr>
      <w:r>
        <w:rPr>
          <w:sz w:val="20"/>
        </w:rPr>
        <w:t>Supervisi teknis/QA selama pemasangan, terminasi elektrikal spesifik GLD, energize, dan commissioning bersama HSE/control room.</w:t>
      </w:r>
    </w:p>
    <w:p>
      <w:pPr>
        <w:pStyle w:val="Heading1"/>
      </w:pPr>
      <w:r>
        <w:t>5. Urutan Pemasangan</w:t>
      </w:r>
    </w:p>
    <w:tbl>
      <w:tblPr>
        <w:tblW w:type="auto" w:w="0"/>
        <w:jc w:val="center"/>
        <w:tblLayout w:type="fixed"/>
        <w:tblLook w:firstColumn="1" w:firstRow="1" w:lastColumn="0" w:lastRow="0" w:noHBand="0" w:noVBand="1" w:val="04A0"/>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Pr>
      <w:tblGrid>
        <w:gridCol w:w="3324"/>
        <w:gridCol w:w="3324"/>
        <w:gridCol w:w="3324"/>
      </w:tblGrid>
      <w:tr>
        <w:trPr>
          <w:tblHeader w:val="true"/>
          <w:cantSplit w:val="true"/>
        </w:trPr>
        <w:tc>
          <w:tcPr>
            <w:tcW w:type="dxa" w:w="864"/>
            <w:shd w:val="clear" w:color="auto" w:fill="1B2A4A"/>
          </w:tcPr>
          <w:p>
            <w:pPr>
              <w:keepNext/>
              <w:spacing w:after="20"/>
            </w:pPr>
            <w:r>
              <w:rPr>
                <w:b/>
                <w:color w:val="FFFFFF"/>
                <w:sz w:val="17"/>
              </w:rPr>
              <w:t>Tahap</w:t>
            </w:r>
          </w:p>
        </w:tc>
        <w:tc>
          <w:tcPr>
            <w:tcW w:type="dxa" w:w="6048"/>
            <w:shd w:val="clear" w:color="auto" w:fill="1B2A4A"/>
          </w:tcPr>
          <w:p>
            <w:pPr>
              <w:keepNext/>
              <w:spacing w:after="20"/>
            </w:pPr>
            <w:r>
              <w:rPr>
                <w:b/>
                <w:color w:val="FFFFFF"/>
                <w:sz w:val="17"/>
              </w:rPr>
              <w:t>Kegiatan</w:t>
            </w:r>
          </w:p>
        </w:tc>
        <w:tc>
          <w:tcPr>
            <w:tcW w:type="dxa" w:w="2448"/>
            <w:shd w:val="clear" w:color="auto" w:fill="1B2A4A"/>
          </w:tcPr>
          <w:p>
            <w:pPr>
              <w:keepNext/>
              <w:spacing w:after="20"/>
            </w:pPr>
            <w:r>
              <w:rPr>
                <w:b/>
                <w:color w:val="FFFFFF"/>
                <w:sz w:val="17"/>
              </w:rPr>
              <w:t>Pihak utama</w:t>
            </w:r>
          </w:p>
        </w:tc>
      </w:tr>
      <w:tr>
        <w:trPr>
          <w:cantSplit w:val="true"/>
        </w:trPr>
        <w:tc>
          <w:tcPr>
            <w:tcW w:type="dxa" w:w="864"/>
          </w:tcPr>
          <w:p>
            <w:pPr>
              <w:keepNext/>
              <w:spacing w:after="20"/>
            </w:pPr>
            <w:r>
              <w:rPr>
                <w:b/>
                <w:sz w:val="18"/>
              </w:rPr>
              <w:t>1</w:t>
            </w:r>
          </w:p>
        </w:tc>
        <w:tc>
          <w:tcPr>
            <w:tcW w:type="dxa" w:w="6048"/>
          </w:tcPr>
          <w:p>
            <w:pPr>
              <w:keepNext/>
              <w:spacing w:after="20"/>
            </w:pPr>
            <w:r>
              <w:rPr>
                <w:sz w:val="18"/>
              </w:rPr>
              <w:t>Penetapan titik pasang, klasifikasi area, dan izin kerja</w:t>
            </w:r>
          </w:p>
        </w:tc>
        <w:tc>
          <w:tcPr>
            <w:tcW w:type="dxa" w:w="2448"/>
          </w:tcPr>
          <w:p>
            <w:pPr>
              <w:keepNext/>
              <w:spacing w:after="20"/>
            </w:pPr>
            <w:r>
              <w:rPr>
                <w:sz w:val="18"/>
              </w:rPr>
              <w:t>Pertamina RU IV</w:t>
            </w:r>
          </w:p>
        </w:tc>
      </w:tr>
      <w:tr>
        <w:trPr>
          <w:cantSplit w:val="true"/>
        </w:trPr>
        <w:tc>
          <w:tcPr>
            <w:tcW w:type="dxa" w:w="864"/>
            <w:shd w:val="clear" w:color="auto" w:fill="FAFAF8"/>
          </w:tcPr>
          <w:p>
            <w:pPr>
              <w:keepNext/>
              <w:spacing w:after="20"/>
            </w:pPr>
            <w:r>
              <w:rPr>
                <w:b/>
                <w:sz w:val="18"/>
              </w:rPr>
              <w:t>2</w:t>
            </w:r>
          </w:p>
        </w:tc>
        <w:tc>
          <w:tcPr>
            <w:tcW w:type="dxa" w:w="6048"/>
            <w:shd w:val="clear" w:color="auto" w:fill="FAFAF8"/>
          </w:tcPr>
          <w:p>
            <w:pPr>
              <w:keepNext/>
              <w:spacing w:after="20"/>
            </w:pPr>
            <w:r>
              <w:rPr>
                <w:sz w:val="18"/>
              </w:rPr>
              <w:t>Penyiapan catu daya 24 VDC, jalur kabel, ruang Gateway &amp; PC server</w:t>
            </w:r>
          </w:p>
        </w:tc>
        <w:tc>
          <w:tcPr>
            <w:tcW w:type="dxa" w:w="2448"/>
            <w:shd w:val="clear" w:color="auto" w:fill="FAFAF8"/>
          </w:tcPr>
          <w:p>
            <w:pPr>
              <w:keepNext/>
              <w:spacing w:after="20"/>
            </w:pPr>
            <w:r>
              <w:rPr>
                <w:sz w:val="18"/>
              </w:rPr>
              <w:t>Pertamina RU IV</w:t>
            </w:r>
          </w:p>
        </w:tc>
      </w:tr>
      <w:tr>
        <w:trPr>
          <w:cantSplit w:val="true"/>
        </w:trPr>
        <w:tc>
          <w:tcPr>
            <w:tcW w:type="dxa" w:w="864"/>
          </w:tcPr>
          <w:p>
            <w:pPr>
              <w:keepNext/>
              <w:spacing w:after="20"/>
            </w:pPr>
            <w:r>
              <w:rPr>
                <w:b/>
                <w:sz w:val="18"/>
              </w:rPr>
              <w:t>3</w:t>
            </w:r>
          </w:p>
        </w:tc>
        <w:tc>
          <w:tcPr>
            <w:tcW w:type="dxa" w:w="6048"/>
          </w:tcPr>
          <w:p>
            <w:pPr>
              <w:keepNext/>
              <w:spacing w:after="20"/>
            </w:pPr>
            <w:r>
              <w:rPr>
                <w:sz w:val="18"/>
              </w:rPr>
              <w:t>Fabrikasi dan pemasangan bracket</w:t>
            </w:r>
          </w:p>
        </w:tc>
        <w:tc>
          <w:tcPr>
            <w:tcW w:type="dxa" w:w="2448"/>
          </w:tcPr>
          <w:p>
            <w:pPr>
              <w:keepNext/>
              <w:spacing w:after="20"/>
            </w:pPr>
            <w:r>
              <w:rPr>
                <w:sz w:val="18"/>
              </w:rPr>
              <w:t>Vendor instalasi (supervisi LGU)</w:t>
            </w:r>
          </w:p>
        </w:tc>
      </w:tr>
      <w:tr>
        <w:trPr>
          <w:cantSplit w:val="true"/>
        </w:trPr>
        <w:tc>
          <w:tcPr>
            <w:tcW w:type="dxa" w:w="864"/>
            <w:shd w:val="clear" w:color="auto" w:fill="FAFAF8"/>
          </w:tcPr>
          <w:p>
            <w:pPr>
              <w:keepNext/>
              <w:spacing w:after="20"/>
            </w:pPr>
            <w:r>
              <w:rPr>
                <w:b/>
                <w:sz w:val="18"/>
              </w:rPr>
              <w:t>4</w:t>
            </w:r>
          </w:p>
        </w:tc>
        <w:tc>
          <w:tcPr>
            <w:tcW w:type="dxa" w:w="6048"/>
            <w:shd w:val="clear" w:color="auto" w:fill="FAFAF8"/>
          </w:tcPr>
          <w:p>
            <w:pPr>
              <w:keepNext/>
              <w:spacing w:after="20"/>
            </w:pPr>
            <w:r>
              <w:rPr>
                <w:sz w:val="18"/>
              </w:rPr>
              <w:t>Pemasangan GLD, Cluster Head, Gateway, antena</w:t>
            </w:r>
          </w:p>
        </w:tc>
        <w:tc>
          <w:tcPr>
            <w:tcW w:type="dxa" w:w="2448"/>
            <w:shd w:val="clear" w:color="auto" w:fill="FAFAF8"/>
          </w:tcPr>
          <w:p>
            <w:pPr>
              <w:keepNext/>
              <w:spacing w:after="20"/>
            </w:pPr>
            <w:r>
              <w:rPr>
                <w:sz w:val="18"/>
              </w:rPr>
              <w:t>Vendor instalasi (supervisi LGU)</w:t>
            </w:r>
          </w:p>
        </w:tc>
      </w:tr>
      <w:tr>
        <w:trPr>
          <w:cantSplit w:val="true"/>
        </w:trPr>
        <w:tc>
          <w:tcPr>
            <w:tcW w:type="dxa" w:w="864"/>
          </w:tcPr>
          <w:p>
            <w:pPr>
              <w:keepNext/>
              <w:spacing w:after="20"/>
            </w:pPr>
            <w:r>
              <w:rPr>
                <w:b/>
                <w:sz w:val="18"/>
              </w:rPr>
              <w:t>5</w:t>
            </w:r>
          </w:p>
        </w:tc>
        <w:tc>
          <w:tcPr>
            <w:tcW w:type="dxa" w:w="6048"/>
          </w:tcPr>
          <w:p>
            <w:pPr>
              <w:keepNext/>
              <w:spacing w:after="20"/>
            </w:pPr>
            <w:r>
              <w:rPr>
                <w:sz w:val="18"/>
              </w:rPr>
              <w:t>Instalasi PC server &amp; router, konfigurasi jaringan field</w:t>
            </w:r>
          </w:p>
        </w:tc>
        <w:tc>
          <w:tcPr>
            <w:tcW w:type="dxa" w:w="2448"/>
          </w:tcPr>
          <w:p>
            <w:pPr>
              <w:keepNext/>
              <w:spacing w:after="20"/>
            </w:pPr>
            <w:r>
              <w:rPr>
                <w:sz w:val="18"/>
              </w:rPr>
              <w:t>LGU &amp; ITB</w:t>
            </w:r>
          </w:p>
        </w:tc>
      </w:tr>
      <w:tr>
        <w:trPr>
          <w:cantSplit w:val="true"/>
        </w:trPr>
        <w:tc>
          <w:tcPr>
            <w:tcW w:type="dxa" w:w="864"/>
            <w:shd w:val="clear" w:color="auto" w:fill="FAFAF8"/>
          </w:tcPr>
          <w:p>
            <w:pPr>
              <w:spacing w:after="20"/>
            </w:pPr>
            <w:r>
              <w:rPr>
                <w:b/>
                <w:sz w:val="18"/>
              </w:rPr>
              <w:t>6</w:t>
            </w:r>
          </w:p>
        </w:tc>
        <w:tc>
          <w:tcPr>
            <w:tcW w:type="dxa" w:w="6048"/>
            <w:shd w:val="clear" w:color="auto" w:fill="FAFAF8"/>
          </w:tcPr>
          <w:p>
            <w:pPr>
              <w:spacing w:after="20"/>
            </w:pPr>
            <w:r>
              <w:rPr>
                <w:sz w:val="18"/>
              </w:rPr>
              <w:t>Terminasi elektrikal GLD, energize, uji komunikasi &amp; alarm, commissioning</w:t>
            </w:r>
          </w:p>
        </w:tc>
        <w:tc>
          <w:tcPr>
            <w:tcW w:type="dxa" w:w="2448"/>
            <w:shd w:val="clear" w:color="auto" w:fill="FAFAF8"/>
          </w:tcPr>
          <w:p>
            <w:pPr>
              <w:spacing w:after="20"/>
            </w:pPr>
            <w:r>
              <w:rPr>
                <w:sz w:val="18"/>
              </w:rPr>
              <w:t>LGU &amp; ITB bersama HSE/control room</w:t>
            </w:r>
          </w:p>
        </w:tc>
      </w:tr>
    </w:tbl>
    <w:p>
      <w:pPr>
        <w:spacing w:after="80"/>
      </w:pPr>
    </w:p>
    <w:tbl>
      <w:tblPr>
        <w:tblW w:type="auto" w:w="0"/>
        <w:jc w:val="center"/>
        <w:tblLook w:firstColumn="1" w:firstRow="1" w:lastColumn="0" w:lastRow="0" w:noHBand="0" w:noVBand="1" w:val="04A0"/>
      </w:tblPr>
      <w:tblGrid>
        <w:gridCol w:w="9972"/>
      </w:tblGrid>
      <w:tr>
        <w:tc>
          <w:tcPr>
            <w:tcW w:type="dxa" w:w="9972"/>
            <w:shd w:val="clear" w:color="auto" w:fill="EAF4EC"/>
            <w:tcBorders>
              <w:top w:val="single" w:sz="6" w:color="3C7A44"/>
              <w:left w:val="single" w:sz="6" w:color="3C7A44"/>
              <w:bottom w:val="single" w:sz="6" w:color="3C7A44"/>
              <w:right w:val="single" w:sz="6" w:color="3C7A44"/>
            </w:tcBorders>
            <w:tcMar>
              <w:top w:w="110" w:type="dxa"/>
              <w:start w:w="130" w:type="dxa"/>
              <w:bottom w:w="110" w:type="dxa"/>
              <w:end w:w="130" w:type="dxa"/>
            </w:tcMar>
          </w:tcPr>
          <w:p>
            <w:pPr>
              <w:spacing w:after="0"/>
            </w:pPr>
            <w:r>
              <w:rPr>
                <w:b/>
                <w:sz w:val="19"/>
              </w:rPr>
              <w:t xml:space="preserve">Rujukan. </w:t>
            </w:r>
            <w:r>
              <w:rPr>
                <w:sz w:val="19"/>
              </w:rPr>
              <w:t>Detail lengkap tersedia pada dokumen Pembagian Persiapan Instalasi, Daftar Persiapan Vendor, dan Draf Permintaan Penyediaan Material Instalasi RU IV Cilacap yang telah dibagikan sebelumnya.</w:t>
            </w:r>
          </w:p>
        </w:tc>
      </w:tr>
    </w:tbl>
    <w:p>
      <w:pPr>
        <w:spacing w:after="80"/>
      </w:pPr>
    </w:p>
    <w:sectPr w:rsidR="00FC693F" w:rsidRPr="0006063C" w:rsidSect="00034616">
      <w:headerReference w:type="default" r:id="rId9"/>
      <w:footerReference w:type="default" r:id="rId10"/>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5B5B"/>
        <w:sz w:val="16"/>
      </w:rPr>
      <w:t xml:space="preserve">LGU/GLD/INSTALASI-PERANGKAT/2026-001  ·  Rev. 1.2  ·  2 Oktober 2026  ·  Halaman </w:t>
    </w:r>
    <w:r>
      <w:rPr>
        <w:color w:val="5B5B5B"/>
        <w:sz w:val="16"/>
      </w:rPr>
      <w:fldChar w:fldCharType="begin"/>
      <w:instrText xml:space="preserve">PAGE</w:instrText>
    </w:r>
    <w:r>
      <w:rPr>
        <w:color w:val="5B5B5B"/>
        <w:sz w:val="16"/>
      </w:rPr>
      <w:fldChar w:fldCharType="separate"/>
    </w:r>
    <w:r>
      <w:rPr>
        <w:color w:val="5B5B5B"/>
        <w:sz w:val="16"/>
      </w:rPr>
      <w:t>1</w:t>
    </w:r>
    <w:r>
      <w:rPr>
        <w:color w:val="5B5B5B"/>
        <w:sz w:val="16"/>
      </w:rPr>
      <w:fldChar w:fldCharType="end"/>
    </w:r>
    <w:r>
      <w:rPr>
        <w:color w:val="5B5B5B"/>
        <w:sz w:val="16"/>
      </w:rPr>
      <w:t xml:space="preserve"> dari </w:t>
    </w:r>
    <w:r>
      <w:rPr>
        <w:color w:val="5B5B5B"/>
        <w:sz w:val="16"/>
      </w:rPr>
      <w:fldChar w:fldCharType="begin"/>
      <w:instrText xml:space="preserve">NUMPAGES</w:instrText>
    </w:r>
    <w:r>
      <w:rPr>
        <w:color w:val="5B5B5B"/>
        <w:sz w:val="16"/>
      </w:rPr>
      <w:fldChar w:fldCharType="separate"/>
    </w:r>
    <w:r>
      <w:rPr>
        <w:color w:val="5B5B5B"/>
        <w:sz w:val="16"/>
      </w:rPr>
      <w:t>1</w:t>
    </w:r>
    <w:r>
      <w:rPr>
        <w:color w:val="5B5B5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B5B5B"/>
        <w:sz w:val="16"/>
      </w:rPr>
      <w:t>Daftar Perangkat &amp; Kebutuhan Pemasangan GLD — RU IV Cilacap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B2A4A"/>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B2A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