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Calibri" w:cs="Calibri" w:eastAsia="Calibri" w:hAnsi="Calibri"/>
          <w:b/>
          <w:bCs/>
          <w:color w:val="1D3F8F"/>
          <w:sz w:val="17"/>
          <w:szCs w:val="17"/>
        </w:rPr>
        <w:t xml:space="preserve">NOTULENSI RAPAT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62321"/>
          <w:sz w:val="34"/>
          <w:szCs w:val="34"/>
        </w:rPr>
        <w:t xml:space="preserve">Pengembangan &amp; Persiapan Implementasi Sistem Gas Leak Detection (GLD)</w:t>
      </w:r>
    </w:p>
    <w:p>
      <w:pPr>
        <w:spacing w:after="220"/>
      </w:pPr>
      <w:r>
        <w:rPr>
          <w:rFonts w:ascii="Calibri" w:cs="Calibri" w:eastAsia="Calibri" w:hAnsi="Calibri"/>
          <w:color w:val="6B7480"/>
          <w:sz w:val="20"/>
          <w:szCs w:val="20"/>
        </w:rPr>
        <w:t xml:space="preserve">di Kilang Pertamina — Program GLD Tahap 2</w:t>
      </w:r>
    </w:p>
    <w:tbl>
      <w:tblPr>
        <w:tblW w:type="dxa" w:w="9700"/>
        <w:tblBorders>
          <w:top w:val="none" w:color="FFFFFF" w:sz="0"/>
          <w:left w:val="single" w:color="2B5FC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100"/>
        <w:gridCol w:w="1500"/>
        <w:gridCol w:w="3600"/>
      </w:tblGrid>
      <w:tr>
        <w:tc>
          <w:tcPr>
            <w:tcW w:type="dxa" w:w="15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D3F8F"/>
                <w:sz w:val="20"/>
                <w:szCs w:val="20"/>
              </w:rPr>
              <w:t xml:space="preserve">TANGGAL</w:t>
            </w:r>
          </w:p>
        </w:tc>
        <w:tc>
          <w:tcPr>
            <w:tcW w:type="dxa" w:w="31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6 Agustus 2026</w:t>
            </w:r>
          </w:p>
        </w:tc>
        <w:tc>
          <w:tcPr>
            <w:tcW w:type="dxa" w:w="15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D3F8F"/>
                <w:sz w:val="20"/>
                <w:szCs w:val="20"/>
              </w:rPr>
              <w:t xml:space="preserve">TEMPAT</w:t>
            </w:r>
          </w:p>
        </w:tc>
        <w:tc>
          <w:tcPr>
            <w:tcW w:type="dxa" w:w="3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Labtek XV, Institut Teknologi Bandung</w:t>
            </w:r>
          </w:p>
        </w:tc>
      </w:tr>
      <w:tr>
        <w:tc>
          <w:tcPr>
            <w:tcW w:type="dxa" w:w="15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D3F8F"/>
                <w:sz w:val="20"/>
                <w:szCs w:val="20"/>
              </w:rPr>
              <w:t xml:space="preserve">PESERTA</w:t>
            </w:r>
          </w:p>
        </w:tc>
        <w:tc>
          <w:tcPr>
            <w:tcW w:type="dxa" w:w="8200"/>
            <w:gridSpan w:val="3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454B57"/>
                <w:sz w:val="20"/>
                <w:szCs w:val="20"/>
              </w:rPr>
              <w:t xml:space="preserve">Tim ITB, PT Pertamina, dan PT LAPI Ganesha Utama.</w:t>
            </w:r>
          </w:p>
        </w:tc>
      </w:tr>
    </w:tbl>
    <w:p>
      <w:pPr>
        <w:spacing w:after="200"/>
      </w:pP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00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Agenda Rapat</w:t>
      </w:r>
    </w:p>
    <w:p>
      <w:pPr>
        <w:spacing w:after="1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Pembahasan kesiapan teknis, mekanik, jaringan komunikasi, serta strategi instalasi dan implementasi sistem Gas Leak Detection (GLD) pada lingkungan kilang Pertamina.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01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Desain Mekanik dan Instalasi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mounting perangkat GLD akan disesuaikan dengan standar mounting yang telah digunakan di kilang sehingga tidak memerlukan desain struktur baru.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Instalasi diupayakan memanfaatkan bracket tipe L maupun U-clamp yang dipasang pada struktur eksisting tanpa melakukan pengeboran maupun pengelasan.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Pemilihan bracket harus disesuaikan dengan kebutuhan pemasangan Gateway, Cluster Head (CH), maupun sensor GLD.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Vendor mekanik akan dilibatkan sejak awal untuk mempermudah proses desain dan instalasi.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Tim diminta menyusun skenario instalasi secara lengkap, termasuk dimensi pemasangan, kebutuhan bracket, baut, mur, dan komponen pendukung lainnya.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Material PVC dihindari untuk komponen instalasi karena dinilai kurang sesuai untuk lingkungan kilang.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02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Arsitektur Jaringan Komunikasi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Cluster Head (CH) memiliki dimensi lebih besar karena mendukung jangkauan LoRa yang lebih luas, kapasitas komunikasi yang lebih besar, serta mendukung pengembangan sistem di masa mendatang.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yang dikembangkan telah menggunakan arsitektur multi-channel, berbeda dengan implementasi sebelumnya di Kasim yang masih menggunakan single channel.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Jumlah Cluster Head diupayakan seminimal mungkin untuk mengurangi kompleksitas instalasi.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Pengalaman pengujian di ITB menunjukkan dua Cluster Head telah mampu mencakup area pengujian secara memadai.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Posisi tiga repeater yang telah terpasang di kilang dapat dijadikan referensi penempatan perangkat karena telah terbukti memberikan cakupan komunikasi yang baik.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GLD diharapkan dapat mengadopsi topologi tersebut sehingga Cluster Head juga dapat berfungsi sebagai repeater.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Tim diminta mengevaluasi kapasitas Gateway dan Cluster Head terhadap jumlah sensor yang dapat dilayani serta menyediakan indikator apabila diperlukan penambahan perangkat.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03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Aspek Keselamatan dan Sertifikasi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Instalasi perangkat harus memperhatikan aspek keselamatan baik secara teknis maupun visual sehingga tidak menimbulkan persepsi negatif bagi operator maupun personel di lapangan.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Mengingat lokasi implementasi berada di area kilang, perangkat harus memenuhi persyaratan sertifikasi yang berlaku.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Pada tahap uji coba, pemasangan perangkat dibatasi pada ketinggian setara tinggi manusia karena perangkat belum memperoleh sertifikasi untuk instalasi permanen di area tertentu.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04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Pengembangan Sistem GLD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dirancang juga agar mampu mendeteksi gas: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Benzene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Carbon Monoxide (CO)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Hydrogen Sulfide (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H</w:t>
      </w:r>
      <w:r>
        <w:rPr>
          <w:rFonts w:ascii="Calibri" w:cs="Calibri" w:eastAsia="Calibri" w:hAnsi="Calibri"/>
          <w:color w:val="454B57"/>
          <w:sz w:val="22"/>
          <w:szCs w:val="22"/>
          <w:vertAlign w:val="subscript"/>
        </w:rPr>
        <w:t xml:space="preserve">2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S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Sampel gas tidak diambil langsung di area kilang. Sampel akan disiapkan dan dibawa oleh tim Pertamina ke lokasi pengujian.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Sistem harus menampilkan nilai konsentrasi gas (ppm) secara real-time.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Alarm harus dapat dikonfigurasi berdasarkan nilai ambang (threshold):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Untuk gas mudah terbakar, alarm aktif setelah konsentrasi melampaui batas bahaya kebakaran.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Untuk gas beracun seperti CO dan 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H</w:t>
      </w:r>
      <w:r>
        <w:rPr>
          <w:rFonts w:ascii="Calibri" w:cs="Calibri" w:eastAsia="Calibri" w:hAnsi="Calibri"/>
          <w:color w:val="454B57"/>
          <w:sz w:val="22"/>
          <w:szCs w:val="22"/>
          <w:vertAlign w:val="subscript"/>
        </w:rPr>
        <w:t xml:space="preserve">2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S</w:t>
      </w:r>
      <w:r>
        <w:rPr>
          <w:rFonts w:ascii="Calibri" w:cs="Calibri" w:eastAsia="Calibri" w:hAnsi="Calibri"/>
          <w:color w:val="454B57"/>
          <w:sz w:val="22"/>
          <w:szCs w:val="22"/>
        </w:rPr>
        <w:t xml:space="preserve">, alarm harus aktif segera ketika konsentrasi melebihi ambang batas keselamatan.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Aplikasi perlu menampilkan informasi lokasi perangkat, termasuk kolom Area dan identitas peralatan agar setiap sensor dapat diidentifikasi dengan mudah.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Jalur pembuangan gas setelah proses pengambilan sampel perlu dievaluasi agar tidak menimbulkan paparan terhadap pengguna maupun lingkungan sekitar.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05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Evaluasi Teknologi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Menarik untuk membandingkan performa jaringan GLD dengan sistem corrosion monitoring komersial, misalnya Emerson, termasuk kemungkinan penggunaan konsep WirelessHART.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Pemilihan teknologi komunikasi selanjutnya perlu mempertimbangkan chipset yang digunakan sehingga implementasi tidak perlu dikembangkan sepenuhnya dari awal.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Perbedaan kebutuhan komunikasi antara sistem GLD dan corrosion monitoring perlu menjadi pertimbangan karena: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GLD berorientasi pada aspek safety dan memerlukan komunikasi lebih intensif.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Corrosion monitoring lebih menekankan keandalan alat dengan frekuensi pengiriman data yang relatif rendah (sekitar dua kali per hari).</w:t>
      </w: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06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Status Perangkat</w:t>
      </w:r>
    </w:p>
    <w:p>
      <w:pPr>
        <w:spacing w:after="160"/>
      </w:pPr>
      <w:r>
        <w:rPr>
          <w:rFonts w:ascii="Calibri" w:cs="Calibri" w:eastAsia="Calibri" w:hAnsi="Calibri"/>
          <w:color w:val="454B57"/>
          <w:sz w:val="22"/>
          <w:szCs w:val="22"/>
        </w:rPr>
        <w:t xml:space="preserve">Disampaikan perkembangan jumlah perangkat yang telah diproduksi:</w:t>
      </w:r>
    </w:p>
    <w:tbl>
      <w:tblPr>
        <w:tblW w:type="dxa" w:w="97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CE3EE" w:sz="4"/>
          <w:insideV w:val="none" w:color="FFFFFF" w:sz="0"/>
        </w:tblBorders>
      </w:tblPr>
      <w:tblGrid>
        <w:gridCol w:w="6700"/>
        <w:gridCol w:w="3000"/>
      </w:tblGrid>
      <w:tr>
        <w:tc>
          <w:tcPr>
            <w:tcW w:type="dxa" w:w="67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Cluster Head — Besar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9 unit</w:t>
            </w:r>
          </w:p>
        </w:tc>
      </w:tr>
      <w:tr>
        <w:tc>
          <w:tcPr>
            <w:tcW w:type="dxa" w:w="67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Cluster Head — Kecil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7 unit</w:t>
            </w:r>
          </w:p>
        </w:tc>
      </w:tr>
      <w:tr>
        <w:tc>
          <w:tcPr>
            <w:tcW w:type="dxa" w:w="67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GLD (sesuai permintaan saat ini)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4 unit</w:t>
            </w:r>
          </w:p>
        </w:tc>
      </w:tr>
    </w:tbl>
    <w:p>
      <w:pPr>
        <w:spacing w:after="200"/>
      </w:pPr>
    </w:p>
    <w:p>
      <w:pPr>
        <w:pBdr>
          <w:bottom w:val="single" w:color="DCE3EE" w:sz="6" w:space="4"/>
        </w:pBdr>
        <w:spacing w:after="100" w:before="300"/>
      </w:pPr>
      <w:r>
        <w:rPr>
          <w:rFonts w:ascii="Calibri" w:cs="Calibri" w:eastAsia="Calibri" w:hAnsi="Calibri"/>
          <w:b/>
          <w:bCs/>
          <w:color w:val="2B5FCB"/>
          <w:sz w:val="26"/>
          <w:szCs w:val="26"/>
        </w:rPr>
        <w:t xml:space="preserve">→  </w:t>
      </w:r>
      <w:r>
        <w:rPr>
          <w:rFonts w:ascii="Calibri" w:cs="Calibri" w:eastAsia="Calibri" w:hAnsi="Calibri"/>
          <w:b/>
          <w:bCs/>
          <w:color w:val="262321"/>
          <w:sz w:val="26"/>
          <w:szCs w:val="26"/>
        </w:rPr>
        <w:t xml:space="preserve">Tindak Lanjut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600"/>
        <w:gridCol w:w="2700"/>
      </w:tblGrid>
      <w:tr>
        <w:trPr>
          <w:tblHeader/>
        </w:trPr>
        <w:tc>
          <w:tcPr>
            <w:tcW w:type="dxa" w:w="700"/>
            <w:shd w:fill="2B5FC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6600"/>
            <w:shd w:fill="2B5FC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Tindak Lanjut</w:t>
            </w:r>
          </w:p>
        </w:tc>
        <w:tc>
          <w:tcPr>
            <w:tcW w:type="dxa" w:w="2700"/>
            <w:shd w:fill="2B5FC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Penanggung Jawab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1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Menyusun desain mounting dan bracket sesuai standar kilang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Mekanik ITB</w:t>
            </w:r>
          </w:p>
        </w:tc>
      </w:tr>
      <w:tr>
        <w:tc>
          <w:tcPr>
            <w:tcW w:type="dxa" w:w="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2</w:t>
            </w:r>
          </w:p>
        </w:tc>
        <w:tc>
          <w:tcPr>
            <w:tcW w:type="dxa" w:w="6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Menyusun skenario instalasi lengkap beserta dimensi pemasangan</w:t>
            </w:r>
          </w:p>
        </w:tc>
        <w:tc>
          <w:tcPr>
            <w:tcW w:type="dxa" w:w="2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Mekanik dan Vendor Mekanik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3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Mengevaluasi kapasitas Gateway dan Cluster Head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Komunikasi ITB</w:t>
            </w:r>
          </w:p>
        </w:tc>
      </w:tr>
      <w:tr>
        <w:tc>
          <w:tcPr>
            <w:tcW w:type="dxa" w:w="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4</w:t>
            </w:r>
          </w:p>
        </w:tc>
        <w:tc>
          <w:tcPr>
            <w:tcW w:type="dxa" w:w="6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Mengembangkan fitur alarm berbasis threshold gas</w:t>
            </w:r>
          </w:p>
        </w:tc>
        <w:tc>
          <w:tcPr>
            <w:tcW w:type="dxa" w:w="2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AI ITB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5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Menambahkan informasi Area dan Equipment pada dashboard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UI ITB</w:t>
            </w:r>
          </w:p>
        </w:tc>
      </w:tr>
      <w:tr>
        <w:tc>
          <w:tcPr>
            <w:tcW w:type="dxa" w:w="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6</w:t>
            </w:r>
          </w:p>
        </w:tc>
        <w:tc>
          <w:tcPr>
            <w:tcW w:type="dxa" w:w="6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Mengkaji sistem pembuangan gas setelah proses sampling</w:t>
            </w:r>
          </w:p>
        </w:tc>
        <w:tc>
          <w:tcPr>
            <w:tcW w:type="dxa" w:w="2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Instrumentasi ITB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7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Melakukan studi perbandingan topologi jaringan dengan sistem Emerson/WirelessHART</w:t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Komunikasi ITB</w:t>
            </w:r>
          </w:p>
        </w:tc>
      </w:tr>
      <w:tr>
        <w:tc>
          <w:tcPr>
            <w:tcW w:type="dxa" w:w="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8</w:t>
            </w:r>
          </w:p>
        </w:tc>
        <w:tc>
          <w:tcPr>
            <w:tcW w:type="dxa" w:w="66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Menyusun rencana sertifikasi perangkat untuk implementasi di kilang</w:t>
            </w:r>
          </w:p>
        </w:tc>
        <w:tc>
          <w:tcPr>
            <w:tcW w:type="dxa" w:w="2700"/>
            <w:shd w:fill="EDF1F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54B57"/>
                <w:sz w:val="20"/>
                <w:szCs w:val="20"/>
              </w:rPr>
              <w:t xml:space="preserve">Tim ITB bersama Pertamina</w:t>
            </w:r>
          </w:p>
        </w:tc>
      </w:tr>
    </w:tbl>
    <w:p>
      <w:pPr>
        <w:spacing w:before="240"/>
      </w:pPr>
    </w:p>
    <w:p>
      <w:r>
        <w:rPr>
          <w:rFonts w:ascii="Calibri" w:cs="Calibri" w:eastAsia="Calibri" w:hAnsi="Calibri"/>
          <w:i/>
          <w:iCs/>
          <w:color w:val="6B7480"/>
          <w:sz w:val="20"/>
          <w:szCs w:val="20"/>
        </w:rPr>
        <w:t xml:space="preserve">Notulensi ini telah disusun berdasarkan poin-poin pembahasan dalam dokumen rapat dengan penyusunan ulang agar lebih sistematis dan mudah ditindaklanjuti.</w:t>
      </w:r>
    </w:p>
    <w:sectPr>
      <w:headerReference w:type="default" r:id="rId7"/>
      <w:footerReference w:type="default" r:id="rId8"/>
      <w:pgSz w:w="11906" w:h="16838" w:orient="portrait"/>
      <w:pgMar w:top="900" w:right="1134" w:bottom="900" w:left="1134" w:header="34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E" w:sz="6" w:space="4"/>
      </w:pBdr>
      <w:tabs>
        <w:tab w:val="right" w:pos="9026"/>
      </w:tabs>
      <w:spacing w:before="120"/>
    </w:pPr>
    <w:r>
      <w:rPr>
        <w:rFonts w:ascii="Calibri" w:cs="Calibri" w:eastAsia="Calibri" w:hAnsi="Calibri"/>
        <w:color w:val="6B7480"/>
        <w:sz w:val="16"/>
        <w:szCs w:val="16"/>
      </w:rPr>
      <w:t xml:space="preserve">Notulensi Rapat GLD — 6 Agustus 2026</w:t>
    </w:r>
    <w:r>
      <w:rPr>
        <w:rFonts w:ascii="Calibri" w:cs="Calibri" w:eastAsia="Calibri" w:hAnsi="Calibri"/>
        <w:color w:val="6B7480"/>
        <w:sz w:val="16"/>
        <w:szCs w:val="16"/>
      </w:rPr>
      <w:t xml:space="preserve">	Halaman </w:t>
    </w:r>
    <w:r>
      <w:rPr>
        <w:rFonts w:ascii="Calibri" w:cs="Calibri" w:eastAsia="Calibri" w:hAnsi="Calibri"/>
        <w:color w:val="6B74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000"/>
      <w:gridCol w:w="4700"/>
    </w:tblGrid>
    <w:tr>
      <w:tc>
        <w:tcPr>
          <w:tcW w:type="dxa" w:w="5000"/>
          <w:shd w:fill="2B5FCB" w:val="clear"/>
          <w:tcMar>
            <w:top w:type="dxa" w:w="140"/>
            <w:left w:type="dxa" w:w="0"/>
            <w:bottom w:type="dxa" w:w="140"/>
            <w:right w:type="dxa" w:w="100"/>
          </w:tcMar>
          <w:vAlign w:val="center"/>
        </w:tcPr>
        <w:p>
          <w:r>
            <w:rPr>
              <w:rFonts w:ascii="Calibri" w:cs="Calibri" w:eastAsia="Calibri" w:hAnsi="Calibri"/>
              <w:b/>
              <w:bCs/>
              <w:color w:val="FFFFFF"/>
              <w:sz w:val="17"/>
              <w:szCs w:val="17"/>
            </w:rPr>
            <w:t xml:space="preserve">GAS LEAK DETECTION  ·  PROGRAM TAHAP 2</w:t>
          </w:r>
        </w:p>
      </w:tc>
      <w:tc>
        <w:tcPr>
          <w:tcW w:type="dxa" w:w="4700"/>
          <w:shd w:fill="2B5FCB" w:val="clear"/>
          <w:tcMar>
            <w:top w:type="dxa" w:w="140"/>
            <w:left w:type="dxa" w:w="100"/>
            <w:bottom w:type="dxa" w:w="140"/>
            <w:right w:type="dxa" w:w="0"/>
          </w:tcMar>
          <w:vAlign w:val="center"/>
        </w:tcPr>
        <w:p>
          <w:pPr>
            <w:jc w:val="right"/>
          </w:pPr>
          <w:r>
            <w:rPr>
              <w:rFonts w:ascii="Calibri" w:cs="Calibri" w:eastAsia="Calibri" w:hAnsi="Calibri"/>
              <w:color w:val="FFFFFF"/>
              <w:sz w:val="17"/>
              <w:szCs w:val="17"/>
            </w:rPr>
            <w:t xml:space="preserve">LAPI Ganesha Utama · ITB · Pertamina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2026-08-09T09:53:22.102Z</dcterms:created>
  <dcterms:modified xsi:type="dcterms:W3CDTF">2026-08-09T09:53:22.188Z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