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9936"/>
      </w:tblGrid>
      <w:tr>
        <w:tc>
          <w:tcPr>
            <w:tcW w:type="dxa" w:w="9936"/>
            <w:shd w:val="clear" w:color="auto" w:fill="1B2A4A"/>
          </w:tcPr>
          <w:p>
            <w:pPr>
              <w:spacing w:after="40"/>
            </w:pPr>
            <w:r>
              <w:rPr>
                <w:b/>
                <w:color w:val="FFFFFF"/>
                <w:sz w:val="28"/>
              </w:rPr>
              <w:t>PT LAPI GANESHA UTAMA</w:t>
            </w:r>
          </w:p>
          <w:p>
            <w:pPr>
              <w:spacing w:after="60"/>
            </w:pPr>
            <w:r>
              <w:rPr>
                <w:color w:val="C7D2E0"/>
                <w:sz w:val="19"/>
              </w:rPr>
              <w:t>Bekerja sama dengan Lab IoT &amp; Fisika Institut Teknologi Bandung</w:t>
            </w:r>
          </w:p>
        </w:tc>
      </w:tr>
    </w:tbl>
    <w:p>
      <w:pPr>
        <w:spacing w:after="120"/>
      </w:pPr>
    </w:p>
    <w:p>
      <w:pPr>
        <w:pStyle w:val="Title"/>
      </w:pPr>
      <w:r>
        <w:rPr>
          <w:b/>
          <w:color w:val="1B2A4A"/>
          <w:sz w:val="36"/>
        </w:rPr>
        <w:t>Laporan Progres Pekerjaan Instalasi GLD — RU IV Cilacap</w:t>
      </w:r>
    </w:p>
    <w:p>
      <w:pPr>
        <w:spacing w:after="200"/>
      </w:pPr>
      <w:r>
        <w:rPr>
          <w:b w:val="0"/>
          <w:i w:val="0"/>
          <w:color w:val="5B5B5B"/>
          <w:sz w:val="21"/>
        </w:rPr>
        <w:t>Status persiapan pemasangan sistem Gas Leak Detection (GLD) Tahap 2 di area aman perimeter Sulfur Recovery Unit (SRU) RU IV Cilacap, dari survey lokasi Agustus sampai penetapan desain lingkup kerja final 8 Oktober 2026.</w:t>
      </w:r>
    </w:p>
    <w:p>
      <w:r>
        <w:rPr>
          <w:b/>
          <w:color w:val="1B2A4A"/>
          <w:sz w:val="22"/>
        </w:rP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2736"/>
        <w:gridCol w:w="7200"/>
      </w:tblGrid>
      <w:tr>
        <w:tc>
          <w:tcPr>
            <w:tcW w:type="dxa" w:w="2736"/>
            <w:shd w:val="clear" w:color="auto" w:fill="EEF2F7"/>
          </w:tcPr>
          <w:p>
            <w:pPr>
              <w:spacing w:after="40"/>
            </w:pPr>
            <w:r>
              <w:rPr>
                <w:b/>
                <w:color w:val="5B5B5B"/>
                <w:sz w:val="18"/>
              </w:rPr>
              <w:t>Nomor dokumen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sz w:val="19"/>
              </w:rPr>
              <w:t>LGU/GLD/LAP-INSTALASI/2026-001</w:t>
            </w:r>
          </w:p>
        </w:tc>
      </w:tr>
      <w:tr>
        <w:tc>
          <w:tcPr>
            <w:tcW w:type="dxa" w:w="2736"/>
            <w:shd w:val="clear" w:color="auto" w:fill="EEF2F7"/>
          </w:tcPr>
          <w:p>
            <w:pPr>
              <w:spacing w:after="40"/>
            </w:pPr>
            <w:r>
              <w:rPr>
                <w:b/>
                <w:color w:val="5B5B5B"/>
                <w:sz w:val="18"/>
              </w:rPr>
              <w:t>Revisi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sz w:val="19"/>
              </w:rPr>
              <w:t>1.0</w:t>
            </w:r>
          </w:p>
        </w:tc>
      </w:tr>
      <w:tr>
        <w:tc>
          <w:tcPr>
            <w:tcW w:type="dxa" w:w="2736"/>
            <w:shd w:val="clear" w:color="auto" w:fill="EEF2F7"/>
          </w:tcPr>
          <w:p>
            <w:pPr>
              <w:spacing w:after="40"/>
            </w:pPr>
            <w:r>
              <w:rPr>
                <w:b/>
                <w:color w:val="5B5B5B"/>
                <w:sz w:val="18"/>
              </w:rPr>
              <w:t>Tanggal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sz w:val="19"/>
              </w:rPr>
              <w:t>9 Oktober 2026</w:t>
            </w:r>
          </w:p>
        </w:tc>
      </w:tr>
      <w:tr>
        <w:tc>
          <w:tcPr>
            <w:tcW w:type="dxa" w:w="2736"/>
            <w:shd w:val="clear" w:color="auto" w:fill="EEF2F7"/>
          </w:tcPr>
          <w:p>
            <w:pPr>
              <w:spacing w:after="40"/>
            </w:pPr>
            <w:r>
              <w:rPr>
                <w:b/>
                <w:color w:val="5B5B5B"/>
                <w:sz w:val="18"/>
              </w:rPr>
              <w:t>Periode laporan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sz w:val="19"/>
              </w:rPr>
              <w:t>9 Agustus – 9 Oktober 2026</w:t>
            </w:r>
          </w:p>
        </w:tc>
      </w:tr>
      <w:tr>
        <w:tc>
          <w:tcPr>
            <w:tcW w:type="dxa" w:w="2736"/>
            <w:shd w:val="clear" w:color="auto" w:fill="EEF2F7"/>
          </w:tcPr>
          <w:p>
            <w:pPr>
              <w:spacing w:after="40"/>
            </w:pPr>
            <w:r>
              <w:rPr>
                <w:b/>
                <w:color w:val="5B5B5B"/>
                <w:sz w:val="18"/>
              </w:rPr>
              <w:t>Disiapkan oleh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sz w:val="19"/>
              </w:rPr>
              <w:t>PT LAPI Ganesha Utama, bersama Lab IoT &amp; Fisika Institut Teknologi Bandung</w:t>
            </w:r>
          </w:p>
        </w:tc>
      </w:tr>
      <w:tr>
        <w:tc>
          <w:tcPr>
            <w:tcW w:type="dxa" w:w="2736"/>
            <w:shd w:val="clear" w:color="auto" w:fill="EEF2F7"/>
          </w:tcPr>
          <w:p>
            <w:pPr>
              <w:spacing w:after="40"/>
            </w:pPr>
            <w:r>
              <w:rPr>
                <w:b/>
                <w:color w:val="5B5B5B"/>
                <w:sz w:val="18"/>
              </w:rPr>
              <w:t>Ditujukan kepada</w:t>
            </w:r>
          </w:p>
        </w:tc>
        <w:tc>
          <w:tcPr>
            <w:tcW w:type="dxa" w:w="7200"/>
          </w:tcPr>
          <w:p>
            <w:pPr>
              <w:spacing w:after="40"/>
            </w:pPr>
            <w:r>
              <w:rPr>
                <w:sz w:val="19"/>
              </w:rPr>
              <w:t>PT Pertamina Patra Niaga — RU IV Cilacap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color w:val="1B2A4A"/>
        </w:rPr>
        <w:t>1. Ringkasan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2520"/>
        <w:gridCol w:w="7416"/>
      </w:tblGrid>
      <w:tr>
        <w:tc>
          <w:tcPr>
            <w:tcW w:type="dxa" w:w="2520"/>
            <w:shd w:val="clear" w:color="auto" w:fill="1B2A4A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Aspek</w:t>
            </w:r>
          </w:p>
        </w:tc>
        <w:tc>
          <w:tcPr>
            <w:tcW w:type="dxa" w:w="7416"/>
            <w:shd w:val="clear" w:color="auto" w:fill="1B2A4A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Status per 9 Oktober 2026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Survey lokasi</w:t>
            </w:r>
          </w:p>
        </w:tc>
        <w:tc>
          <w:tcPr>
            <w:tcW w:type="dxa" w:w="7416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Selesai — kunjungan RU IV Cilacap 9–10 Agustus 2026</w:t>
            </w:r>
          </w:p>
        </w:tc>
      </w:tr>
      <w:tr>
        <w:tc>
          <w:tcPr>
            <w:tcW w:type="dxa" w:w="2520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Lokasi pemasangan</w:t>
            </w:r>
          </w:p>
        </w:tc>
        <w:tc>
          <w:tcPr>
            <w:tcW w:type="dxa" w:w="7416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Area aman di perimeter SRU (dikonfirmasi Pertamina 17 September); layout titik dari RU IV 2 Oktober: 2 GLD, 2 junction box, 3 Cluster Head, 1 Gateway di gedung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Desain lingkup kerja</w:t>
            </w:r>
          </w:p>
        </w:tc>
        <w:tc>
          <w:tcPr>
            <w:tcW w:type="dxa" w:w="7416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Block diagram lingkup final 8 Oktober 2026 — pembagian LGU (perangkat) dan Pertamina (instalasi, mounting support, infrastruktur) sudah jelas</w:t>
            </w:r>
          </w:p>
        </w:tc>
      </w:tr>
      <w:tr>
        <w:tc>
          <w:tcPr>
            <w:tcW w:type="dxa" w:w="2520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Perangkat &amp; dokumen LGU</w:t>
            </w:r>
          </w:p>
        </w:tc>
        <w:tc>
          <w:tcPr>
            <w:tcW w:type="dxa" w:w="7416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Siap — perangkat sistem, router, desain bracket, spesifikasi material, daftar perangkat, dan draf JSA/HSE sudah diserahkan atau tersedia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Spesifikasi material</w:t>
            </w:r>
          </w:p>
        </w:tc>
        <w:tc>
          <w:tcPr>
            <w:tcW w:type="dxa" w:w="7416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Rev 1.6 (9 Oktober) sudah selaras dengan block diagram final</w:t>
            </w:r>
          </w:p>
        </w:tc>
      </w:tr>
      <w:tr>
        <w:tc>
          <w:tcPr>
            <w:tcW w:type="dxa" w:w="2520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Pemasangan fisik</w:t>
            </w:r>
          </w:p>
        </w:tc>
        <w:tc>
          <w:tcPr>
            <w:tcW w:type="dxa" w:w="7416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Dilaksanakan RU IV melalui kontrak jasa pelaksana instalasi (MoM 29 September); persiapan kontrak diperkirakan ± 1–2 bulan, jadwal mengikuti proses RU IV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Commissioning &amp; SAT</w:t>
            </w:r>
          </w:p>
        </w:tc>
        <w:tc>
          <w:tcPr>
            <w:tcW w:type="dxa" w:w="7416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Dilakukan LGU setelah pemasangan fisik selesai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sz w:val="19"/>
        </w:rPr>
        <w:t>Seluruh pekerjaan persiapan dari sisi LGU telah dikerjakan. Tahap berikutnya adalah konfirmasi beberapa butir teknis (Bagian 6) dan proses kontrak jasa pemasangan di RU IV.</w:t>
      </w:r>
    </w:p>
    <w:p>
      <w:pPr>
        <w:pStyle w:val="Heading1"/>
      </w:pPr>
      <w:r>
        <w:rPr>
          <w:color w:val="1B2A4A"/>
        </w:rPr>
        <w:t>2. Kronologi pekerjaan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224"/>
        <w:gridCol w:w="3744"/>
        <w:gridCol w:w="4968"/>
      </w:tblGrid>
      <w:tr>
        <w:tc>
          <w:tcPr>
            <w:tcW w:type="dxa" w:w="1224"/>
            <w:shd w:val="clear" w:color="auto" w:fill="1B2A4A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Tanggal</w:t>
            </w:r>
          </w:p>
        </w:tc>
        <w:tc>
          <w:tcPr>
            <w:tcW w:type="dxa" w:w="3744"/>
            <w:shd w:val="clear" w:color="auto" w:fill="1B2A4A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Kegiatan</w:t>
            </w:r>
          </w:p>
        </w:tc>
        <w:tc>
          <w:tcPr>
            <w:tcW w:type="dxa" w:w="4968"/>
            <w:shd w:val="clear" w:color="auto" w:fill="1B2A4A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Hasil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9–10 Agu</w:t>
            </w:r>
          </w:p>
        </w:tc>
        <w:tc>
          <w:tcPr>
            <w:tcW w:type="dxa" w:w="3744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Kunjungan &amp; survey lokasi RU IV Cilacap</w:t>
            </w:r>
          </w:p>
        </w:tc>
        <w:tc>
          <w:tcPr>
            <w:tcW w:type="dxa" w:w="496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Survey lokasi selesai; notulen kunjungan tersedia</w:t>
            </w:r>
          </w:p>
        </w:tc>
      </w:tr>
      <w:tr>
        <w:tc>
          <w:tcPr>
            <w:tcW w:type="dxa" w:w="1224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17 Sep</w:t>
            </w:r>
          </w:p>
        </w:tc>
        <w:tc>
          <w:tcPr>
            <w:tcW w:type="dxa" w:w="3744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Penetapan arah instalasi</w:t>
            </w:r>
          </w:p>
        </w:tc>
        <w:tc>
          <w:tcPr>
            <w:tcW w:type="dxa" w:w="4968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Chamber uji gas di kantor kilang + instalasi permanen hanya di lokasi non-ATEX; lokasi di perimeter SRU dikonfirmasi Pertamina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17 Sep</w:t>
            </w:r>
          </w:p>
        </w:tc>
        <w:tc>
          <w:tcPr>
            <w:tcW w:type="dxa" w:w="3744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Matriks pembagian persiapan &amp; daftar persiapan pelaksana</w:t>
            </w:r>
          </w:p>
        </w:tc>
        <w:tc>
          <w:tcPr>
            <w:tcW w:type="dxa" w:w="496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Dokumen dibagikan ke Pertamina</w:t>
            </w:r>
          </w:p>
        </w:tc>
      </w:tr>
      <w:tr>
        <w:tc>
          <w:tcPr>
            <w:tcW w:type="dxa" w:w="1224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18 Sep</w:t>
            </w:r>
          </w:p>
        </w:tc>
        <w:tc>
          <w:tcPr>
            <w:tcW w:type="dxa" w:w="3744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Kurva-S persiapan instalasi</w:t>
            </w:r>
          </w:p>
        </w:tc>
        <w:tc>
          <w:tcPr>
            <w:tcW w:type="dxa" w:w="4968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Seluruh item persiapan sisi LGU selesai (15/15)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29 Sep</w:t>
            </w:r>
          </w:p>
        </w:tc>
        <w:tc>
          <w:tcPr>
            <w:tcW w:type="dxa" w:w="3744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Rapat koordinasi persiapan pemasangan (daring)</w:t>
            </w:r>
          </w:p>
        </w:tc>
        <w:tc>
          <w:tcPr>
            <w:tcW w:type="dxa" w:w="496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Pemasangan via kontrak jasa; posisi titik dikonfirmasi di sesi teknis; LGU kirim daftar perangkat rinci</w:t>
            </w:r>
          </w:p>
        </w:tc>
      </w:tr>
      <w:tr>
        <w:tc>
          <w:tcPr>
            <w:tcW w:type="dxa" w:w="1224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1 Okt</w:t>
            </w:r>
          </w:p>
        </w:tc>
        <w:tc>
          <w:tcPr>
            <w:tcW w:type="dxa" w:w="3744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Spesifikasi material instalasi rev 1.4</w:t>
            </w:r>
          </w:p>
        </w:tc>
        <w:tc>
          <w:tcPr>
            <w:tcW w:type="dxa" w:w="4968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Dikirim ke grup Pertamina bersama Pembagian Persiapan rev 1.5 &amp; Daftar Persiapan Pelaksana rev 1.2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2 Okt</w:t>
            </w:r>
          </w:p>
        </w:tc>
        <w:tc>
          <w:tcPr>
            <w:tcW w:type="dxa" w:w="3744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Rapat teknis pemasangan; desain RU IV diterima</w:t>
            </w:r>
          </w:p>
        </w:tc>
        <w:tc>
          <w:tcPr>
            <w:tcW w:type="dxa" w:w="496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Block diagram, layout titik, MoM 29 Sep; tanggapan LGU, Daftar Perangkat rev 1.2, Spesifikasi rev 1.5 (konfigurasi tiang CH)</w:t>
            </w:r>
          </w:p>
        </w:tc>
      </w:tr>
      <w:tr>
        <w:tc>
          <w:tcPr>
            <w:tcW w:type="dxa" w:w="1224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8 Okt</w:t>
            </w:r>
          </w:p>
        </w:tc>
        <w:tc>
          <w:tcPr>
            <w:tcW w:type="dxa" w:w="3744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Block diagram lingkup revisi &amp; final</w:t>
            </w:r>
          </w:p>
        </w:tc>
        <w:tc>
          <w:tcPr>
            <w:tcW w:type="dxa" w:w="4968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Router Wi-Fi LGU ditambahkan; Gateway 5 VDC dari UPS; GLD → CH via LoRa</w:t>
            </w:r>
          </w:p>
        </w:tc>
      </w:tr>
      <w:tr>
        <w:tc>
          <w:tcPr>
            <w:tcW w:type="dxa" w:w="1224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9 Okt</w:t>
            </w:r>
          </w:p>
        </w:tc>
        <w:tc>
          <w:tcPr>
            <w:tcW w:type="dxa" w:w="3744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Penyelarasan dokumen</w:t>
            </w:r>
          </w:p>
        </w:tc>
        <w:tc>
          <w:tcPr>
            <w:tcW w:type="dxa" w:w="496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Spesifikasi Material rev 1.6 &amp; Daftar Perangkat rev 1.3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1B2A4A"/>
        </w:rPr>
        <w:t>3. Desain lingkup kerja final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09360" cy="32296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k_diagram_scope_final_router_LGU_8Okt202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29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 w:val="0"/>
          <w:i/>
          <w:color w:val="5B5B5B"/>
          <w:sz w:val="17"/>
        </w:rPr>
        <w:t>Gambar 3.1 Block diagram lingkup kerja RU IV final 8 Oktober 2026. Biru = disuplai LGU; kuning = disuplai Pertamina (instalasi, mounting support, infrastruktur).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4968"/>
        <w:gridCol w:w="4968"/>
      </w:tblGrid>
      <w:tr>
        <w:tc>
          <w:tcPr>
            <w:tcW w:type="dxa" w:w="4968"/>
            <w:shd w:val="clear" w:color="auto" w:fill="1B2A4A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Lingkup LGU (penyedia perangkat)</w:t>
            </w:r>
          </w:p>
        </w:tc>
        <w:tc>
          <w:tcPr>
            <w:tcW w:type="dxa" w:w="4968"/>
            <w:shd w:val="clear" w:color="auto" w:fill="1B2A4A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Lingkup Pertamina RU IV (instalasi &amp; infrastruktur)</w:t>
            </w:r>
          </w:p>
        </w:tc>
      </w:tr>
      <w:tr>
        <w:tc>
          <w:tcPr>
            <w:tcW w:type="dxa" w:w="496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Unit GLD (Node Sensor)</w:t>
            </w:r>
          </w:p>
        </w:tc>
        <w:tc>
          <w:tcPr>
            <w:tcW w:type="dxa" w:w="496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Stanchion 2" HDG + mounting support GLD &amp; Gateway</w:t>
            </w:r>
          </w:p>
        </w:tc>
      </w:tr>
      <w:tr>
        <w:tc>
          <w:tcPr>
            <w:tcW w:type="dxa" w:w="4968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Cluster Head + panel surya (bracket panel dibawa LGU)</w:t>
            </w:r>
          </w:p>
        </w:tc>
        <w:tc>
          <w:tcPr>
            <w:tcW w:type="dxa" w:w="4968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Junction box SS316 + PSU 220 VAC → 24 VDC per titik GLD</w:t>
            </w:r>
          </w:p>
        </w:tc>
      </w:tr>
      <w:tr>
        <w:tc>
          <w:tcPr>
            <w:tcW w:type="dxa" w:w="496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Gateway + adaptor</w:t>
            </w:r>
          </w:p>
        </w:tc>
        <w:tc>
          <w:tcPr>
            <w:tcW w:type="dxa" w:w="496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Kabel daya 24 VDC 2C 16 AWG dari junction box ke GLD</w:t>
            </w:r>
          </w:p>
        </w:tc>
      </w:tr>
      <w:tr>
        <w:tc>
          <w:tcPr>
            <w:tcW w:type="dxa" w:w="4968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Router Wi-Fi 2,4 GHz + adaptor</w:t>
            </w:r>
          </w:p>
        </w:tc>
        <w:tc>
          <w:tcPr>
            <w:tcW w:type="dxa" w:w="4968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Server, UPS, dan jaringan IT di gedung</w:t>
            </w:r>
          </w:p>
        </w:tc>
      </w:tr>
      <w:tr>
        <w:tc>
          <w:tcPr>
            <w:tcW w:type="dxa" w:w="496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Basis desain, supervisi QA, terminasi, energize, commissioning</w:t>
            </w:r>
          </w:p>
        </w:tc>
        <w:tc>
          <w:tcPr>
            <w:tcW w:type="dxa" w:w="496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Pemasangan fisik, pekerjaan sipil &amp; kelistrikan, K3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sz w:val="19"/>
        </w:rPr>
        <w:t>Alur data: GLD → (LoRa) → Cluster Head → (LoRa mesh) → Gateway → (Wi-Fi 2,4 GHz) → router LGU → (LAN Cat6 lokal, tanpa internet) → server. Server terhubung ke jaringan IT kantor untuk akses dashboard.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09360" cy="35174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yout_titik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17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 w:val="0"/>
          <w:i/>
          <w:color w:val="5B5B5B"/>
          <w:sz w:val="17"/>
        </w:rPr>
        <w:t>Gambar 3.2 Layout rencana titik pemasangan dari RU IV (2 Oktober 2026): GLD-1 &amp; GLD-2 dengan JB-1 &amp; JB-2, CH-1 s/d CH-3 di perimeter, GW-1 di gedung.</w:t>
      </w:r>
    </w:p>
    <w:p>
      <w:pPr>
        <w:pStyle w:val="Heading1"/>
      </w:pPr>
      <w:r>
        <w:rPr>
          <w:color w:val="1B2A4A"/>
        </w:rPr>
        <w:t>4. Penyesuaian desain selama periode laporan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2088"/>
        <w:gridCol w:w="5976"/>
        <w:gridCol w:w="1872"/>
      </w:tblGrid>
      <w:tr>
        <w:tc>
          <w:tcPr>
            <w:tcW w:type="dxa" w:w="2088"/>
            <w:shd w:val="clear" w:color="auto" w:fill="1B2A4A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Butir</w:t>
            </w:r>
          </w:p>
        </w:tc>
        <w:tc>
          <w:tcPr>
            <w:tcW w:type="dxa" w:w="5976"/>
            <w:shd w:val="clear" w:color="auto" w:fill="1B2A4A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Keputusan</w:t>
            </w:r>
          </w:p>
        </w:tc>
        <w:tc>
          <w:tcPr>
            <w:tcW w:type="dxa" w:w="1872"/>
            <w:shd w:val="clear" w:color="auto" w:fill="1B2A4A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Sumber</w:t>
            </w:r>
          </w:p>
        </w:tc>
      </w:tr>
      <w:tr>
        <w:tc>
          <w:tcPr>
            <w:tcW w:type="dxa" w:w="208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Tiang GLD</w:t>
            </w:r>
          </w:p>
        </w:tc>
        <w:tc>
          <w:tcPr>
            <w:tcW w:type="dxa" w:w="5976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Tiang baru pipa galvanis 2" Sch40 (OD 60,3 mm) ditanam &amp; dicor, 1,0 m di atas tanah; sensor ± 0,5 m dari tanah (gas lebih berat dari udara)</w:t>
            </w:r>
          </w:p>
        </w:tc>
        <w:tc>
          <w:tcPr>
            <w:tcW w:type="dxa" w:w="1872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Spesifikasi §3.1</w:t>
            </w:r>
          </w:p>
        </w:tc>
      </w:tr>
      <w:tr>
        <w:tc>
          <w:tcPr>
            <w:tcW w:type="dxa" w:w="2088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Tiang Cluster Head</w:t>
            </w:r>
          </w:p>
        </w:tc>
        <w:tc>
          <w:tcPr>
            <w:tcW w:type="dxa" w:w="5976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Pipa 2" Sch40 4,0 m; unit CH &amp; antena di atas tiang; bracket 2 panel surya diklem ke tiang (dibawa LGU)</w:t>
            </w:r>
          </w:p>
        </w:tc>
        <w:tc>
          <w:tcPr>
            <w:tcW w:type="dxa" w:w="1872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Spesifikasi §3.2</w:t>
            </w:r>
          </w:p>
        </w:tc>
      </w:tr>
      <w:tr>
        <w:tc>
          <w:tcPr>
            <w:tcW w:type="dxa" w:w="208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Dimensi CH besar</w:t>
            </w:r>
          </w:p>
        </w:tc>
        <w:tc>
          <w:tcPr>
            <w:tcW w:type="dxa" w:w="5976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± Ø76 × 104 mm (enclosure aluminium silinder)</w:t>
            </w:r>
          </w:p>
        </w:tc>
        <w:tc>
          <w:tcPr>
            <w:tcW w:type="dxa" w:w="1872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Daftar Perangkat</w:t>
            </w:r>
          </w:p>
        </w:tc>
      </w:tr>
      <w:tr>
        <w:tc>
          <w:tcPr>
            <w:tcW w:type="dxa" w:w="2088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Catu daya GLD</w:t>
            </w:r>
          </w:p>
        </w:tc>
        <w:tc>
          <w:tcPr>
            <w:tcW w:type="dxa" w:w="5976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24 VDC ≥ 1 A per unit (konsumsi ≈ 8 W); PSU di junction box SS316 per titik</w:t>
            </w:r>
          </w:p>
        </w:tc>
        <w:tc>
          <w:tcPr>
            <w:tcW w:type="dxa" w:w="1872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Block diagram 8 Okt</w:t>
            </w:r>
          </w:p>
        </w:tc>
      </w:tr>
      <w:tr>
        <w:tc>
          <w:tcPr>
            <w:tcW w:type="dxa" w:w="208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Cable entry GLD</w:t>
            </w:r>
          </w:p>
        </w:tc>
        <w:tc>
          <w:tcPr>
            <w:tcW w:type="dxa" w:w="5976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Gland M20 × 1,5</w:t>
            </w:r>
          </w:p>
        </w:tc>
        <w:tc>
          <w:tcPr>
            <w:tcW w:type="dxa" w:w="1872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Block diagram 8 Okt</w:t>
            </w:r>
          </w:p>
        </w:tc>
      </w:tr>
      <w:tr>
        <w:tc>
          <w:tcPr>
            <w:tcW w:type="dxa" w:w="2088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Gateway</w:t>
            </w:r>
          </w:p>
        </w:tc>
        <w:tc>
          <w:tcPr>
            <w:tcW w:type="dxa" w:w="5976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Di dalam gedung, 5 VDC lewat adaptor dari UPS; antena di luar pada mast</w:t>
            </w:r>
          </w:p>
        </w:tc>
        <w:tc>
          <w:tcPr>
            <w:tcW w:type="dxa" w:w="1872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Block diagram 8 Okt</w:t>
            </w:r>
          </w:p>
        </w:tc>
      </w:tr>
      <w:tr>
        <w:tc>
          <w:tcPr>
            <w:tcW w:type="dxa" w:w="208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Jaringan lokal</w:t>
            </w:r>
          </w:p>
        </w:tc>
        <w:tc>
          <w:tcPr>
            <w:tcW w:type="dxa" w:w="5976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Gateway → router Wi-Fi 2,4 GHz (LGU) → LAN Cat6 → server; tanpa internet</w:t>
            </w:r>
          </w:p>
        </w:tc>
        <w:tc>
          <w:tcPr>
            <w:tcW w:type="dxa" w:w="1872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Block diagram 8 Okt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1714500" cy="228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_bracket_solar_detail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2286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xmlns:a="http://schemas.openxmlformats.org/drawingml/2006/main" xmlns:pic="http://schemas.openxmlformats.org/drawingml/2006/picture">
            <wp:extent cx="1714500" cy="228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_mast_antena_atap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2286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</w:t>
      </w:r>
    </w:p>
    <w:p>
      <w:pPr>
        <w:spacing w:after="120"/>
      </w:pPr>
      <w:r>
        <w:rPr>
          <w:b w:val="0"/>
          <w:i/>
          <w:color w:val="5B5B5B"/>
          <w:sz w:val="17"/>
        </w:rPr>
        <w:t>Gambar 4.1 Konfigurasi Cluster Head dari uji LGU &amp; ITB: bracket 2 panel surya di tiang (kiri), unit CH &amp; antena di atas tiang (kanan).</w:t>
      </w:r>
    </w:p>
    <w:p>
      <w:pPr>
        <w:pStyle w:val="Heading1"/>
      </w:pPr>
      <w:r>
        <w:rPr>
          <w:color w:val="1B2A4A"/>
        </w:rPr>
        <w:t>5. Status kesiapan per pihak</w:t>
      </w:r>
    </w:p>
    <w:p>
      <w:pPr>
        <w:pStyle w:val="Heading2"/>
      </w:pPr>
      <w:r>
        <w:rPr>
          <w:color w:val="1B2A4A"/>
        </w:rPr>
        <w:t>5.1 LGU &amp; ITB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7776"/>
        <w:gridCol w:w="2160"/>
      </w:tblGrid>
      <w:tr>
        <w:tc>
          <w:tcPr>
            <w:tcW w:type="dxa" w:w="7776"/>
            <w:shd w:val="clear" w:color="auto" w:fill="1B2A4A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2160"/>
            <w:shd w:val="clear" w:color="auto" w:fill="1B2A4A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7776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Unit GLD (3 terpasang + 1 cadangan), Cluster Head (tersedia &gt; 5 unit), Gateway, router Wi-Fi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Siap</w:t>
            </w:r>
          </w:p>
        </w:tc>
      </w:tr>
      <w:tr>
        <w:tc>
          <w:tcPr>
            <w:tcW w:type="dxa" w:w="7776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Gas test chamber portable untuk pengambilan data di kantor kilang</w:t>
            </w:r>
          </w:p>
        </w:tc>
        <w:tc>
          <w:tcPr>
            <w:tcW w:type="dxa" w:w="2160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Siap</w:t>
            </w:r>
          </w:p>
        </w:tc>
      </w:tr>
      <w:tr>
        <w:tc>
          <w:tcPr>
            <w:tcW w:type="dxa" w:w="7776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Desain bracket/pelat U-bolt (CAD) untuk fabrikasi pelaksana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Diserahkan</w:t>
            </w:r>
          </w:p>
        </w:tc>
      </w:tr>
      <w:tr>
        <w:tc>
          <w:tcPr>
            <w:tcW w:type="dxa" w:w="7776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Spesifikasi Material Instalasi (rev 1.6) &amp; Daftar Perangkat (rev 1.3)</w:t>
            </w:r>
          </w:p>
        </w:tc>
        <w:tc>
          <w:tcPr>
            <w:tcW w:type="dxa" w:w="2160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Tersedia</w:t>
            </w:r>
          </w:p>
        </w:tc>
      </w:tr>
      <w:tr>
        <w:tc>
          <w:tcPr>
            <w:tcW w:type="dxa" w:w="7776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Matriks pembagian persiapan, daftar persiapan pelaksana, draf JSA/HSE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Diserahkan</w:t>
            </w:r>
          </w:p>
        </w:tc>
      </w:tr>
      <w:tr>
        <w:tc>
          <w:tcPr>
            <w:tcW w:type="dxa" w:w="7776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Konfigurasi PC server, MQTT broker, dashboard, dan router</w:t>
            </w:r>
          </w:p>
        </w:tc>
        <w:tc>
          <w:tcPr>
            <w:tcW w:type="dxa" w:w="2160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Disiapkan LGU, dipasang saat mobilisasi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1B2A4A"/>
        </w:rPr>
        <w:t>5.2 Pertamina RU IV (mengikuti proses RU IV)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7776"/>
        <w:gridCol w:w="2160"/>
      </w:tblGrid>
      <w:tr>
        <w:tc>
          <w:tcPr>
            <w:tcW w:type="dxa" w:w="7776"/>
            <w:shd w:val="clear" w:color="auto" w:fill="1B2A4A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2160"/>
            <w:shd w:val="clear" w:color="auto" w:fill="1B2A4A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7776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Kontrak jasa pelaksana instalasi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Proses kontrak RU IV</w:t>
            </w:r>
          </w:p>
        </w:tc>
      </w:tr>
      <w:tr>
        <w:tc>
          <w:tcPr>
            <w:tcW w:type="dxa" w:w="7776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Pengesahan TRA/JSA, izin kerja, izin masuk personel &amp; barang</w:t>
            </w:r>
          </w:p>
        </w:tc>
        <w:tc>
          <w:tcPr>
            <w:tcW w:type="dxa" w:w="2160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Menunggu proses RU IV</w:t>
            </w:r>
          </w:p>
        </w:tc>
      </w:tr>
      <w:tr>
        <w:tc>
          <w:tcPr>
            <w:tcW w:type="dxa" w:w="7776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Material: stanchion, pondasi, junction box SS316, PSU, kabel 24 VDC, grounding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Menunggu proses RU IV</w:t>
            </w:r>
          </w:p>
        </w:tc>
      </w:tr>
      <w:tr>
        <w:tc>
          <w:tcPr>
            <w:tcW w:type="dxa" w:w="7776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Server, UPS, jaringan IT, ruang Gateway</w:t>
            </w:r>
          </w:p>
        </w:tc>
        <w:tc>
          <w:tcPr>
            <w:tcW w:type="dxa" w:w="2160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Menunggu proses RU IV</w:t>
            </w:r>
          </w:p>
        </w:tc>
      </w:tr>
      <w:tr>
        <w:tc>
          <w:tcPr>
            <w:tcW w:type="dxa" w:w="7776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Fabrikasi pelat mounting &amp; pemasangan fisik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Setelah kontrak pelaksana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1B2A4A"/>
        </w:rPr>
        <w:t>6. Butir yang perlu dikonfirmasi RU IV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576"/>
        <w:gridCol w:w="6336"/>
        <w:gridCol w:w="3024"/>
      </w:tblGrid>
      <w:tr>
        <w:tc>
          <w:tcPr>
            <w:tcW w:type="dxa" w:w="576"/>
            <w:shd w:val="clear" w:color="auto" w:fill="1B2A4A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6336"/>
            <w:shd w:val="clear" w:color="auto" w:fill="1B2A4A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Butir</w:t>
            </w:r>
          </w:p>
        </w:tc>
        <w:tc>
          <w:tcPr>
            <w:tcW w:type="dxa" w:w="3024"/>
            <w:shd w:val="clear" w:color="auto" w:fill="1B2A4A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Dipakai untuk</w:t>
            </w:r>
          </w:p>
        </w:tc>
      </w:tr>
      <w:tr>
        <w:tc>
          <w:tcPr>
            <w:tcW w:type="dxa" w:w="576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6336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Jumlah titik final (layout 2 Oktober: 2 GLD, 3 CH, 1 Gateway, 2 junction box)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Volume material &amp; BoQ</w:t>
            </w:r>
          </w:p>
        </w:tc>
      </w:tr>
      <w:tr>
        <w:tc>
          <w:tcPr>
            <w:tcW w:type="dxa" w:w="576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6336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Dokumen klasifikasi area tertulis dari HSE bahwa titik Field non-ATEX (label "CL.I DV.I" sudah dihapus dari block diagram 8 Oktober)</w:t>
            </w:r>
          </w:p>
        </w:tc>
        <w:tc>
          <w:tcPr>
            <w:tcW w:type="dxa" w:w="3024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Dasar instalasi permanen</w:t>
            </w:r>
          </w:p>
        </w:tc>
      </w:tr>
      <w:tr>
        <w:tc>
          <w:tcPr>
            <w:tcW w:type="dxa" w:w="576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6336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Lokasi mast antena Gateway dan rute kabel koaksial (belum tergambar di block diagram)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Panjang &amp; tipe koaksial</w:t>
            </w:r>
          </w:p>
        </w:tc>
      </w:tr>
      <w:tr>
        <w:tc>
          <w:tcPr>
            <w:tcW w:type="dxa" w:w="576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6336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Penyedia adaptor Gateway &amp; router (usulan: disertakan LGU) dan letak UPS terhadap ruang Gateway</w:t>
            </w:r>
          </w:p>
        </w:tc>
        <w:tc>
          <w:tcPr>
            <w:tcW w:type="dxa" w:w="3024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Jalur 220 VAC ber-UPS</w:t>
            </w:r>
          </w:p>
        </w:tc>
      </w:tr>
      <w:tr>
        <w:tc>
          <w:tcPr>
            <w:tcW w:type="dxa" w:w="576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6336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Jarak rute kabel junction box → GLD (16 AWG cukup sampai ± 45 m)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Ukuran &amp; panjang kabel</w:t>
            </w:r>
          </w:p>
        </w:tc>
      </w:tr>
      <w:tr>
        <w:tc>
          <w:tcPr>
            <w:tcW w:type="dxa" w:w="576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6336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Standar grounding &amp; proteksi petir tiang CH / mast Gateway</w:t>
            </w:r>
          </w:p>
        </w:tc>
        <w:tc>
          <w:tcPr>
            <w:tcW w:type="dxa" w:w="3024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Item grounding</w:t>
            </w:r>
          </w:p>
        </w:tc>
      </w:tr>
      <w:tr>
        <w:tc>
          <w:tcPr>
            <w:tcW w:type="dxa" w:w="576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6336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Orientasi pelat U-bolt pada tiang vertikal (dicek bersama pelaksana sebelum fabrikasi)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Fabrikasi pelat</w:t>
            </w:r>
          </w:p>
        </w:tc>
      </w:tr>
      <w:tr>
        <w:tc>
          <w:tcPr>
            <w:tcW w:type="dxa" w:w="576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336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Pelaksana instalasi yang ditunjuk &amp; jadwal mobilisasi</w:t>
            </w:r>
          </w:p>
        </w:tc>
        <w:tc>
          <w:tcPr>
            <w:tcW w:type="dxa" w:w="3024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Jadwal pemasangan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1B2A4A"/>
        </w:rPr>
        <w:t>7. Langkah berikutnya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576"/>
        <w:gridCol w:w="7056"/>
        <w:gridCol w:w="2304"/>
      </w:tblGrid>
      <w:tr>
        <w:tc>
          <w:tcPr>
            <w:tcW w:type="dxa" w:w="576"/>
            <w:shd w:val="clear" w:color="auto" w:fill="1B2A4A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7056"/>
            <w:shd w:val="clear" w:color="auto" w:fill="1B2A4A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Kegiatan</w:t>
            </w:r>
          </w:p>
        </w:tc>
        <w:tc>
          <w:tcPr>
            <w:tcW w:type="dxa" w:w="2304"/>
            <w:shd w:val="clear" w:color="auto" w:fill="1B2A4A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Pihak</w:t>
            </w:r>
          </w:p>
        </w:tc>
      </w:tr>
      <w:tr>
        <w:tc>
          <w:tcPr>
            <w:tcW w:type="dxa" w:w="576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7056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Penyampaian dokumen rev terbaru (Spesifikasi 1.6, Daftar Perangkat 1.3, block diagram final)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LGU</w:t>
            </w:r>
          </w:p>
        </w:tc>
      </w:tr>
      <w:tr>
        <w:tc>
          <w:tcPr>
            <w:tcW w:type="dxa" w:w="576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7056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Konfirmasi butir Bagian 6; LGU menyesuaikan BoQ setelah jumlah titik final</w:t>
            </w:r>
          </w:p>
        </w:tc>
        <w:tc>
          <w:tcPr>
            <w:tcW w:type="dxa" w:w="2304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RU IV &amp; LGU</w:t>
            </w:r>
          </w:p>
        </w:tc>
      </w:tr>
      <w:tr>
        <w:tc>
          <w:tcPr>
            <w:tcW w:type="dxa" w:w="576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7056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Proses kontrak jasa pelaksana instalasi &amp; perizinan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RU IV</w:t>
            </w:r>
          </w:p>
        </w:tc>
      </w:tr>
      <w:tr>
        <w:tc>
          <w:tcPr>
            <w:tcW w:type="dxa" w:w="576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7056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Pengadaan material, pekerjaan sipil (tiang &amp; pondasi), junction box &amp; kabel daya</w:t>
            </w:r>
          </w:p>
        </w:tc>
        <w:tc>
          <w:tcPr>
            <w:tcW w:type="dxa" w:w="2304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Pelaksana RU IV</w:t>
            </w:r>
          </w:p>
        </w:tc>
      </w:tr>
      <w:tr>
        <w:tc>
          <w:tcPr>
            <w:tcW w:type="dxa" w:w="576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7056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Fabrikasi &amp; pemasangan pelat/bracket, GLD, CH, Gateway (supervisi LGU)</w:t>
            </w:r>
          </w:p>
        </w:tc>
        <w:tc>
          <w:tcPr>
            <w:tcW w:type="dxa" w:w="2304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Pelaksana RU IV &amp; LGU</w:t>
            </w:r>
          </w:p>
        </w:tc>
      </w:tr>
      <w:tr>
        <w:tc>
          <w:tcPr>
            <w:tcW w:type="dxa" w:w="576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7056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Instalasi PC server &amp; router, terminasi, energize, commissioning, SAT</w:t>
            </w:r>
          </w:p>
        </w:tc>
        <w:tc>
          <w:tcPr>
            <w:tcW w:type="dxa" w:w="2304"/>
            <w:shd w:val="clear" w:color="auto" w:fill="FAFAF8"/>
          </w:tcPr>
          <w:p>
            <w:pPr>
              <w:spacing w:after="20"/>
            </w:pPr>
            <w:r>
              <w:rPr>
                <w:b w:val="0"/>
                <w:i w:val="0"/>
                <w:sz w:val="18"/>
              </w:rPr>
              <w:t>LGU &amp; ITB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1B2A4A"/>
        </w:rPr>
        <w:t>8. Dokumen terkait</w:t>
      </w:r>
    </w:p>
    <w:p>
      <w:pPr>
        <w:pStyle w:val="ListBullet"/>
        <w:spacing w:after="60"/>
      </w:pPr>
      <w:r>
        <w:rPr>
          <w:b w:val="0"/>
          <w:i w:val="0"/>
          <w:sz w:val="19"/>
        </w:rPr>
        <w:t>Spesifikasi Material &amp; Kebutuhan Instalasi GLD — RU IV Cilacap, LGU/GLD/INSTALASI-SPEK/2026-001 rev 1.6 (9 Okt 2026)</w:t>
      </w:r>
    </w:p>
    <w:p>
      <w:pPr>
        <w:pStyle w:val="ListBullet"/>
        <w:spacing w:after="60"/>
      </w:pPr>
      <w:r>
        <w:rPr>
          <w:b w:val="0"/>
          <w:i w:val="0"/>
          <w:sz w:val="19"/>
        </w:rPr>
        <w:t>Daftar Perangkat dan Kebutuhan Pemasangan GLD, LGU/GLD/INSTALASI-PERANGKAT/2026-001 rev 1.3 (9 Okt 2026)</w:t>
      </w:r>
    </w:p>
    <w:p>
      <w:pPr>
        <w:pStyle w:val="ListBullet"/>
        <w:spacing w:after="60"/>
      </w:pPr>
      <w:r>
        <w:rPr>
          <w:b w:val="0"/>
          <w:i w:val="0"/>
          <w:sz w:val="19"/>
        </w:rPr>
        <w:t>Pembagian Persiapan Instalasi RU IV Cilacap rev 1.5 dan Daftar Persiapan Pelaksana Instalasi rev 1.2 (1 Okt 2026)</w:t>
      </w:r>
    </w:p>
    <w:p>
      <w:pPr>
        <w:pStyle w:val="ListBullet"/>
        <w:spacing w:after="60"/>
      </w:pPr>
      <w:r>
        <w:rPr>
          <w:b w:val="0"/>
          <w:i w:val="0"/>
          <w:sz w:val="19"/>
        </w:rPr>
        <w:t>Tanggapan Desain Pemasangan GLD RU IV Cilacap (2 Okt 2026)</w:t>
      </w:r>
    </w:p>
    <w:p>
      <w:pPr>
        <w:pStyle w:val="ListBullet"/>
        <w:spacing w:after="60"/>
      </w:pPr>
      <w:r>
        <w:rPr>
          <w:b w:val="0"/>
          <w:i w:val="0"/>
          <w:sz w:val="19"/>
        </w:rPr>
        <w:t>Block diagram lingkup final dan layout titik pemasangan dari RU IV (2 &amp; 8 Okt 2026)</w:t>
      </w:r>
    </w:p>
    <w:p>
      <w:pPr>
        <w:pStyle w:val="ListBullet"/>
        <w:spacing w:after="60"/>
      </w:pPr>
      <w:r>
        <w:rPr>
          <w:b w:val="0"/>
          <w:i w:val="0"/>
          <w:sz w:val="19"/>
        </w:rPr>
        <w:t>Minutes of Meeting Koordinasi Persiapan Pemasangan GLD RU IV Cilacap (29 Sep 2026)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936" w:val="right"/>
      </w:tabs>
    </w:pPr>
    <w:r>
      <w:rPr>
        <w:color w:val="5B5B5B"/>
        <w:sz w:val="16"/>
      </w:rPr>
      <w:t>LGU/GLD/LAP-INSTALASI/2026-001  ·  Rev. 1.0  ·  9 Oktober 2026</w:t>
    </w:r>
    <w:r>
      <w:rPr>
        <w:color w:val="5B5B5B"/>
        <w:sz w:val="16"/>
      </w:rPr>
      <w:tab/>
    </w:r>
    <w:r>
      <w:rPr>
        <w:color w:val="5B5B5B"/>
        <w:sz w:val="16"/>
      </w:rPr>
      <w:fldChar w:fldCharType="begin"/>
      <w:instrText xml:space="preserve">PAGE</w:instrText>
    </w:r>
    <w:r>
      <w:rPr>
        <w:color w:val="5B5B5B"/>
        <w:sz w:val="16"/>
      </w:rPr>
      <w:fldChar w:fldCharType="separate"/>
    </w:r>
    <w:r>
      <w:rPr>
        <w:color w:val="5B5B5B"/>
        <w:sz w:val="16"/>
      </w:rPr>
      <w:t>1</w:t>
    </w:r>
    <w:r>
      <w:rPr>
        <w:color w:val="5B5B5B"/>
        <w:sz w:val="16"/>
      </w:rPr>
      <w:fldChar w:fldCharType="end"/>
    </w:r>
    <w:r>
      <w:rPr>
        <w:color w:val="5B5B5B"/>
        <w:sz w:val="16"/>
      </w:rPr>
      <w:t xml:space="preserve"> dari </w:t>
    </w:r>
    <w:r>
      <w:rPr>
        <w:color w:val="5B5B5B"/>
        <w:sz w:val="16"/>
      </w:rPr>
      <w:fldChar w:fldCharType="begin"/>
      <w:instrText xml:space="preserve">NUMPAGES</w:instrText>
    </w:r>
    <w:r>
      <w:rPr>
        <w:color w:val="5B5B5B"/>
        <w:sz w:val="16"/>
      </w:rPr>
      <w:fldChar w:fldCharType="separate"/>
    </w:r>
    <w:r>
      <w:rPr>
        <w:color w:val="5B5B5B"/>
        <w:sz w:val="16"/>
      </w:rPr>
      <w:t>1</w:t>
    </w:r>
    <w:r>
      <w:rPr>
        <w:color w:val="5B5B5B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5B5B5B"/>
        <w:sz w:val="16"/>
      </w:rPr>
      <w:t>Laporan Progres Pekerjaan Instalasi GLD — RU IV Cilacap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8" w:lineRule="auto"/>
    </w:pPr>
    <w:rPr>
      <w:rFonts w:ascii="Calibri" w:hAnsi="Calibri"/>
      <w:color w:val="1F1F1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