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CERTIFICATION INFORMATION REQUIREMENTS — FILLED WORKING COPY</w:t>
      </w:r>
    </w:p>
    <w:p>
      <w:pPr>
        <w:pStyle w:val="Title"/>
        <w:spacing w:after="80"/>
      </w:pPr>
      <w:r>
        <w:rPr>
          <w:b/>
          <w:color w:val="1A2B3D"/>
          <w:sz w:val="40"/>
        </w:rPr>
        <w:t>IECEx/ATEX Certification Information Requirements</w:t>
      </w:r>
    </w:p>
    <w:p>
      <w:pPr>
        <w:spacing w:after="200"/>
      </w:pPr>
      <w:r>
        <w:rPr>
          <w:b/>
          <w:color w:val="4A4A4A"/>
          <w:sz w:val="30"/>
        </w:rPr>
        <w:t>Gas Leak Detector (GLD) V2</w:t>
      </w:r>
    </w:p>
    <w:p>
      <w:pPr>
        <w:spacing w:after="160"/>
      </w:pPr>
      <w:r>
        <w:rPr>
          <w:b w:val="0"/>
          <w:i w:val="0"/>
          <w:sz w:val="21"/>
        </w:rPr>
        <w:t>This document follows, item by item, the section order of the ExCB checklist as it appears in the internal working-draft template (source file below), filled in with GLD's confirmed design data. Task-style annotations from that working draft have been rewritten here as professional status notes.</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3024"/>
            <w:shd w:val="clear" w:color="auto" w:fill="EFEFEF"/>
          </w:tcPr>
          <w:p>
            <w:pPr>
              <w:spacing w:after="40"/>
            </w:pPr>
            <w:r>
              <w:rPr>
                <w:b/>
                <w:color w:val="4A4A4A"/>
                <w:sz w:val="19"/>
              </w:rPr>
              <w:t>Document title</w:t>
            </w:r>
          </w:p>
        </w:tc>
        <w:tc>
          <w:tcPr>
            <w:tcW w:type="dxa" w:w="6336"/>
          </w:tcPr>
          <w:p>
            <w:pPr>
              <w:spacing w:after="40"/>
            </w:pPr>
            <w:r>
              <w:rPr>
                <w:sz w:val="20"/>
              </w:rPr>
              <w:t>IECEx/ATEX Certification Information Requirements — Gas Leak Detector (GLD) V2 (Filled Working Copy)</w:t>
            </w:r>
          </w:p>
        </w:tc>
      </w:tr>
      <w:tr>
        <w:tc>
          <w:tcPr>
            <w:tcW w:type="dxa" w:w="3024"/>
            <w:shd w:val="clear" w:color="auto" w:fill="EFEFEF"/>
          </w:tcPr>
          <w:p>
            <w:pPr>
              <w:spacing w:after="40"/>
            </w:pPr>
            <w:r>
              <w:rPr>
                <w:b/>
                <w:color w:val="4A4A4A"/>
                <w:sz w:val="19"/>
              </w:rPr>
              <w:t>Document no.</w:t>
            </w:r>
          </w:p>
        </w:tc>
        <w:tc>
          <w:tcPr>
            <w:tcW w:type="dxa" w:w="6336"/>
          </w:tcPr>
          <w:p>
            <w:pPr>
              <w:spacing w:after="40"/>
            </w:pPr>
            <w:r>
              <w:rPr>
                <w:sz w:val="20"/>
              </w:rPr>
              <w:t>GMI/GLD/IECEX-CIR/2026-001</w:t>
            </w:r>
          </w:p>
        </w:tc>
      </w:tr>
      <w:tr>
        <w:tc>
          <w:tcPr>
            <w:tcW w:type="dxa" w:w="3024"/>
            <w:shd w:val="clear" w:color="auto" w:fill="EFEFEF"/>
          </w:tcPr>
          <w:p>
            <w:pPr>
              <w:spacing w:after="40"/>
            </w:pPr>
            <w:r>
              <w:rPr>
                <w:b/>
                <w:color w:val="4A4A4A"/>
                <w:sz w:val="19"/>
              </w:rPr>
              <w:t>Revision</w:t>
            </w:r>
          </w:p>
        </w:tc>
        <w:tc>
          <w:tcPr>
            <w:tcW w:type="dxa" w:w="6336"/>
          </w:tcPr>
          <w:p>
            <w:pPr>
              <w:spacing w:after="40"/>
            </w:pPr>
            <w:r>
              <w:rPr>
                <w:sz w:val="20"/>
              </w:rPr>
              <w:t>1.8</w:t>
            </w:r>
          </w:p>
        </w:tc>
      </w:tr>
      <w:tr>
        <w:tc>
          <w:tcPr>
            <w:tcW w:type="dxa" w:w="3024"/>
            <w:shd w:val="clear" w:color="auto" w:fill="EFEFEF"/>
          </w:tcPr>
          <w:p>
            <w:pPr>
              <w:spacing w:after="40"/>
            </w:pPr>
            <w:r>
              <w:rPr>
                <w:b/>
                <w:color w:val="4A4A4A"/>
                <w:sz w:val="19"/>
              </w:rPr>
              <w:t>Date</w:t>
            </w:r>
          </w:p>
        </w:tc>
        <w:tc>
          <w:tcPr>
            <w:tcW w:type="dxa" w:w="6336"/>
          </w:tcPr>
          <w:p>
            <w:pPr>
              <w:spacing w:after="40"/>
            </w:pPr>
            <w:r>
              <w:rPr>
                <w:sz w:val="20"/>
              </w:rPr>
              <w:t>7 October 2026</w:t>
            </w:r>
          </w:p>
        </w:tc>
      </w:tr>
      <w:tr>
        <w:tc>
          <w:tcPr>
            <w:tcW w:type="dxa" w:w="3024"/>
            <w:shd w:val="clear" w:color="auto" w:fill="EFEFEF"/>
          </w:tcPr>
          <w:p>
            <w:pPr>
              <w:spacing w:after="40"/>
            </w:pPr>
            <w:r>
              <w:rPr>
                <w:b/>
                <w:color w:val="4A4A4A"/>
                <w:sz w:val="19"/>
              </w:rPr>
              <w:t>Status</w:t>
            </w:r>
          </w:p>
        </w:tc>
        <w:tc>
          <w:tcPr>
            <w:tcW w:type="dxa" w:w="6336"/>
          </w:tcPr>
          <w:p>
            <w:pPr>
              <w:spacing w:after="40"/>
            </w:pPr>
            <w:r>
              <w:rPr>
                <w:sz w:val="20"/>
              </w:rPr>
              <w:t>Working Document — Draft for Internal Review</w:t>
            </w:r>
          </w:p>
        </w:tc>
      </w:tr>
      <w:tr>
        <w:tc>
          <w:tcPr>
            <w:tcW w:type="dxa" w:w="3024"/>
            <w:shd w:val="clear" w:color="auto" w:fill="EFEFEF"/>
          </w:tcPr>
          <w:p>
            <w:pPr>
              <w:spacing w:after="40"/>
            </w:pPr>
            <w:r>
              <w:rPr>
                <w:b/>
                <w:color w:val="4A4A4A"/>
                <w:sz w:val="19"/>
              </w:rPr>
              <w:t>Classification</w:t>
            </w:r>
          </w:p>
        </w:tc>
        <w:tc>
          <w:tcPr>
            <w:tcW w:type="dxa" w:w="6336"/>
          </w:tcPr>
          <w:p>
            <w:pPr>
              <w:spacing w:after="40"/>
            </w:pPr>
            <w:r>
              <w:rPr>
                <w:sz w:val="20"/>
              </w:rPr>
              <w:t>Confidential — prepared for ATEX/IECEx certification body (ExCB) submission</w:t>
            </w:r>
          </w:p>
        </w:tc>
      </w:tr>
      <w:tr>
        <w:tc>
          <w:tcPr>
            <w:tcW w:type="dxa" w:w="3024"/>
            <w:shd w:val="clear" w:color="auto" w:fill="EFEFEF"/>
          </w:tcPr>
          <w:p>
            <w:pPr>
              <w:spacing w:after="40"/>
            </w:pPr>
            <w:r>
              <w:rPr>
                <w:b/>
                <w:color w:val="4A4A4A"/>
                <w:sz w:val="19"/>
              </w:rPr>
              <w:t>Based on (source template)</w:t>
            </w:r>
          </w:p>
        </w:tc>
        <w:tc>
          <w:tcPr>
            <w:tcW w:type="dxa" w:w="6336"/>
          </w:tcPr>
          <w:p>
            <w:pPr>
              <w:spacing w:after="40"/>
            </w:pPr>
            <w:r>
              <w:rPr>
                <w:sz w:val="20"/>
              </w:rPr>
              <w:t>IECEx ATEX Certification Information Requirements_Rev18092026.docx (internal working draft, 18 Sep 2026)</w:t>
            </w:r>
          </w:p>
        </w:tc>
      </w:tr>
      <w:tr>
        <w:tc>
          <w:tcPr>
            <w:tcW w:type="dxa" w:w="3024"/>
            <w:shd w:val="clear" w:color="auto" w:fill="EFEFEF"/>
          </w:tcPr>
          <w:p>
            <w:pPr>
              <w:spacing w:after="40"/>
            </w:pPr>
            <w:r>
              <w:rPr>
                <w:b/>
                <w:color w:val="4A4A4A"/>
                <w:sz w:val="19"/>
              </w:rPr>
              <w:t>Applicant / Manufacturer</w:t>
            </w:r>
          </w:p>
        </w:tc>
        <w:tc>
          <w:tcPr>
            <w:tcW w:type="dxa" w:w="6336"/>
          </w:tcPr>
          <w:p>
            <w:pPr>
              <w:spacing w:after="40"/>
            </w:pPr>
            <w:r>
              <w:rPr>
                <w:sz w:val="20"/>
              </w:rPr>
              <w:t>PT Galaksi Megatama Indonesia</w:t>
            </w:r>
          </w:p>
        </w:tc>
      </w:tr>
      <w:tr>
        <w:tc>
          <w:tcPr>
            <w:tcW w:type="dxa" w:w="3024"/>
            <w:shd w:val="clear" w:color="auto" w:fill="EFEFEF"/>
          </w:tcPr>
          <w:p>
            <w:pPr>
              <w:spacing w:after="40"/>
            </w:pPr>
            <w:r>
              <w:rPr>
                <w:b/>
                <w:color w:val="4A4A4A"/>
                <w:sz w:val="19"/>
              </w:rPr>
              <w:t>Companion document</w:t>
            </w:r>
          </w:p>
        </w:tc>
        <w:tc>
          <w:tcPr>
            <w:tcW w:type="dxa" w:w="6336"/>
          </w:tcPr>
          <w:p>
            <w:pPr>
              <w:spacing w:after="40"/>
            </w:pPr>
            <w:r>
              <w:rPr>
                <w:sz w:val="20"/>
              </w:rPr>
              <w:t>Dokumen_Teknis_Sertifikasi_GLD_IECEx_ATEX (exhaustive item-by-item status tracking) — authoritative for item-level status where the two documents differ</w:t>
            </w:r>
          </w:p>
        </w:tc>
      </w:tr>
    </w:tbl>
    <w:p>
      <w:pPr>
        <w:spacing w:after="20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pPr>
        <w:spacing w:after="8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22 September 2026</w:t>
            </w:r>
          </w:p>
        </w:tc>
        <w:tc>
          <w:tcPr>
            <w:tcW w:type="dxa" w:w="6192"/>
          </w:tcPr>
          <w:p>
            <w:pPr>
              <w:spacing w:after="40"/>
            </w:pPr>
            <w:r>
              <w:rPr>
                <w:sz w:val="19"/>
              </w:rPr>
              <w:t>Initial issue — filled in against the internal working-draft template (IECEx ATEX Certification Information Requirements_Rev18092026.docx), covering all three sections of the checklist.</w:t>
            </w:r>
          </w:p>
        </w:tc>
      </w:tr>
      <w:tr>
        <w:tc>
          <w:tcPr>
            <w:tcW w:type="dxa" w:w="1296"/>
          </w:tcPr>
          <w:p>
            <w:pPr>
              <w:spacing w:after="40"/>
            </w:pPr>
            <w:r>
              <w:rPr>
                <w:sz w:val="19"/>
              </w:rPr>
              <w:t>0.2</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cable gland confirmed as M20×1.5 (IP66-rated) — all raised to Final (Section 2.3). Power consumption rounded to 8 W. Removed the ambiguous “no plastic or PVC” parenthetical from the product description (Section 2.1) and generalized “L-bracket” to “bracket” in that same narrative sentence (the dimensioned bracket/U-bolt specification in Section 2.3 is unaffected). “GLD V2 (Version 2)” simplified to “GLD V2”. Layout fix: kept the Section 2.6.b BOM paragraph together across the page break.</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“Bracket”/“L-bracket” terminology corrected throughout to “U-bolt mounting plate” (Sections 2.1, 2.3, 2.6.a), matching the actual CAD drawing (a flat 250×250 mm plate secured by 2× U-bolts — not an angled/L-shaped bracket).</w:t>
            </w:r>
          </w:p>
        </w:tc>
      </w:tr>
      <w:tr>
        <w:tc>
          <w:tcPr>
            <w:tcW w:type="dxa" w:w="1296"/>
          </w:tcPr>
          <w:p>
            <w:pPr>
              <w:spacing w:after="40"/>
            </w:pPr>
            <w:r>
              <w:rPr>
                <w:sz w:val="19"/>
              </w:rPr>
              <w:t>0.4</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 2.3) updated to 2.378 kg, −20°C to +60°C, and 5–95% RH respectively, per current project specification data.</w:t>
            </w:r>
          </w:p>
        </w:tc>
      </w:tr>
      <w:tr>
        <w:tc>
          <w:tcPr>
            <w:tcW w:type="dxa" w:w="1296"/>
          </w:tcPr>
          <w:p>
            <w:pPr>
              <w:spacing w:after="40"/>
            </w:pPr>
            <w:r>
              <w:rPr>
                <w:sz w:val="19"/>
              </w:rPr>
              <w:t>0.5</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 2.5 — selected over Ex e and Ex i based on the existing ADC12 die-cast enclosure with a stainless-steel mesh flame path and the MQ-sensor heaters' continuous, unregulated power draw. Section 2.6.e updated accordingly. Still an internal recommendation, not an ExCB decision.</w:t>
            </w:r>
          </w:p>
        </w:tc>
      </w:tr>
      <w:tr>
        <w:tc>
          <w:tcPr>
            <w:tcW w:type="dxa" w:w="1296"/>
          </w:tcPr>
          <w:p>
            <w:pPr>
              <w:spacing w:after="40"/>
            </w:pPr>
            <w:r>
              <w:rPr>
                <w:sz w:val="19"/>
              </w:rPr>
              <w:t>0.6</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(document number prefix changed to GMI/...). The separate “design and development authority” and “technical partner” entries were removed (letterhead, Document Control, Sections 1.2, 1.4).</w:t>
            </w:r>
          </w:p>
        </w:tc>
      </w:tr>
      <w:tr>
        <w:tc>
          <w:tcPr>
            <w:tcW w:type="dxa" w:w="1296"/>
          </w:tcPr>
          <w:p>
            <w:pPr>
              <w:spacing w:after="40"/>
            </w:pPr>
            <w:r>
              <w:rPr>
                <w:sz w:val="19"/>
              </w:rPr>
              <w:t>0.7</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(normal, maximum-load and fan-stalled conditions), extrapolated to +60°C ambient: highest value ≈114°C against an effective T4 limit of 130°C. Status raised to Partially available; open measurement items listed.</w:t>
            </w:r>
          </w:p>
        </w:tc>
      </w:tr>
      <w:tr>
        <w:tc>
          <w:tcPr>
            <w:tcW w:type="dxa" w:w="1296"/>
          </w:tcPr>
          <w:p>
            <w:pPr>
              <w:spacing w:after="40"/>
            </w:pPr>
            <w:r>
              <w:rPr>
                <w:sz w:val="19"/>
              </w:rPr>
              <w:t>0.8</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w:t>
            </w:r>
          </w:p>
        </w:tc>
      </w:tr>
      <w:tr>
        <w:tc>
          <w:tcPr>
            <w:tcW w:type="dxa" w:w="1296"/>
          </w:tcPr>
          <w:p>
            <w:pPr>
              <w:spacing w:after="40"/>
            </w:pPr>
            <w:r>
              <w:rPr>
                <w:sz w:val="19"/>
              </w:rPr>
              <w:t>0.9</w:t>
            </w:r>
          </w:p>
        </w:tc>
        <w:tc>
          <w:tcPr>
            <w:tcW w:type="dxa" w:w="1872"/>
          </w:tcPr>
          <w:p>
            <w:pPr>
              <w:spacing w:after="40"/>
            </w:pPr>
            <w:r>
              <w:rPr>
                <w:sz w:val="19"/>
              </w:rPr>
              <w:t>7 October 2026</w:t>
            </w:r>
          </w:p>
        </w:tc>
        <w:tc>
          <w:tcPr>
            <w:tcW w:type="dxa" w:w="6192"/>
          </w:tcPr>
          <w:p>
            <w:pPr>
              <w:spacing w:after="40"/>
            </w:pPr>
            <w:r>
              <w:rPr>
                <w:sz w:val="19"/>
              </w:rPr>
              <w:t>Section 2.6.a.1 added: complete mechanical, enclosure and assembly drawing set (ATEX CASING v2 sheet and six CAD views, all seven GLD ATEX CASE v3 sheets, BP18-1Z supplier drawing, component/structure/terminal/grounding drawings, assembly sequence and MQ sensor dimension drawings), with a drawing register.</w:t>
            </w:r>
          </w:p>
        </w:tc>
      </w:tr>
      <w:tr>
        <w:tc>
          <w:tcPr>
            <w:tcW w:type="dxa" w:w="1296"/>
          </w:tcPr>
          <w:p>
            <w:pPr>
              <w:spacing w:after="40"/>
            </w:pPr>
            <w:r>
              <w:rPr>
                <w:sz w:val="19"/>
              </w:rPr>
              <w:t>1.0</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3.3–3.4 sample register (GLD2-0x1001) and fixtures; compliance matrix.</w:t>
            </w:r>
          </w:p>
        </w:tc>
      </w:tr>
      <w:tr>
        <w:tc>
          <w:tcPr>
            <w:tcW w:type="dxa" w:w="1296"/>
          </w:tcPr>
          <w:p>
            <w:pPr>
              <w:spacing w:after="40"/>
            </w:pPr>
            <w:r>
              <w:rPr>
                <w:sz w:val="19"/>
              </w:rPr>
              <w:t>1.1</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Figures 4-101–4-123); EX-05 fan model (CIXIKEJI CX5010B5H, 5 V 0.23 A), EX-07 polymer prototype gland to be replaced by a certified Ex d gland, EX-08/EX-12/EX-17 and photo-coverage table updated.</w:t>
            </w:r>
          </w:p>
        </w:tc>
      </w:tr>
      <w:tr>
        <w:tc>
          <w:tcPr>
            <w:tcW w:type="dxa" w:w="1296"/>
          </w:tcPr>
          <w:p>
            <w:pPr>
              <w:spacing w:after="40"/>
            </w:pPr>
            <w:r>
              <w:rPr>
                <w:sz w:val="19"/>
              </w:rPr>
              <w:t>1.2</w:t>
            </w:r>
          </w:p>
        </w:tc>
        <w:tc>
          <w:tcPr>
            <w:tcW w:type="dxa" w:w="1872"/>
          </w:tcPr>
          <w:p>
            <w:pPr>
              <w:spacing w:after="40"/>
            </w:pPr>
            <w:r>
              <w:rPr>
                <w:sz w:val="19"/>
              </w:rPr>
              <w:t>7 October 2026</w:t>
            </w:r>
          </w:p>
        </w:tc>
        <w:tc>
          <w:tcPr>
            <w:tcW w:type="dxa" w:w="6192"/>
          </w:tcPr>
          <w:p>
            <w:pPr>
              <w:spacing w:after="40"/>
            </w:pPr>
            <w:r>
              <w:rPr>
                <w:sz w:val="19"/>
              </w:rPr>
              <w:t>Section 2.6.a.8: GLD V4 main board and PCB cover (terminal board) renders added (Figure 8-11) with the changes from V3.</w:t>
            </w:r>
          </w:p>
        </w:tc>
      </w:tr>
      <w:tr>
        <w:tc>
          <w:tcPr>
            <w:tcW w:type="dxa" w:w="1296"/>
          </w:tcPr>
          <w:p>
            <w:pPr>
              <w:spacing w:after="40"/>
            </w:pPr>
            <w:r>
              <w:rPr>
                <w:sz w:val="19"/>
              </w:rPr>
              <w:t>1.3</w:t>
            </w:r>
          </w:p>
        </w:tc>
        <w:tc>
          <w:tcPr>
            <w:tcW w:type="dxa" w:w="1872"/>
          </w:tcPr>
          <w:p>
            <w:pPr>
              <w:spacing w:after="40"/>
            </w:pPr>
            <w:r>
              <w:rPr>
                <w:sz w:val="19"/>
              </w:rPr>
              <w:t>7 October 2026</w:t>
            </w:r>
          </w:p>
        </w:tc>
        <w:tc>
          <w:tcPr>
            <w:tcW w:type="dxa" w:w="6192"/>
          </w:tcPr>
          <w:p>
            <w:pPr>
              <w:spacing w:after="40"/>
            </w:pPr>
            <w:r>
              <w:rPr>
                <w:sz w:val="19"/>
              </w:rPr>
              <w:t>Nameplate location added: top face of the base beside the antenna (Figure 4-124; 2.6.h.1).</w:t>
            </w:r>
          </w:p>
        </w:tc>
      </w:tr>
      <w:tr>
        <w:tc>
          <w:tcPr>
            <w:tcW w:type="dxa" w:w="1296"/>
          </w:tcPr>
          <w:p>
            <w:pPr>
              <w:spacing w:after="40"/>
            </w:pPr>
            <w:r>
              <w:rPr>
                <w:sz w:val="19"/>
              </w:rPr>
              <w:t>1.4</w:t>
            </w:r>
          </w:p>
        </w:tc>
        <w:tc>
          <w:tcPr>
            <w:tcW w:type="dxa" w:w="1872"/>
          </w:tcPr>
          <w:p>
            <w:pPr>
              <w:spacing w:after="40"/>
            </w:pPr>
            <w:r>
              <w:rPr>
                <w:sz w:val="19"/>
              </w:rPr>
              <w:t>7 October 2026</w:t>
            </w:r>
          </w:p>
        </w:tc>
        <w:tc>
          <w:tcPr>
            <w:tcW w:type="dxa" w:w="6192"/>
          </w:tcPr>
          <w:p>
            <w:pPr>
              <w:spacing w:after="40"/>
            </w:pPr>
            <w:r>
              <w:rPr>
                <w:sz w:val="19"/>
              </w:rPr>
              <w:t>Antenna interface photographs added (Figures 4-125, 4-126); EX-09 updated.</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Estimated thread dimensions added (Figure 4-127; e.3.12): cover ≈M100 × 2, entries M20 × 1.5, antenna SMA 1/4″-36 UNS — estimates pending the enclosure drawing.</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Caliper measurements of the base and cover O-ring added (Figures 4-128–4-132; e.3.12, EX-01/02/06): neck wall 10.50/5.80 mm, thread height ≈14.8 mm, bore ≈Ø84.7 mm, O-ring cord Ø2.70 mm; cover thread re-estimated ≈M96 × 1.5.</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Further measurements added (Figures 4-133–4-137): base depth ≈45 mm, cover thread length ≈18.9 mm, cover depth ≈47.5 mm, O-ring OD ≈91.0 mm; free volume ≈0.4 L (indicative).</w:t>
            </w:r>
          </w:p>
        </w:tc>
      </w:tr>
      <w:tr>
        <w:tc>
          <w:tcPr>
            <w:tcW w:type="dxa" w:w="1296"/>
          </w:tcPr>
          <w:p>
            <w:pPr>
              <w:spacing w:after="40"/>
            </w:pPr>
            <w:r>
              <w:rPr>
                <w:sz w:val="19"/>
              </w:rPr>
              <w:t>1.8</w:t>
            </w:r>
          </w:p>
        </w:tc>
        <w:tc>
          <w:tcPr>
            <w:tcW w:type="dxa" w:w="1872"/>
          </w:tcPr>
          <w:p>
            <w:pPr>
              <w:spacing w:after="40"/>
            </w:pPr>
            <w:r>
              <w:rPr>
                <w:sz w:val="19"/>
              </w:rPr>
              <w:t>7 October 2026</w:t>
            </w:r>
          </w:p>
        </w:tc>
        <w:tc>
          <w:tcPr>
            <w:tcW w:type="dxa" w:w="6192"/>
          </w:tcPr>
          <w:p>
            <w:pPr>
              <w:spacing w:after="40"/>
            </w:pPr>
            <w:r>
              <w:rPr>
                <w:sz w:val="19"/>
              </w:rPr>
              <w:t>Measured sketches MS-01…MS-04 of the cover-to-base joint added (e.3.13), illustrative, from caliper measurements.</w:t>
            </w:r>
          </w:p>
        </w:tc>
      </w:tr>
    </w:tbl>
    <w:p>
      <w:r>
        <w:br w:type="page"/>
      </w:r>
    </w:p>
    <w:p>
      <w:pPr>
        <w:spacing w:after="120"/>
      </w:pPr>
      <w:r>
        <w:rPr>
          <w:b/>
          <w:i w:val="0"/>
          <w:color w:val="1A2B3D"/>
          <w:sz w:val="26"/>
        </w:rPr>
        <w:t>Table of Contents</w:t>
      </w:r>
    </w:p>
    <w:p>
      <w:r>
        <w:fldChar w:fldCharType="begin"/>
        <w:instrText xml:space="preserve">TOC \o "1-2" \h \z \u</w:instrText>
      </w:r>
      <w:r>
        <w:fldChar w:fldCharType="separate"/>
      </w:r>
      <w:r>
        <w:t>Right-click and choose Update Field to generate the table of contents.</w:t>
      </w:r>
      <w:r>
        <w:fldChar w:fldCharType="end"/>
      </w:r>
    </w:p>
    <w:p>
      <w:r>
        <w:br w:type="page"/>
      </w:r>
    </w:p>
    <w:p>
      <w:pPr>
        <w:pStyle w:val="Heading1"/>
      </w:pPr>
      <w:r>
        <w:t>1. Basic Information (Application and Organization)</w:t>
      </w:r>
    </w:p>
    <w:p>
      <w:pPr>
        <w:spacing w:after="160"/>
      </w:pPr>
      <w:r>
        <w:rPr>
          <w:b w:val="0"/>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pPr>
        <w:pStyle w:val="Heading2"/>
      </w:pPr>
      <w:r>
        <w:t>1.1 · Application Form</w:t>
      </w:r>
    </w:p>
    <w:p>
      <w:pPr>
        <w:spacing w:after="160"/>
      </w:pPr>
      <w:r>
        <w:rPr>
          <w:b w:val="0"/>
          <w:i w:val="0"/>
          <w:sz w:val="21"/>
        </w:rPr>
        <w:t>Issued by the ExCB as a template; not yet received.</w:t>
      </w:r>
    </w:p>
    <w:p>
      <w:pPr>
        <w:spacing w:after="200"/>
      </w:pPr>
      <w:r>
        <w:rPr>
          <w:b/>
          <w:color w:val="4A4A4A"/>
          <w:sz w:val="19"/>
        </w:rPr>
        <w:t xml:space="preserve">Status: </w:t>
      </w:r>
      <w:r>
        <w:rPr>
          <w:i/>
          <w:color w:val="4A4A4A"/>
          <w:sz w:val="19"/>
        </w:rPr>
        <w:t>Template not yet received from the ExCB.</w:t>
      </w:r>
    </w:p>
    <w:p>
      <w:pPr>
        <w:pStyle w:val="Heading2"/>
      </w:pPr>
      <w:r>
        <w:t>1.2 · Manufacturer's Business License / Company Registration Certificate</w:t>
      </w:r>
    </w:p>
    <w:p>
      <w:pPr>
        <w:spacing w:after="160"/>
      </w:pPr>
      <w:r>
        <w:rPr>
          <w:b w:val="0"/>
          <w:i w:val="0"/>
          <w:sz w:val="21"/>
        </w:rPr>
        <w:t>The Applicant and Manufacturer named in this application is PT Galaksi Megatama Indonesia, which holds the Indonesian industrial manufacturing business license (NIB) relevant to fabricating the equipment.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Particular</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Registered legal name</w:t>
            </w:r>
          </w:p>
        </w:tc>
        <w:tc>
          <w:tcPr>
            <w:tcW w:type="dxa" w:w="6048"/>
          </w:tcPr>
          <w:p>
            <w:pPr>
              <w:spacing w:after="40"/>
            </w:pPr>
            <w:r>
              <w:rPr>
                <w:sz w:val="19"/>
              </w:rPr>
              <w:t>PT Galaksi Megatama Indonesia</w:t>
            </w:r>
          </w:p>
        </w:tc>
      </w:tr>
      <w:tr>
        <w:tc>
          <w:tcPr>
            <w:tcW w:type="dxa" w:w="3312"/>
          </w:tcPr>
          <w:p>
            <w:pPr>
              <w:spacing w:after="40"/>
            </w:pPr>
            <w:r>
              <w:rPr>
                <w:sz w:val="19"/>
              </w:rPr>
              <w:t>Legal form</w:t>
            </w:r>
          </w:p>
        </w:tc>
        <w:tc>
          <w:tcPr>
            <w:tcW w:type="dxa" w:w="6048"/>
          </w:tcPr>
          <w:p>
            <w:pPr>
              <w:spacing w:after="40"/>
            </w:pPr>
            <w:r>
              <w:rPr>
                <w:sz w:val="19"/>
              </w:rPr>
              <w:t>Perseroan Terbatas (limited liability company), National Private / PMDN, Small Enterprise scale</w:t>
            </w:r>
          </w:p>
        </w:tc>
      </w:tr>
      <w:tr>
        <w:tc>
          <w:tcPr>
            <w:tcW w:type="dxa" w:w="3312"/>
          </w:tcPr>
          <w:p>
            <w:pPr>
              <w:spacing w:after="40"/>
            </w:pPr>
            <w:r>
              <w:rPr>
                <w:sz w:val="19"/>
              </w:rPr>
              <w:t>Business registration number (NIB)</w:t>
            </w:r>
          </w:p>
        </w:tc>
        <w:tc>
          <w:tcPr>
            <w:tcW w:type="dxa" w:w="6048"/>
          </w:tcPr>
          <w:p>
            <w:pPr>
              <w:spacing w:after="40"/>
            </w:pPr>
            <w:r>
              <w:rPr>
                <w:sz w:val="19"/>
              </w:rPr>
              <w:t>0510220020593, issued 5 Oct 2022 (OSS system)</w:t>
            </w:r>
          </w:p>
        </w:tc>
      </w:tr>
      <w:tr>
        <w:tc>
          <w:tcPr>
            <w:tcW w:type="dxa" w:w="3312"/>
          </w:tcPr>
          <w:p>
            <w:pPr>
              <w:spacing w:after="40"/>
            </w:pPr>
            <w:r>
              <w:rPr>
                <w:sz w:val="19"/>
              </w:rPr>
              <w:t>Taxpayer ID (NPWP)</w:t>
            </w:r>
          </w:p>
        </w:tc>
        <w:tc>
          <w:tcPr>
            <w:tcW w:type="dxa" w:w="6048"/>
          </w:tcPr>
          <w:p>
            <w:pPr>
              <w:spacing w:after="40"/>
            </w:pPr>
            <w:r>
              <w:rPr>
                <w:sz w:val="19"/>
              </w:rPr>
              <w:t>61.126.496.1-427.000, registered 29 Sep 2022</w:t>
            </w:r>
          </w:p>
        </w:tc>
      </w:tr>
      <w:tr>
        <w:tc>
          <w:tcPr>
            <w:tcW w:type="dxa" w:w="3312"/>
          </w:tcPr>
          <w:p>
            <w:pPr>
              <w:spacing w:after="40"/>
            </w:pPr>
            <w:r>
              <w:rPr>
                <w:sz w:val="19"/>
              </w:rPr>
              <w:t>Deed of establishment</w:t>
            </w:r>
          </w:p>
        </w:tc>
        <w:tc>
          <w:tcPr>
            <w:tcW w:type="dxa" w:w="6048"/>
          </w:tcPr>
          <w:p>
            <w:pPr>
              <w:spacing w:after="40"/>
            </w:pPr>
            <w:r>
              <w:rPr>
                <w:sz w:val="19"/>
              </w:rPr>
              <w:t>Deed No. 52, 22 Sep 2022 (Notary Steffi Alphanie, S.H., M.Kn., Cilegon City)</w:t>
            </w:r>
          </w:p>
        </w:tc>
      </w:tr>
      <w:tr>
        <w:tc>
          <w:tcPr>
            <w:tcW w:type="dxa" w:w="3312"/>
          </w:tcPr>
          <w:p>
            <w:pPr>
              <w:spacing w:after="40"/>
            </w:pPr>
            <w:r>
              <w:rPr>
                <w:sz w:val="19"/>
              </w:rPr>
              <w:t>Ministerial ratification</w:t>
            </w:r>
          </w:p>
        </w:tc>
        <w:tc>
          <w:tcPr>
            <w:tcW w:type="dxa" w:w="6048"/>
          </w:tcPr>
          <w:p>
            <w:pPr>
              <w:spacing w:after="40"/>
            </w:pPr>
            <w:r>
              <w:rPr>
                <w:sz w:val="19"/>
              </w:rPr>
              <w:t>MOLHR Decree No. AHU-0067398.AH.01.01.Year 2022 (29 Sep 2022)</w:t>
            </w:r>
          </w:p>
        </w:tc>
      </w:tr>
      <w:tr>
        <w:tc>
          <w:tcPr>
            <w:tcW w:type="dxa" w:w="3312"/>
          </w:tcPr>
          <w:p>
            <w:pPr>
              <w:spacing w:after="40"/>
            </w:pPr>
            <w:r>
              <w:rPr>
                <w:sz w:val="19"/>
              </w:rPr>
              <w:t>Registered (domicile) address</w:t>
            </w:r>
          </w:p>
        </w:tc>
        <w:tc>
          <w:tcPr>
            <w:tcW w:type="dxa" w:w="6048"/>
          </w:tcPr>
          <w:p>
            <w:pPr>
              <w:spacing w:after="40"/>
            </w:pPr>
            <w:r>
              <w:rPr>
                <w:sz w:val="19"/>
              </w:rPr>
              <w:t>Plaza Summarecon Bekasi, Jl. Bulevar Ahmad Yani Kav. K.01, Level 7, Bekasi City, West Java 17143</w:t>
            </w:r>
          </w:p>
        </w:tc>
      </w:tr>
      <w:tr>
        <w:tc>
          <w:tcPr>
            <w:tcW w:type="dxa" w:w="3312"/>
          </w:tcPr>
          <w:p>
            <w:pPr>
              <w:spacing w:after="40"/>
            </w:pPr>
            <w:r>
              <w:rPr>
                <w:sz w:val="19"/>
              </w:rPr>
              <w:t>Relevant KBLI (business scope)</w:t>
            </w:r>
          </w:p>
        </w:tc>
        <w:tc>
          <w:tcPr>
            <w:tcW w:type="dxa" w:w="6048"/>
          </w:tcPr>
          <w:p>
            <w:pPr>
              <w:spacing w:after="40"/>
            </w:pPr>
            <w:r>
              <w:rPr>
                <w:sz w:val="19"/>
              </w:rPr>
              <w:t>25119, 25120 (tanks/reservoirs/containers of metal, incl. pressurized gas cylinders), 28221, 25920</w:t>
            </w:r>
          </w:p>
        </w:tc>
      </w:tr>
    </w:tbl>
    <w:p>
      <w:pPr>
        <w:spacing w:after="120"/>
      </w:pPr>
    </w:p>
    <w:p>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pPr>
        <w:pStyle w:val="Heading2"/>
      </w:pPr>
      <w:r>
        <w:t>1.3 · Manufacturer's Organizational Chart and Contact Information</w:t>
      </w:r>
    </w:p>
    <w:p>
      <w:pPr>
        <w:spacing w:after="160"/>
      </w:pPr>
      <w:r>
        <w:rPr>
          <w:b w:val="0"/>
          <w:i w:val="0"/>
          <w:sz w:val="21"/>
        </w:rPr>
        <w:t>The statutory Board of Directors and Board of Commissioners are known from the deed of establishment: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Position</w:t>
            </w:r>
          </w:p>
        </w:tc>
        <w:tc>
          <w:tcPr>
            <w:tcW w:type="dxa" w:w="6048"/>
            <w:shd w:val="clear" w:color="auto" w:fill="EFEFEF"/>
          </w:tcPr>
          <w:p>
            <w:pPr>
              <w:spacing w:after="40"/>
            </w:pPr>
            <w:r>
              <w:rPr>
                <w:b/>
                <w:color w:val="4A4A4A"/>
                <w:sz w:val="18"/>
              </w:rPr>
              <w:t>Name</w:t>
            </w:r>
          </w:p>
        </w:tc>
      </w:tr>
      <w:tr>
        <w:tc>
          <w:tcPr>
            <w:tcW w:type="dxa" w:w="3312"/>
          </w:tcPr>
          <w:p>
            <w:pPr>
              <w:spacing w:after="40"/>
            </w:pPr>
            <w:r>
              <w:rPr>
                <w:sz w:val="19"/>
              </w:rPr>
              <w:t>President Director</w:t>
            </w:r>
          </w:p>
        </w:tc>
        <w:tc>
          <w:tcPr>
            <w:tcW w:type="dxa" w:w="6048"/>
          </w:tcPr>
          <w:p>
            <w:pPr>
              <w:spacing w:after="40"/>
            </w:pPr>
            <w:r>
              <w:rPr>
                <w:sz w:val="19"/>
              </w:rPr>
              <w:t>Nur Rohman</w:t>
            </w:r>
          </w:p>
        </w:tc>
      </w:tr>
      <w:tr>
        <w:tc>
          <w:tcPr>
            <w:tcW w:type="dxa" w:w="3312"/>
          </w:tcPr>
          <w:p>
            <w:pPr>
              <w:spacing w:after="40"/>
            </w:pPr>
            <w:r>
              <w:rPr>
                <w:sz w:val="19"/>
              </w:rPr>
              <w:t>Director</w:t>
            </w:r>
          </w:p>
        </w:tc>
        <w:tc>
          <w:tcPr>
            <w:tcW w:type="dxa" w:w="6048"/>
          </w:tcPr>
          <w:p>
            <w:pPr>
              <w:spacing w:after="40"/>
            </w:pPr>
            <w:r>
              <w:rPr>
                <w:sz w:val="19"/>
              </w:rPr>
              <w:t>Antonius Prasetyo</w:t>
            </w:r>
          </w:p>
        </w:tc>
      </w:tr>
      <w:tr>
        <w:tc>
          <w:tcPr>
            <w:tcW w:type="dxa" w:w="3312"/>
          </w:tcPr>
          <w:p>
            <w:pPr>
              <w:spacing w:after="40"/>
            </w:pPr>
            <w:r>
              <w:rPr>
                <w:sz w:val="19"/>
              </w:rPr>
              <w:t>Commissioner</w:t>
            </w:r>
          </w:p>
        </w:tc>
        <w:tc>
          <w:tcPr>
            <w:tcW w:type="dxa" w:w="6048"/>
          </w:tcPr>
          <w:p>
            <w:pPr>
              <w:spacing w:after="40"/>
            </w:pPr>
            <w:r>
              <w:rPr>
                <w:sz w:val="19"/>
              </w:rPr>
              <w:t>Crisa Andi Sujatmiko</w:t>
            </w:r>
          </w:p>
        </w:tc>
      </w:tr>
    </w:tbl>
    <w:p>
      <w:pPr>
        <w:spacing w:after="120"/>
      </w:pPr>
    </w:p>
    <w:p>
      <w:pPr>
        <w:spacing w:after="200"/>
      </w:pPr>
      <w:r>
        <w:rPr>
          <w:b/>
          <w:color w:val="4A4A4A"/>
          <w:sz w:val="19"/>
        </w:rPr>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pPr>
        <w:pStyle w:val="Heading2"/>
      </w:pPr>
      <w:r>
        <w:t>1.4 · Address of Manufacturing Plant and Brief Introduction of Production Facilities</w:t>
      </w:r>
    </w:p>
    <w:p>
      <w:pPr>
        <w:spacing w:after="160"/>
      </w:pPr>
      <w:r>
        <w:rPr>
          <w:b w:val="0"/>
          <w:i w:val="0"/>
          <w:sz w:val="21"/>
        </w:rPr>
        <w:t>Registered office and NIB-registered production sites of the Manufacturer, PT Galaksi Megatama Indonesia:</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Site</w:t>
            </w:r>
          </w:p>
        </w:tc>
        <w:tc>
          <w:tcPr>
            <w:tcW w:type="dxa" w:w="6048"/>
            <w:shd w:val="clear" w:color="auto" w:fill="EFEFEF"/>
          </w:tcPr>
          <w:p>
            <w:pPr>
              <w:spacing w:after="40"/>
            </w:pPr>
            <w:r>
              <w:rPr>
                <w:b/>
                <w:color w:val="4A4A4A"/>
                <w:sz w:val="18"/>
              </w:rPr>
              <w:t>Address / Role</w:t>
            </w:r>
          </w:p>
        </w:tc>
      </w:tr>
      <w:tr>
        <w:tc>
          <w:tcPr>
            <w:tcW w:type="dxa" w:w="3312"/>
          </w:tcPr>
          <w:p>
            <w:pPr>
              <w:spacing w:after="40"/>
            </w:pPr>
            <w:r>
              <w:rPr>
                <w:sz w:val="19"/>
              </w:rPr>
              <w:t>Registered office</w:t>
            </w:r>
          </w:p>
        </w:tc>
        <w:tc>
          <w:tcPr>
            <w:tcW w:type="dxa" w:w="6048"/>
          </w:tcPr>
          <w:p>
            <w:pPr>
              <w:spacing w:after="40"/>
            </w:pPr>
            <w:r>
              <w:rPr>
                <w:sz w:val="19"/>
              </w:rPr>
              <w:t>Plaza Summarecon Bekasi, Jl. Bulevar Ahmad Yani Kav. K.01, Level 7, Bekasi City, West Java</w:t>
            </w:r>
          </w:p>
        </w:tc>
      </w:tr>
      <w:tr>
        <w:tc>
          <w:tcPr>
            <w:tcW w:type="dxa" w:w="3312"/>
          </w:tcPr>
          <w:p>
            <w:pPr>
              <w:spacing w:after="40"/>
            </w:pPr>
            <w:r>
              <w:rPr>
                <w:sz w:val="19"/>
              </w:rPr>
              <w:t>Production site 1</w:t>
            </w:r>
          </w:p>
        </w:tc>
        <w:tc>
          <w:tcPr>
            <w:tcW w:type="dxa" w:w="6048"/>
          </w:tcPr>
          <w:p>
            <w:pPr>
              <w:spacing w:after="40"/>
            </w:pPr>
            <w:r>
              <w:rPr>
                <w:sz w:val="19"/>
              </w:rPr>
              <w:t>Jl. Kp. Jatipilar, Cikarang Selatan, Bekasi Regency</w:t>
            </w:r>
          </w:p>
        </w:tc>
      </w:tr>
      <w:tr>
        <w:tc>
          <w:tcPr>
            <w:tcW w:type="dxa" w:w="3312"/>
          </w:tcPr>
          <w:p>
            <w:pPr>
              <w:spacing w:after="40"/>
            </w:pPr>
            <w:r>
              <w:rPr>
                <w:sz w:val="19"/>
              </w:rPr>
              <w:t>Production site 2</w:t>
            </w:r>
          </w:p>
        </w:tc>
        <w:tc>
          <w:tcPr>
            <w:tcW w:type="dxa" w:w="6048"/>
          </w:tcPr>
          <w:p>
            <w:pPr>
              <w:spacing w:after="40"/>
            </w:pPr>
            <w:r>
              <w:rPr>
                <w:sz w:val="19"/>
              </w:rPr>
              <w:t>Jl. WR Supratman, Mustikajaya, Bekasi City</w:t>
            </w:r>
          </w:p>
        </w:tc>
      </w:tr>
      <w:tr>
        <w:tc>
          <w:tcPr>
            <w:tcW w:type="dxa" w:w="3312"/>
          </w:tcPr>
          <w:p>
            <w:pPr>
              <w:spacing w:after="40"/>
            </w:pPr>
            <w:r>
              <w:rPr>
                <w:sz w:val="19"/>
              </w:rPr>
              <w:t>Electronics design/assembly</w:t>
            </w:r>
          </w:p>
        </w:tc>
        <w:tc>
          <w:tcPr>
            <w:tcW w:type="dxa" w:w="6048"/>
          </w:tcPr>
          <w:p>
            <w:pPr>
              <w:spacing w:after="40"/>
            </w:pPr>
            <w:r>
              <w:rPr>
                <w:sz w:val="19"/>
              </w:rPr>
              <w:t>Native EasyEDA/JLCPCB project; fabrication/assembly provider and its address to be confirmed in writing</w:t>
            </w:r>
          </w:p>
        </w:tc>
      </w:tr>
    </w:tbl>
    <w:p>
      <w:pPr>
        <w:spacing w:after="120"/>
      </w:pPr>
    </w:p>
    <w:p>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pPr>
        <w:pStyle w:val="Heading2"/>
      </w:pPr>
      <w:r>
        <w:t>1.5 · ISO 9001 Certificate, Quality Manual, and Directory of Procedure Documents (for QAR/QAN review)</w:t>
      </w:r>
    </w:p>
    <w:p>
      <w:pPr>
        <w:spacing w:after="160"/>
      </w:pPr>
      <w:r>
        <w:rPr>
          <w:b w:val="0"/>
          <w:i w:val="0"/>
          <w:sz w:val="21"/>
        </w:rPr>
        <w:t>Whether the manufacturer currently holds ISO 9001 certification, and if so its certificate number, scope, issuing body, and validity period, is to be confirmed. Quality manual and procedure-document index not yet provided.</w:t>
      </w:r>
    </w:p>
    <w:p>
      <w:pPr>
        <w:spacing w:after="200"/>
      </w:pPr>
      <w:r>
        <w:rPr>
          <w:b/>
          <w:color w:val="4A4A4A"/>
          <w:sz w:val="19"/>
        </w:rPr>
        <w:t xml:space="preserve">Status: </w:t>
      </w:r>
      <w:r>
        <w:rPr>
          <w:i/>
          <w:color w:val="4A4A4A"/>
          <w:sz w:val="19"/>
        </w:rPr>
        <w:t>To be confirmed / to be provided.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r>
        <w:br w:type="page"/>
      </w:r>
    </w:p>
    <w:p>
      <w:pPr>
        <w:pStyle w:val="Heading1"/>
      </w:pPr>
      <w:r>
        <w:t>2. Technical Documentation</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 ADC12 die-cast grade — and stainless steel) and mounted via a U-bolt mounting plate to existing structures without drilling or welding. The current production power configuration is continuous 24 VDC, supplied via an AC/DC adapter (220 VAC/50 Hz → 24 VDC) connected to the site electrical supply. The Node Sensor (GLD) itself receives only 24 VDC at its terminal and never carries 220 VAC internally — the AC/DC adapter is a separate, site-supplied device outside the physical boundary of the certified unit.</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pPr>
        <w:spacing w:after="80"/>
      </w:pPr>
    </w:p>
    <w:p>
      <w:pPr>
        <w:pStyle w:val="Heading2"/>
      </w:pPr>
      <w:r>
        <w:t>2.2 · Product Name, Model, and Specification List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Field</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Product name</w:t>
            </w:r>
          </w:p>
        </w:tc>
        <w:tc>
          <w:tcPr>
            <w:tcW w:type="dxa" w:w="6048"/>
          </w:tcPr>
          <w:p>
            <w:pPr>
              <w:spacing w:after="40"/>
            </w:pPr>
            <w:r>
              <w:rPr>
                <w:sz w:val="19"/>
              </w:rPr>
              <w:t>Gas Leak Detector (GLD)</w:t>
            </w:r>
          </w:p>
        </w:tc>
      </w:tr>
      <w:tr>
        <w:tc>
          <w:tcPr>
            <w:tcW w:type="dxa" w:w="3312"/>
          </w:tcPr>
          <w:p>
            <w:pPr>
              <w:spacing w:after="40"/>
            </w:pPr>
            <w:r>
              <w:rPr>
                <w:sz w:val="19"/>
              </w:rPr>
              <w:t>Model / version</w:t>
            </w:r>
          </w:p>
        </w:tc>
        <w:tc>
          <w:tcPr>
            <w:tcW w:type="dxa" w:w="6048"/>
          </w:tcPr>
          <w:p>
            <w:pPr>
              <w:spacing w:after="40"/>
            </w:pPr>
            <w:r>
              <w:rPr>
                <w:sz w:val="19"/>
              </w:rPr>
              <w:t>GLD V2</w:t>
            </w:r>
          </w:p>
        </w:tc>
      </w:tr>
      <w:tr>
        <w:tc>
          <w:tcPr>
            <w:tcW w:type="dxa" w:w="3312"/>
          </w:tcPr>
          <w:p>
            <w:pPr>
              <w:spacing w:after="40"/>
            </w:pPr>
            <w:r>
              <w:rPr>
                <w:sz w:val="19"/>
              </w:rPr>
              <w:t>Manufacturer</w:t>
            </w:r>
          </w:p>
        </w:tc>
        <w:tc>
          <w:tcPr>
            <w:tcW w:type="dxa" w:w="6048"/>
          </w:tcPr>
          <w:p>
            <w:pPr>
              <w:spacing w:after="40"/>
            </w:pPr>
            <w:r>
              <w:rPr>
                <w:sz w:val="19"/>
              </w:rPr>
              <w:t>PT Galaksi Megatama Indonesia</w:t>
            </w:r>
          </w:p>
        </w:tc>
      </w:tr>
      <w:tr>
        <w:tc>
          <w:tcPr>
            <w:tcW w:type="dxa" w:w="3312"/>
          </w:tcPr>
          <w:p>
            <w:pPr>
              <w:spacing w:after="40"/>
            </w:pPr>
            <w:r>
              <w:rPr>
                <w:sz w:val="19"/>
              </w:rPr>
              <w:t>Program owner</w:t>
            </w:r>
          </w:p>
        </w:tc>
        <w:tc>
          <w:tcPr>
            <w:tcW w:type="dxa" w:w="6048"/>
          </w:tcPr>
          <w:p>
            <w:pPr>
              <w:spacing w:after="40"/>
            </w:pPr>
            <w:r>
              <w:rPr>
                <w:sz w:val="19"/>
              </w:rPr>
              <w:t>PT Pertamina Patra Niaga (initial deployment site: Refinery Unit IV, Cilacap)</w:t>
            </w:r>
          </w:p>
        </w:tc>
      </w:tr>
      <w:tr>
        <w:tc>
          <w:tcPr>
            <w:tcW w:type="dxa" w:w="3312"/>
          </w:tcPr>
          <w:p>
            <w:pPr>
              <w:spacing w:after="40"/>
            </w:pPr>
            <w:r>
              <w:rPr>
                <w:sz w:val="19"/>
              </w:rPr>
              <w:t>Primary function</w:t>
            </w:r>
          </w:p>
        </w:tc>
        <w:tc>
          <w:tcPr>
            <w:tcW w:type="dxa" w:w="6048"/>
          </w:tcPr>
          <w:p>
            <w:pPr>
              <w:spacing w:after="40"/>
            </w:pPr>
            <w:r>
              <w:rPr>
                <w:sz w:val="19"/>
              </w:rPr>
              <w:t>Acquisition of 8-channel gas sensor data and LoRa transmission</w:t>
            </w:r>
          </w:p>
        </w:tc>
      </w:tr>
      <w:tr>
        <w:tc>
          <w:tcPr>
            <w:tcW w:type="dxa" w:w="3312"/>
          </w:tcPr>
          <w:p>
            <w:pPr>
              <w:spacing w:after="40"/>
            </w:pPr>
            <w:r>
              <w:rPr>
                <w:sz w:val="19"/>
              </w:rPr>
              <w:t>Microcontroller</w:t>
            </w:r>
          </w:p>
        </w:tc>
        <w:tc>
          <w:tcPr>
            <w:tcW w:type="dxa" w:w="6048"/>
          </w:tcPr>
          <w:p>
            <w:pPr>
              <w:spacing w:after="40"/>
            </w:pPr>
            <w:r>
              <w:rPr>
                <w:sz w:val="19"/>
              </w:rPr>
              <w:t>ESP32-S3-WROOM-1U-N16R8</w:t>
            </w:r>
          </w:p>
        </w:tc>
      </w:tr>
      <w:tr>
        <w:tc>
          <w:tcPr>
            <w:tcW w:type="dxa" w:w="3312"/>
          </w:tcPr>
          <w:p>
            <w:pPr>
              <w:spacing w:after="40"/>
            </w:pPr>
            <w:r>
              <w:rPr>
                <w:sz w:val="19"/>
              </w:rPr>
              <w:t>LoRa radio module</w:t>
            </w:r>
          </w:p>
        </w:tc>
        <w:tc>
          <w:tcPr>
            <w:tcW w:type="dxa" w:w="6048"/>
          </w:tcPr>
          <w:p>
            <w:pPr>
              <w:spacing w:after="40"/>
            </w:pPr>
            <w:r>
              <w:rPr>
                <w:sz w:val="19"/>
              </w:rPr>
              <w:t>E22-900MM22S</w:t>
            </w:r>
          </w:p>
        </w:tc>
      </w:tr>
      <w:tr>
        <w:tc>
          <w:tcPr>
            <w:tcW w:type="dxa" w:w="3312"/>
          </w:tcPr>
          <w:p>
            <w:pPr>
              <w:spacing w:after="40"/>
            </w:pPr>
            <w:r>
              <w:rPr>
                <w:sz w:val="19"/>
              </w:rPr>
              <w:t>Dimensions (L×W×H)</w:t>
            </w:r>
          </w:p>
        </w:tc>
        <w:tc>
          <w:tcPr>
            <w:tcW w:type="dxa" w:w="6048"/>
          </w:tcPr>
          <w:p>
            <w:pPr>
              <w:spacing w:after="40"/>
            </w:pPr>
            <w:r>
              <w:rPr>
                <w:sz w:val="19"/>
              </w:rPr>
              <w:t>200 × 90 × 290 mm</w:t>
            </w:r>
          </w:p>
        </w:tc>
      </w:tr>
      <w:tr>
        <w:tc>
          <w:tcPr>
            <w:tcW w:type="dxa" w:w="3312"/>
          </w:tcPr>
          <w:p>
            <w:pPr>
              <w:spacing w:after="40"/>
            </w:pPr>
            <w:r>
              <w:rPr>
                <w:sz w:val="19"/>
              </w:rPr>
              <w:t>Enclosure material</w:t>
            </w:r>
          </w:p>
        </w:tc>
        <w:tc>
          <w:tcPr>
            <w:tcW w:type="dxa" w:w="6048"/>
          </w:tcPr>
          <w:p>
            <w:pPr>
              <w:spacing w:after="40"/>
            </w:pPr>
            <w:r>
              <w:rPr>
                <w:sz w:val="19"/>
              </w:rPr>
              <w:t>Aluminum alloy (ADC12 die-cast) + stainless steel</w:t>
            </w:r>
          </w:p>
        </w:tc>
      </w:tr>
    </w:tbl>
    <w:p>
      <w:pPr>
        <w:spacing w:after="120"/>
      </w:pPr>
    </w:p>
    <w:p>
      <w:pPr>
        <w:pStyle w:val="Heading2"/>
      </w:pPr>
      <w:r>
        <w:t>2.3 · Complete and Clear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 notification transmitted over the LoRa network to the dashboard.</w:t>
      </w:r>
    </w:p>
    <w:p>
      <w:pPr>
        <w:spacing w:after="60"/>
      </w:pPr>
      <w:r>
        <w:rPr>
          <w:b/>
          <w:i w:val="0"/>
          <w:sz w:val="21"/>
        </w:rPr>
        <w:t>Electrical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Input voltage</w:t>
            </w:r>
          </w:p>
        </w:tc>
        <w:tc>
          <w:tcPr>
            <w:tcW w:type="dxa" w:w="6048"/>
          </w:tcPr>
          <w:p>
            <w:pPr>
              <w:spacing w:after="40"/>
            </w:pPr>
            <w:r>
              <w:rPr>
                <w:sz w:val="19"/>
              </w:rPr>
              <w:t>24 VDC (continuous)</w:t>
            </w:r>
          </w:p>
        </w:tc>
      </w:tr>
      <w:tr>
        <w:tc>
          <w:tcPr>
            <w:tcW w:type="dxa" w:w="3312"/>
          </w:tcPr>
          <w:p>
            <w:pPr>
              <w:spacing w:after="40"/>
            </w:pPr>
            <w:r>
              <w:rPr>
                <w:sz w:val="19"/>
              </w:rPr>
              <w:t>Source adapter (if AC-fed)</w:t>
            </w:r>
          </w:p>
        </w:tc>
        <w:tc>
          <w:tcPr>
            <w:tcW w:type="dxa" w:w="6048"/>
          </w:tcPr>
          <w:p>
            <w:pPr>
              <w:spacing w:after="40"/>
            </w:pPr>
            <w:r>
              <w:rPr>
                <w:sz w:val="19"/>
              </w:rPr>
              <w:t>220 VAC / 50 Hz input → 24 VDC output</w:t>
            </w:r>
          </w:p>
        </w:tc>
      </w:tr>
      <w:tr>
        <w:tc>
          <w:tcPr>
            <w:tcW w:type="dxa" w:w="3312"/>
          </w:tcPr>
          <w:p>
            <w:pPr>
              <w:spacing w:after="40"/>
            </w:pPr>
            <w:r>
              <w:rPr>
                <w:sz w:val="19"/>
              </w:rPr>
              <w:t>Internal voltage rails</w:t>
            </w:r>
          </w:p>
        </w:tc>
        <w:tc>
          <w:tcPr>
            <w:tcW w:type="dxa" w:w="6048"/>
          </w:tcPr>
          <w:p>
            <w:pPr>
              <w:spacing w:after="40"/>
            </w:pPr>
            <w:r>
              <w:rPr>
                <w:sz w:val="19"/>
              </w:rPr>
              <w:t>5 VDC (sensor/heater circuitry), 3.3 VDC (ESP32-S3 logic)</w:t>
            </w:r>
          </w:p>
        </w:tc>
      </w:tr>
      <w:tr>
        <w:tc>
          <w:tcPr>
            <w:tcW w:type="dxa" w:w="3312"/>
          </w:tcPr>
          <w:p>
            <w:pPr>
              <w:spacing w:after="40"/>
            </w:pPr>
            <w:r>
              <w:rPr>
                <w:sz w:val="19"/>
              </w:rPr>
              <w:t>Measured power consumption</w:t>
            </w:r>
          </w:p>
        </w:tc>
        <w:tc>
          <w:tcPr>
            <w:tcW w:type="dxa" w:w="6048"/>
          </w:tcPr>
          <w:p>
            <w:pPr>
              <w:spacing w:after="40"/>
            </w:pPr>
            <w:r>
              <w:rPr>
                <w:sz w:val="19"/>
              </w:rPr>
              <w:t>8 W @ 24 VDC (≈ 0.33 A) — production configuration</w:t>
            </w:r>
          </w:p>
        </w:tc>
      </w:tr>
      <w:tr>
        <w:tc>
          <w:tcPr>
            <w:tcW w:type="dxa" w:w="3312"/>
          </w:tcPr>
          <w:p>
            <w:pPr>
              <w:spacing w:after="40"/>
            </w:pPr>
            <w:r>
              <w:rPr>
                <w:sz w:val="19"/>
              </w:rPr>
              <w:t>Cable/PSU sizing margin</w:t>
            </w:r>
          </w:p>
        </w:tc>
        <w:tc>
          <w:tcPr>
            <w:tcW w:type="dxa" w:w="6048"/>
          </w:tcPr>
          <w:p>
            <w:pPr>
              <w:spacing w:after="40"/>
            </w:pPr>
            <w:r>
              <w:rPr>
                <w:sz w:val="19"/>
              </w:rPr>
              <w:t>≥ 1 A per unit (sizing margin only; actual draw is well below this)</w:t>
            </w:r>
          </w:p>
        </w:tc>
      </w:tr>
      <w:tr>
        <w:tc>
          <w:tcPr>
            <w:tcW w:type="dxa" w:w="3312"/>
          </w:tcPr>
          <w:p>
            <w:pPr>
              <w:spacing w:after="40"/>
            </w:pPr>
            <w:r>
              <w:rPr>
                <w:sz w:val="19"/>
              </w:rPr>
              <w:t>Power cable</w:t>
            </w:r>
          </w:p>
        </w:tc>
        <w:tc>
          <w:tcPr>
            <w:tcW w:type="dxa" w:w="6048"/>
          </w:tcPr>
          <w:p>
            <w:pPr>
              <w:spacing w:after="40"/>
            </w:pPr>
            <w:r>
              <w:rPr>
                <w:sz w:val="19"/>
              </w:rPr>
              <w:t>2-conductor, labeled L+/L− (positive/negative of the 24 VDC supply), each conductor ≈ 0.75 mm diameter</w:t>
            </w:r>
          </w:p>
        </w:tc>
      </w:tr>
      <w:tr>
        <w:tc>
          <w:tcPr>
            <w:tcW w:type="dxa" w:w="3312"/>
          </w:tcPr>
          <w:p>
            <w:pPr>
              <w:spacing w:after="40"/>
            </w:pPr>
            <w:r>
              <w:rPr>
                <w:sz w:val="19"/>
              </w:rPr>
              <w:t>Electrical protection</w:t>
            </w:r>
          </w:p>
        </w:tc>
        <w:tc>
          <w:tcPr>
            <w:tcW w:type="dxa" w:w="6048"/>
          </w:tcPr>
          <w:p>
            <w:pPr>
              <w:spacing w:after="40"/>
            </w:pPr>
            <w:r>
              <w:rPr>
                <w:sz w:val="19"/>
              </w:rPr>
              <w:t>Resettable PPTC fuses (F1/F2), TVS/ESD suppression diodes, Schottky diodes on power rails</w:t>
            </w:r>
          </w:p>
        </w:tc>
      </w:tr>
    </w:tbl>
    <w:p>
      <w:pPr>
        <w:spacing w:after="120"/>
      </w:pPr>
    </w:p>
    <w:p>
      <w:pPr>
        <w:spacing w:after="60"/>
      </w:pPr>
      <w:r>
        <w:rPr>
          <w:b/>
          <w:i w:val="0"/>
          <w:sz w:val="21"/>
        </w:rPr>
        <w:t>Sensor and Communication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Gas sensor array</w:t>
            </w:r>
          </w:p>
        </w:tc>
        <w:tc>
          <w:tcPr>
            <w:tcW w:type="dxa" w:w="6048"/>
          </w:tcPr>
          <w:p>
            <w:pPr>
              <w:spacing w:after="40"/>
            </w:pPr>
            <w:r>
              <w:rPr>
                <w:sz w:val="19"/>
              </w:rPr>
              <w:t>8 channels, metal-oxide (MQ-2, MQ-3B, MQ-4, MQ-5, MQ-6, MQ-7B, MQ-8, MQ-135)</w:t>
            </w:r>
          </w:p>
        </w:tc>
      </w:tr>
      <w:tr>
        <w:tc>
          <w:tcPr>
            <w:tcW w:type="dxa" w:w="3312"/>
          </w:tcPr>
          <w:p>
            <w:pPr>
              <w:spacing w:after="40"/>
            </w:pPr>
            <w:r>
              <w:rPr>
                <w:sz w:val="19"/>
              </w:rPr>
              <w:t>Signal acquisition</w:t>
            </w:r>
          </w:p>
        </w:tc>
        <w:tc>
          <w:tcPr>
            <w:tcW w:type="dxa" w:w="6048"/>
          </w:tcPr>
          <w:p>
            <w:pPr>
              <w:spacing w:after="40"/>
            </w:pPr>
            <w:r>
              <w:rPr>
                <w:sz w:val="19"/>
              </w:rPr>
              <w:t>24-bit multi-channel ADC (ADS1256IDBR, 30,000 SPS), 500 ms scan interval</w:t>
            </w:r>
          </w:p>
        </w:tc>
      </w:tr>
      <w:tr>
        <w:tc>
          <w:tcPr>
            <w:tcW w:type="dxa" w:w="3312"/>
          </w:tcPr>
          <w:p>
            <w:pPr>
              <w:spacing w:after="40"/>
            </w:pPr>
            <w:r>
              <w:rPr>
                <w:sz w:val="19"/>
              </w:rPr>
              <w:t>AI gas-classification model</w:t>
            </w:r>
          </w:p>
        </w:tc>
        <w:tc>
          <w:tcPr>
            <w:tcW w:type="dxa" w:w="6048"/>
          </w:tcPr>
          <w:p>
            <w:pPr>
              <w:spacing w:after="40"/>
            </w:pPr>
            <w:r>
              <w:rPr>
                <w:sz w:val="19"/>
              </w:rPr>
              <w:t>On-device classifier — 3 classes: Clean Air, LPG, H₂; alarm at confidence ≥ 30%. Does not yet cover CO₂, Benzene, CO, or H₂S</w:t>
            </w:r>
          </w:p>
        </w:tc>
      </w:tr>
      <w:tr>
        <w:tc>
          <w:tcPr>
            <w:tcW w:type="dxa" w:w="3312"/>
          </w:tcPr>
          <w:p>
            <w:pPr>
              <w:spacing w:after="40"/>
            </w:pPr>
            <w:r>
              <w:rPr>
                <w:sz w:val="19"/>
              </w:rPr>
              <w:t>Temperature/humidity telemetry</w:t>
            </w:r>
          </w:p>
        </w:tc>
        <w:tc>
          <w:tcPr>
            <w:tcW w:type="dxa" w:w="6048"/>
          </w:tcPr>
          <w:p>
            <w:pPr>
              <w:spacing w:after="40"/>
            </w:pPr>
            <w:r>
              <w:rPr>
                <w:sz w:val="19"/>
              </w:rPr>
              <w:t>SHT40 sensor (auxiliary)</w:t>
            </w:r>
          </w:p>
        </w:tc>
      </w:tr>
      <w:tr>
        <w:tc>
          <w:tcPr>
            <w:tcW w:type="dxa" w:w="3312"/>
          </w:tcPr>
          <w:p>
            <w:pPr>
              <w:spacing w:after="40"/>
            </w:pPr>
            <w:r>
              <w:rPr>
                <w:sz w:val="19"/>
              </w:rPr>
              <w:t>LoRa radio</w:t>
            </w:r>
          </w:p>
        </w:tc>
        <w:tc>
          <w:tcPr>
            <w:tcW w:type="dxa" w:w="6048"/>
          </w:tcPr>
          <w:p>
            <w:pPr>
              <w:spacing w:after="40"/>
            </w:pPr>
            <w:r>
              <w:rPr>
                <w:sz w:val="19"/>
              </w:rPr>
              <w:t>E22-900MM22S, star-topology transmission, 920–923 MHz ISM band (Indonesia)</w:t>
            </w:r>
          </w:p>
        </w:tc>
      </w:tr>
      <w:tr>
        <w:tc>
          <w:tcPr>
            <w:tcW w:type="dxa" w:w="3312"/>
          </w:tcPr>
          <w:p>
            <w:pPr>
              <w:spacing w:after="40"/>
            </w:pPr>
            <w:r>
              <w:rPr>
                <w:sz w:val="19"/>
              </w:rPr>
              <w:t>Data transmission interval</w:t>
            </w:r>
          </w:p>
        </w:tc>
        <w:tc>
          <w:tcPr>
            <w:tcW w:type="dxa" w:w="6048"/>
          </w:tcPr>
          <w:p>
            <w:pPr>
              <w:spacing w:after="40"/>
            </w:pPr>
            <w:r>
              <w:rPr>
                <w:sz w:val="19"/>
              </w:rPr>
              <w:t>Configurable, default 10 s; alarm events transmitted immediately</w:t>
            </w:r>
          </w:p>
        </w:tc>
      </w:tr>
      <w:tr>
        <w:tc>
          <w:tcPr>
            <w:tcW w:type="dxa" w:w="3312"/>
          </w:tcPr>
          <w:p>
            <w:pPr>
              <w:spacing w:after="40"/>
            </w:pPr>
            <w:r>
              <w:rPr>
                <w:sz w:val="19"/>
              </w:rPr>
              <w:t>RS-485 / Modbus interface</w:t>
            </w:r>
          </w:p>
        </w:tc>
        <w:tc>
          <w:tcPr>
            <w:tcW w:type="dxa" w:w="6048"/>
          </w:tcPr>
          <w:p>
            <w:pPr>
              <w:spacing w:after="40"/>
            </w:pPr>
            <w:r>
              <w:rPr>
                <w:sz w:val="19"/>
              </w:rPr>
              <w:t>Read-only Modbus RTU slave, 9600 bit/s 8N1, Unit ID 1 (THVD1410DR) — 8 read-only registers for external integration; not used for product control</w:t>
            </w:r>
          </w:p>
        </w:tc>
      </w:tr>
    </w:tbl>
    <w:p>
      <w:pPr>
        <w:spacing w:after="120"/>
      </w:pPr>
    </w:p>
    <w:p>
      <w:pPr>
        <w:spacing w:after="60"/>
      </w:pPr>
      <w:r>
        <w:rPr>
          <w:b/>
          <w:i w:val="0"/>
          <w:sz w:val="21"/>
        </w:rPr>
        <w:t>Mechanical Parameters:</w:t>
      </w:r>
    </w:p>
    <w:tbl>
      <w:tblPr>
        <w:tblStyle w:val="TableGrid"/>
        <w:tblW w:type="auto" w:w="0"/>
        <w:jc w:val="center"/>
        <w:tblLook w:firstColumn="1" w:firstRow="1" w:lastColumn="0" w:lastRow="0" w:noHBand="0" w:noVBand="1" w:val="04A0"/>
      </w:tblPr>
      <w:tblGrid>
        <w:gridCol w:w="3249"/>
        <w:gridCol w:w="3249"/>
        <w:gridCol w:w="3249"/>
      </w:tblGrid>
      <w:tr>
        <w:tc>
          <w:tcPr>
            <w:tcW w:type="dxa" w:w="3024"/>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Specification</w:t>
            </w:r>
          </w:p>
        </w:tc>
        <w:tc>
          <w:tcPr>
            <w:tcW w:type="dxa" w:w="2160"/>
            <w:shd w:val="clear" w:color="auto" w:fill="EFEFEF"/>
          </w:tcPr>
          <w:p>
            <w:pPr>
              <w:spacing w:after="40"/>
            </w:pPr>
            <w:r>
              <w:rPr>
                <w:b/>
                <w:color w:val="4A4A4A"/>
                <w:sz w:val="18"/>
              </w:rPr>
              <w:t>Status</w:t>
            </w:r>
          </w:p>
        </w:tc>
      </w:tr>
      <w:tr>
        <w:tc>
          <w:tcPr>
            <w:tcW w:type="dxa" w:w="3024"/>
          </w:tcPr>
          <w:p>
            <w:pPr>
              <w:spacing w:after="40"/>
            </w:pPr>
            <w:r>
              <w:rPr>
                <w:sz w:val="19"/>
              </w:rPr>
              <w:t>Dimensions (L×W×H)</w:t>
            </w:r>
          </w:p>
        </w:tc>
        <w:tc>
          <w:tcPr>
            <w:tcW w:type="dxa" w:w="4176"/>
          </w:tcPr>
          <w:p>
            <w:pPr>
              <w:spacing w:after="40"/>
            </w:pPr>
            <w:r>
              <w:rPr>
                <w:sz w:val="19"/>
              </w:rPr>
              <w:t>200 × 90 × 290 mm</w:t>
            </w:r>
          </w:p>
        </w:tc>
        <w:tc>
          <w:tcPr>
            <w:tcW w:type="dxa" w:w="2160"/>
          </w:tcPr>
          <w:p>
            <w:pPr>
              <w:spacing w:after="40"/>
            </w:pPr>
            <w:r>
              <w:rPr>
                <w:sz w:val="19"/>
              </w:rPr>
              <w:t>Final</w:t>
            </w:r>
          </w:p>
        </w:tc>
      </w:tr>
      <w:tr>
        <w:tc>
          <w:tcPr>
            <w:tcW w:type="dxa" w:w="3024"/>
          </w:tcPr>
          <w:p>
            <w:pPr>
              <w:spacing w:after="40"/>
            </w:pPr>
            <w:r>
              <w:rPr>
                <w:sz w:val="19"/>
              </w:rPr>
              <w:t>Total weight</w:t>
            </w:r>
          </w:p>
        </w:tc>
        <w:tc>
          <w:tcPr>
            <w:tcW w:type="dxa" w:w="4176"/>
          </w:tcPr>
          <w:p>
            <w:pPr>
              <w:spacing w:after="40"/>
            </w:pPr>
            <w:r>
              <w:rPr>
                <w:sz w:val="19"/>
              </w:rPr>
              <w:t>2.378 kg</w:t>
            </w:r>
          </w:p>
        </w:tc>
        <w:tc>
          <w:tcPr>
            <w:tcW w:type="dxa" w:w="2160"/>
          </w:tcPr>
          <w:p>
            <w:pPr>
              <w:spacing w:after="40"/>
            </w:pPr>
            <w:r>
              <w:rPr>
                <w:sz w:val="19"/>
              </w:rPr>
              <w:t>Final (project-confirmed, not yet calibration-verified)</w:t>
            </w:r>
          </w:p>
        </w:tc>
      </w:tr>
      <w:tr>
        <w:tc>
          <w:tcPr>
            <w:tcW w:type="dxa" w:w="3024"/>
          </w:tcPr>
          <w:p>
            <w:pPr>
              <w:spacing w:after="40"/>
            </w:pPr>
            <w:r>
              <w:rPr>
                <w:sz w:val="19"/>
              </w:rPr>
              <w:t>Enclosure material</w:t>
            </w:r>
          </w:p>
        </w:tc>
        <w:tc>
          <w:tcPr>
            <w:tcW w:type="dxa" w:w="4176"/>
          </w:tcPr>
          <w:p>
            <w:pPr>
              <w:spacing w:after="40"/>
            </w:pPr>
            <w:r>
              <w:rPr>
                <w:sz w:val="19"/>
              </w:rPr>
              <w:t>Aluminum alloy (ADC12 die-cast) + stainless steel</w:t>
            </w:r>
          </w:p>
        </w:tc>
        <w:tc>
          <w:tcPr>
            <w:tcW w:type="dxa" w:w="2160"/>
          </w:tcPr>
          <w:p>
            <w:pPr>
              <w:spacing w:after="40"/>
            </w:pPr>
            <w:r>
              <w:rPr>
                <w:sz w:val="19"/>
              </w:rPr>
              <w:t>Final (see caveat below)</w:t>
            </w:r>
          </w:p>
        </w:tc>
      </w:tr>
      <w:tr>
        <w:tc>
          <w:tcPr>
            <w:tcW w:type="dxa" w:w="3024"/>
          </w:tcPr>
          <w:p>
            <w:pPr>
              <w:spacing w:after="40"/>
            </w:pPr>
            <w:r>
              <w:rPr>
                <w:sz w:val="19"/>
              </w:rPr>
              <w:t>Mounting method</w:t>
            </w:r>
          </w:p>
        </w:tc>
        <w:tc>
          <w:tcPr>
            <w:tcW w:type="dxa" w:w="4176"/>
          </w:tcPr>
          <w:p>
            <w:pPr>
              <w:spacing w:after="40"/>
            </w:pPr>
            <w:r>
              <w:rPr>
                <w:sz w:val="19"/>
              </w:rPr>
              <w:t>U-bolt mounting plate (2″/DN50), no drilling/welding</w:t>
            </w:r>
          </w:p>
        </w:tc>
        <w:tc>
          <w:tcPr>
            <w:tcW w:type="dxa" w:w="2160"/>
          </w:tcPr>
          <w:p>
            <w:pPr>
              <w:spacing w:after="40"/>
            </w:pPr>
            <w:r>
              <w:rPr>
                <w:sz w:val="19"/>
              </w:rPr>
              <w:t>Final</w:t>
            </w:r>
          </w:p>
        </w:tc>
      </w:tr>
      <w:tr>
        <w:tc>
          <w:tcPr>
            <w:tcW w:type="dxa" w:w="3024"/>
          </w:tcPr>
          <w:p>
            <w:pPr>
              <w:spacing w:after="40"/>
            </w:pPr>
            <w:r>
              <w:rPr>
                <w:sz w:val="19"/>
              </w:rPr>
              <w:t>Ingress protection (IP rating)</w:t>
            </w:r>
          </w:p>
        </w:tc>
        <w:tc>
          <w:tcPr>
            <w:tcW w:type="dxa" w:w="4176"/>
          </w:tcPr>
          <w:p>
            <w:pPr>
              <w:spacing w:after="40"/>
            </w:pPr>
            <w:r>
              <w:rPr>
                <w:sz w:val="19"/>
              </w:rPr>
              <w:t>IP66</w:t>
            </w:r>
          </w:p>
        </w:tc>
        <w:tc>
          <w:tcPr>
            <w:tcW w:type="dxa" w:w="2160"/>
          </w:tcPr>
          <w:p>
            <w:pPr>
              <w:spacing w:after="40"/>
            </w:pPr>
            <w:r>
              <w:rPr>
                <w:sz w:val="19"/>
              </w:rPr>
              <w:t>Final</w:t>
            </w:r>
          </w:p>
        </w:tc>
      </w:tr>
      <w:tr>
        <w:tc>
          <w:tcPr>
            <w:tcW w:type="dxa" w:w="3024"/>
          </w:tcPr>
          <w:p>
            <w:pPr>
              <w:spacing w:after="40"/>
            </w:pPr>
            <w:r>
              <w:rPr>
                <w:sz w:val="19"/>
              </w:rPr>
              <w:t>Cable entry (gland)</w:t>
            </w:r>
          </w:p>
        </w:tc>
        <w:tc>
          <w:tcPr>
            <w:tcW w:type="dxa" w:w="4176"/>
          </w:tcPr>
          <w:p>
            <w:pPr>
              <w:spacing w:after="40"/>
            </w:pPr>
            <w:r>
              <w:rPr>
                <w:sz w:val="19"/>
              </w:rPr>
              <w:t>M20×1.5 cable gland (IP66-rated), power cable L+/L−, ≈ 0.75 mm/conductor</w:t>
            </w:r>
          </w:p>
        </w:tc>
        <w:tc>
          <w:tcPr>
            <w:tcW w:type="dxa" w:w="2160"/>
          </w:tcPr>
          <w:p>
            <w:pPr>
              <w:spacing w:after="40"/>
            </w:pPr>
            <w:r>
              <w:rPr>
                <w:sz w:val="19"/>
              </w:rPr>
              <w:t>Final (see note below)</w:t>
            </w:r>
          </w:p>
        </w:tc>
      </w:tr>
      <w:tr>
        <w:tc>
          <w:tcPr>
            <w:tcW w:type="dxa" w:w="3024"/>
          </w:tcPr>
          <w:p>
            <w:pPr>
              <w:spacing w:after="40"/>
            </w:pPr>
            <w:r>
              <w:rPr>
                <w:sz w:val="19"/>
              </w:rPr>
              <w:t>Antenna mounting</w:t>
            </w:r>
          </w:p>
        </w:tc>
        <w:tc>
          <w:tcPr>
            <w:tcW w:type="dxa" w:w="4176"/>
          </w:tcPr>
          <w:p>
            <w:pPr>
              <w:spacing w:after="40"/>
            </w:pPr>
            <w:r>
              <w:rPr>
                <w:sz w:val="19"/>
              </w:rPr>
              <w:t>External, SMA male connector</w:t>
            </w:r>
          </w:p>
        </w:tc>
        <w:tc>
          <w:tcPr>
            <w:tcW w:type="dxa" w:w="2160"/>
          </w:tcPr>
          <w:p>
            <w:pPr>
              <w:spacing w:after="40"/>
            </w:pPr>
            <w:r>
              <w:rPr>
                <w:sz w:val="19"/>
              </w:rPr>
              <w:t>Final</w:t>
            </w:r>
          </w:p>
        </w:tc>
      </w:tr>
      <w:tr>
        <w:tc>
          <w:tcPr>
            <w:tcW w:type="dxa" w:w="3024"/>
          </w:tcPr>
          <w:p>
            <w:pPr>
              <w:spacing w:after="40"/>
            </w:pPr>
            <w:r>
              <w:rPr>
                <w:sz w:val="19"/>
              </w:rPr>
              <w:t>Operating temperature range</w:t>
            </w:r>
          </w:p>
        </w:tc>
        <w:tc>
          <w:tcPr>
            <w:tcW w:type="dxa" w:w="4176"/>
          </w:tcPr>
          <w:p>
            <w:pPr>
              <w:spacing w:after="40"/>
            </w:pPr>
            <w:r>
              <w:rPr>
                <w:sz w:val="19"/>
              </w:rPr>
              <w:t>−20°C to +60°C (ambient)</w:t>
            </w:r>
          </w:p>
        </w:tc>
        <w:tc>
          <w:tcPr>
            <w:tcW w:type="dxa" w:w="2160"/>
          </w:tcPr>
          <w:p>
            <w:pPr>
              <w:spacing w:after="40"/>
            </w:pPr>
            <w:r>
              <w:rPr>
                <w:sz w:val="19"/>
              </w:rPr>
              <w:t>Final (project-confirmed)</w:t>
            </w:r>
          </w:p>
        </w:tc>
      </w:tr>
      <w:tr>
        <w:tc>
          <w:tcPr>
            <w:tcW w:type="dxa" w:w="3024"/>
          </w:tcPr>
          <w:p>
            <w:pPr>
              <w:spacing w:after="40"/>
            </w:pPr>
            <w:r>
              <w:rPr>
                <w:sz w:val="19"/>
              </w:rPr>
              <w:t>Operating humidity range</w:t>
            </w:r>
          </w:p>
        </w:tc>
        <w:tc>
          <w:tcPr>
            <w:tcW w:type="dxa" w:w="4176"/>
          </w:tcPr>
          <w:p>
            <w:pPr>
              <w:spacing w:after="40"/>
            </w:pPr>
            <w:r>
              <w:rPr>
                <w:sz w:val="19"/>
              </w:rPr>
              <w:t>5–95% RH, non-condensing</w:t>
            </w:r>
          </w:p>
        </w:tc>
        <w:tc>
          <w:tcPr>
            <w:tcW w:type="dxa" w:w="2160"/>
          </w:tcPr>
          <w:p>
            <w:pPr>
              <w:spacing w:after="40"/>
            </w:pPr>
            <w:r>
              <w:rPr>
                <w:sz w:val="19"/>
              </w:rPr>
              <w:t>Final (project-confirmed)</w:t>
            </w:r>
          </w:p>
        </w:tc>
      </w:tr>
    </w:tbl>
    <w:p>
      <w:pPr>
        <w:spacing w:after="12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consistently — an extrapolation from the supplier's sub-component drawing, not a direct material callout on the main enclosure drawing. This should be verified against the casing partner's own datasheet for the enclosure body before formal ExCB submission.</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cable gland. M20×1.5 matches the thread size used on the BP18-1Z reference drawing from the same casing manufacturer (Section 2.6.a) and is a standard, IP66-rated gland size well suited to a 2-conductor cable with ≈0.75 mm conductors — selected by engineering judgment from that reference, not from an independent gland datasheet or fit test on GLD's own enclosure. This should be confirmed by test/fit-check before formal ExCB submission. The operating temperature and humidity ranges above are current project-specification values (24 Sep 2026), not yet documented against a calibrated test record.</w:t>
            </w:r>
          </w:p>
        </w:tc>
      </w:tr>
    </w:tbl>
    <w:p>
      <w:pPr>
        <w:spacing w:after="80"/>
      </w:pPr>
    </w:p>
    <w:p>
      <w:pPr>
        <w:spacing w:after="160"/>
      </w:pPr>
      <w:r>
        <w:rPr>
          <w:b w:val="0"/>
          <w:i w:val="0"/>
          <w:sz w:val="21"/>
        </w:rPr>
        <w:t>Three operating modes are distinguished at firmware level:</w:t>
      </w:r>
    </w:p>
    <w:tbl>
      <w:tblPr>
        <w:tblStyle w:val="TableGrid"/>
        <w:tblW w:type="auto" w:w="0"/>
        <w:jc w:val="center"/>
        <w:tblLook w:firstColumn="1" w:firstRow="1" w:lastColumn="0" w:lastRow="0" w:noHBand="0" w:noVBand="1" w:val="04A0"/>
      </w:tblPr>
      <w:tblGrid>
        <w:gridCol w:w="3249"/>
        <w:gridCol w:w="3249"/>
        <w:gridCol w:w="3249"/>
      </w:tblGrid>
      <w:tr>
        <w:tc>
          <w:tcPr>
            <w:tcW w:type="dxa" w:w="1872"/>
            <w:shd w:val="clear" w:color="auto" w:fill="EFEFEF"/>
          </w:tcPr>
          <w:p>
            <w:pPr>
              <w:spacing w:after="40"/>
            </w:pPr>
            <w:r>
              <w:rPr>
                <w:b/>
                <w:color w:val="4A4A4A"/>
                <w:sz w:val="18"/>
              </w:rPr>
              <w:t>Mode</w:t>
            </w:r>
          </w:p>
        </w:tc>
        <w:tc>
          <w:tcPr>
            <w:tcW w:type="dxa" w:w="4464"/>
            <w:shd w:val="clear" w:color="auto" w:fill="EFEFEF"/>
          </w:tcPr>
          <w:p>
            <w:pPr>
              <w:spacing w:after="40"/>
            </w:pPr>
            <w:r>
              <w:rPr>
                <w:b/>
                <w:color w:val="4A4A4A"/>
                <w:sz w:val="18"/>
              </w:rPr>
              <w:t>Purpose</w:t>
            </w:r>
          </w:p>
        </w:tc>
        <w:tc>
          <w:tcPr>
            <w:tcW w:type="dxa" w:w="3312"/>
            <w:shd w:val="clear" w:color="auto" w:fill="EFEFEF"/>
          </w:tcPr>
          <w:p>
            <w:pPr>
              <w:spacing w:after="40"/>
            </w:pPr>
            <w:r>
              <w:rPr>
                <w:b/>
                <w:color w:val="4A4A4A"/>
                <w:sz w:val="18"/>
              </w:rPr>
              <w:t>Use restriction</w:t>
            </w:r>
          </w:p>
        </w:tc>
      </w:tr>
      <w:tr>
        <w:tc>
          <w:tcPr>
            <w:tcW w:type="dxa" w:w="1872"/>
          </w:tcPr>
          <w:p>
            <w:pPr>
              <w:spacing w:after="40"/>
            </w:pPr>
            <w:r>
              <w:rPr>
                <w:sz w:val="19"/>
              </w:rPr>
              <w:t>Inference</w:t>
            </w:r>
          </w:p>
        </w:tc>
        <w:tc>
          <w:tcPr>
            <w:tcW w:type="dxa" w:w="4464"/>
          </w:tcPr>
          <w:p>
            <w:pPr>
              <w:spacing w:after="40"/>
            </w:pPr>
            <w:r>
              <w:rPr>
                <w:sz w:val="19"/>
              </w:rPr>
              <w:t>Normal gas-class inference and alarm operation</w:t>
            </w:r>
          </w:p>
        </w:tc>
        <w:tc>
          <w:tcPr>
            <w:tcW w:type="dxa" w:w="3312"/>
          </w:tcPr>
          <w:p>
            <w:pPr>
              <w:spacing w:after="40"/>
            </w:pPr>
            <w:r>
              <w:rPr>
                <w:sz w:val="19"/>
              </w:rPr>
              <w:t>Production operating mode after commissioning</w:t>
            </w:r>
          </w:p>
        </w:tc>
      </w:tr>
      <w:tr>
        <w:tc>
          <w:tcPr>
            <w:tcW w:type="dxa" w:w="1872"/>
          </w:tcPr>
          <w:p>
            <w:pPr>
              <w:spacing w:after="40"/>
            </w:pPr>
            <w:r>
              <w:rPr>
                <w:sz w:val="19"/>
              </w:rPr>
              <w:t>Dataset</w:t>
            </w:r>
          </w:p>
        </w:tc>
        <w:tc>
          <w:tcPr>
            <w:tcW w:type="dxa" w:w="4464"/>
          </w:tcPr>
          <w:p>
            <w:pPr>
              <w:spacing w:after="40"/>
            </w:pPr>
            <w:r>
              <w:rPr>
                <w:sz w:val="19"/>
              </w:rPr>
              <w:t>Engineering / data-collection activity</w:t>
            </w:r>
          </w:p>
        </w:tc>
        <w:tc>
          <w:tcPr>
            <w:tcW w:type="dxa" w:w="3312"/>
          </w:tcPr>
          <w:p>
            <w:pPr>
              <w:spacing w:after="40"/>
            </w:pPr>
            <w:r>
              <w:rPr>
                <w:sz w:val="19"/>
              </w:rPr>
              <w:t>Not a substitute for approved detection operation</w:t>
            </w:r>
          </w:p>
        </w:tc>
      </w:tr>
      <w:tr>
        <w:tc>
          <w:tcPr>
            <w:tcW w:type="dxa" w:w="1872"/>
          </w:tcPr>
          <w:p>
            <w:pPr>
              <w:spacing w:after="40"/>
            </w:pPr>
            <w:r>
              <w:rPr>
                <w:sz w:val="19"/>
              </w:rPr>
              <w:t>Nulling</w:t>
            </w:r>
          </w:p>
        </w:tc>
        <w:tc>
          <w:tcPr>
            <w:tcW w:type="dxa" w:w="4464"/>
          </w:tcPr>
          <w:p>
            <w:pPr>
              <w:spacing w:after="40"/>
            </w:pPr>
            <w:r>
              <w:rPr>
                <w:sz w:val="19"/>
              </w:rPr>
              <w:t>Sensor baseline / calibration activity</w:t>
            </w:r>
          </w:p>
        </w:tc>
        <w:tc>
          <w:tcPr>
            <w:tcW w:type="dxa" w:w="3312"/>
          </w:tcPr>
          <w:p>
            <w:pPr>
              <w:spacing w:after="40"/>
            </w:pPr>
            <w:r>
              <w:rPr>
                <w:sz w:val="19"/>
              </w:rPr>
              <w:t>Clean air only; approved procedure; requires complete 8/8 result</w:t>
            </w:r>
          </w:p>
        </w:tc>
      </w:tr>
    </w:tbl>
    <w:p>
      <w:pPr>
        <w:spacing w:after="120"/>
      </w:pPr>
    </w:p>
    <w:p>
      <w:pPr>
        <w:pStyle w:val="Heading2"/>
      </w:pPr>
      <w:r>
        <w:t>2.4 · Clear Product Photos (Overall and Key Components)</w:t>
      </w:r>
    </w:p>
    <w:p>
      <w:pPr>
        <w:spacing w:after="160"/>
      </w:pPr>
      <w:r>
        <w:rPr>
          <w:b w:val="0"/>
          <w:i w:val="0"/>
          <w:sz w:val="21"/>
        </w:rPr>
        <w:t>The photographs below were taken directly from the Node Sensor (GLD) V2 prototype unit.</w:t>
      </w:r>
    </w:p>
    <w:p>
      <w:pPr>
        <w:jc w:val="center"/>
      </w:pPr>
      <w:r>
        <w:drawing>
          <wp:inline xmlns:a="http://schemas.openxmlformats.org/drawingml/2006/main" xmlns:pic="http://schemas.openxmlformats.org/drawingml/2006/picture">
            <wp:extent cx="1987074" cy="329184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987074" cy="3291840"/>
                    </a:xfrm>
                    <a:prstGeom prst="rect"/>
                  </pic:spPr>
                </pic:pic>
              </a:graphicData>
            </a:graphic>
          </wp:inline>
        </w:drawing>
      </w:r>
    </w:p>
    <w:p>
      <w:pPr>
        <w:spacing w:after="240"/>
        <w:jc w:val="center"/>
      </w:pPr>
      <w:r>
        <w:rPr>
          <w:i/>
          <w:color w:val="4A4A4A"/>
          <w:sz w:val="17"/>
        </w:rPr>
        <w:t>Assembled unit — motherboard, sensor module, mesh cover, casing, external antenna, and local alarm module.</w:t>
      </w:r>
    </w:p>
    <w:p>
      <w:pPr>
        <w:jc w:val="center"/>
      </w:pPr>
      <w:r>
        <w:drawing>
          <wp:inline xmlns:a="http://schemas.openxmlformats.org/drawingml/2006/main" xmlns:pic="http://schemas.openxmlformats.org/drawingml/2006/picture">
            <wp:extent cx="2468880" cy="329184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2468880" cy="3291840"/>
                    </a:xfrm>
                    <a:prstGeom prst="rect"/>
                  </pic:spPr>
                </pic:pic>
              </a:graphicData>
            </a:graphic>
          </wp:inline>
        </w:drawing>
      </w:r>
    </w:p>
    <w:p>
      <w:pPr>
        <w:spacing w:after="240"/>
        <w:jc w:val="center"/>
      </w:pPr>
      <w:r>
        <w:rPr>
          <w:i/>
          <w:color w:val="4A4A4A"/>
          <w:sz w:val="17"/>
        </w:rPr>
        <w:t>Enclosure, rear view — mounting flange and cable-entry area.</w:t>
      </w: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 name="Picture 3"/>
                  <wp:cNvGraphicFramePr>
                    <a:graphicFrameLocks noChangeAspect="1"/>
                  </wp:cNvGraphicFramePr>
                  <a:graphic>
                    <a:graphicData uri="http://schemas.openxmlformats.org/drawingml/2006/picture">
                      <pic:pic>
                        <pic:nvPicPr>
                          <pic:cNvPr id="0" name="IMG_14.02.34.jpg"/>
                          <pic:cNvPicPr/>
                        </pic:nvPicPr>
                        <pic:blipFill>
                          <a:blip r:embed="rId1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4-101. GLD V2 – Base enclosure before assembly.</w:t>
              <w:br/>
            </w: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4" name="Picture 4"/>
                  <wp:cNvGraphicFramePr>
                    <a:graphicFrameLocks noChangeAspect="1"/>
                  </wp:cNvGraphicFramePr>
                  <a:graphic>
                    <a:graphicData uri="http://schemas.openxmlformats.org/drawingml/2006/picture">
                      <pic:pic>
                        <pic:nvPicPr>
                          <pic:cNvPr id="0" name="IMG_14.03.09.jpg"/>
                          <pic:cNvPicPr/>
                        </pic:nvPicPr>
                        <pic:blipFill>
                          <a:blip r:embed="rId1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4-102. GLD V2 – Main board placed in the base enclosure.</w:t>
              <w:br/>
            </w: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5" name="Picture 5"/>
                  <wp:cNvGraphicFramePr>
                    <a:graphicFrameLocks noChangeAspect="1"/>
                  </wp:cNvGraphicFramePr>
                  <a:graphic>
                    <a:graphicData uri="http://schemas.openxmlformats.org/drawingml/2006/picture">
                      <pic:pic>
                        <pic:nvPicPr>
                          <pic:cNvPr id="0" name="IMG_14.03.33.jpg"/>
                          <pic:cNvPicPr/>
                        </pic:nvPicPr>
                        <pic:blipFill>
                          <a:blip r:embed="rId1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4-103. GLD V2 – Antenna lead connected to the main board.</w:t>
              <w:br/>
            </w: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6" name="Picture 6"/>
                  <wp:cNvGraphicFramePr>
                    <a:graphicFrameLocks noChangeAspect="1"/>
                  </wp:cNvGraphicFramePr>
                  <a:graphic>
                    <a:graphicData uri="http://schemas.openxmlformats.org/drawingml/2006/picture">
                      <pic:pic>
                        <pic:nvPicPr>
                          <pic:cNvPr id="0" name="IMG_14.03.58.jpg"/>
                          <pic:cNvPicPr/>
                        </pic:nvPicPr>
                        <pic:blipFill>
                          <a:blip r:embed="rId16"/>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4-104. GLD V2 – PCB cover / terminal board fitted.</w:t>
              <w:br/>
            </w: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7" name="Picture 7"/>
                  <wp:cNvGraphicFramePr>
                    <a:graphicFrameLocks noChangeAspect="1"/>
                  </wp:cNvGraphicFramePr>
                  <a:graphic>
                    <a:graphicData uri="http://schemas.openxmlformats.org/drawingml/2006/picture">
                      <pic:pic>
                        <pic:nvPicPr>
                          <pic:cNvPr id="0" name="IMG_14.04.17.jpg"/>
                          <pic:cNvPicPr/>
                        </pic:nvPicPr>
                        <pic:blipFill>
                          <a:blip r:embed="rId1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4-105. GLD V2 – Sensor module.</w:t>
              <w:br/>
            </w: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4.34.jpg"/>
                          <pic:cNvPicPr/>
                        </pic:nvPicPr>
                        <pic:blipFill>
                          <a:blip r:embed="rId1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4-106. GLD V2 – Sensor module being inserted.</w:t>
              <w:br/>
            </w: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4.49.jpg"/>
                          <pic:cNvPicPr/>
                        </pic:nvPicPr>
                        <pic:blipFill>
                          <a:blip r:embed="rId1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4-107. GLD V2 – Sensor modules fitted.</w:t>
              <w:br/>
            </w: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5.01.jpg"/>
                          <pic:cNvPicPr/>
                        </pic:nvPicPr>
                        <pic:blipFill>
                          <a:blip r:embed="rId2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4-108. GLD V2 – DC sampling fan.</w:t>
              <w:br/>
            </w: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1" name="Picture 11"/>
                  <wp:cNvGraphicFramePr>
                    <a:graphicFrameLocks noChangeAspect="1"/>
                  </wp:cNvGraphicFramePr>
                  <a:graphic>
                    <a:graphicData uri="http://schemas.openxmlformats.org/drawingml/2006/picture">
                      <pic:pic>
                        <pic:nvPicPr>
                          <pic:cNvPr id="0" name="IMG_14.05.32.jpg"/>
                          <pic:cNvPicPr/>
                        </pic:nvPicPr>
                        <pic:blipFill>
                          <a:blip r:embed="rId21"/>
                          <a:stretch>
                            <a:fillRect/>
                          </a:stretch>
                        </pic:blipFill>
                        <pic:spPr>
                          <a:xfrm>
                            <a:off x="0" y="0"/>
                            <a:ext cx="2653223" cy="2834640"/>
                          </a:xfrm>
                          <a:prstGeom prst="rect"/>
                        </pic:spPr>
                      </pic:pic>
                    </a:graphicData>
                  </a:graphic>
                </wp:inline>
              </w:drawing>
            </w:r>
          </w:p>
          <w:p>
            <w:pPr>
              <w:spacing w:after="160"/>
              <w:jc w:val="center"/>
            </w:pPr>
            <w:r>
              <w:rPr>
                <w:b/>
                <w:color w:val="1B335F"/>
                <w:sz w:val="17"/>
              </w:rPr>
              <w:t>Figure 4-109. GLD V2 – Fan leads terminated.</w:t>
              <w:br/>
            </w: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2" name="Picture 12"/>
                  <wp:cNvGraphicFramePr>
                    <a:graphicFrameLocks noChangeAspect="1"/>
                  </wp:cNvGraphicFramePr>
                  <a:graphic>
                    <a:graphicData uri="http://schemas.openxmlformats.org/drawingml/2006/picture">
                      <pic:pic>
                        <pic:nvPicPr>
                          <pic:cNvPr id="0" name="IMG_14.06.08.jpg"/>
                          <pic:cNvPicPr/>
                        </pic:nvPicPr>
                        <pic:blipFill>
                          <a:blip r:embed="rId22"/>
                          <a:stretch>
                            <a:fillRect/>
                          </a:stretch>
                        </pic:blipFill>
                        <pic:spPr>
                          <a:xfrm>
                            <a:off x="0" y="0"/>
                            <a:ext cx="2743200" cy="2570378"/>
                          </a:xfrm>
                          <a:prstGeom prst="rect"/>
                        </pic:spPr>
                      </pic:pic>
                    </a:graphicData>
                  </a:graphic>
                </wp:inline>
              </w:drawing>
            </w:r>
          </w:p>
          <w:p>
            <w:pPr>
              <w:spacing w:after="160"/>
              <w:jc w:val="center"/>
            </w:pPr>
            <w:r>
              <w:rPr>
                <w:b/>
                <w:color w:val="1B335F"/>
                <w:sz w:val="17"/>
              </w:rPr>
              <w:t>Figure 4-110. GLD V2 – Alarm beacon fitted.</w:t>
              <w:br/>
            </w: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3" name="Picture 13"/>
                  <wp:cNvGraphicFramePr>
                    <a:graphicFrameLocks noChangeAspect="1"/>
                  </wp:cNvGraphicFramePr>
                  <a:graphic>
                    <a:graphicData uri="http://schemas.openxmlformats.org/drawingml/2006/picture">
                      <pic:pic>
                        <pic:nvPicPr>
                          <pic:cNvPr id="0" name="IMG_14.07.08.jpg"/>
                          <pic:cNvPicPr/>
                        </pic:nvPicPr>
                        <pic:blipFill>
                          <a:blip r:embed="rId23"/>
                          <a:stretch>
                            <a:fillRect/>
                          </a:stretch>
                        </pic:blipFill>
                        <pic:spPr>
                          <a:xfrm>
                            <a:off x="0" y="0"/>
                            <a:ext cx="2743200" cy="2389327"/>
                          </a:xfrm>
                          <a:prstGeom prst="rect"/>
                        </pic:spPr>
                      </pic:pic>
                    </a:graphicData>
                  </a:graphic>
                </wp:inline>
              </w:drawing>
            </w:r>
          </w:p>
          <w:p>
            <w:pPr>
              <w:spacing w:after="160"/>
              <w:jc w:val="center"/>
            </w:pPr>
            <w:r>
              <w:rPr>
                <w:b/>
                <w:color w:val="1B335F"/>
                <w:sz w:val="17"/>
              </w:rPr>
              <w:t>Figure 4-111. GLD V2 – Alarm leads terminated.</w:t>
              <w:br/>
            </w: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4" name="Picture 14"/>
                  <wp:cNvGraphicFramePr>
                    <a:graphicFrameLocks noChangeAspect="1"/>
                  </wp:cNvGraphicFramePr>
                  <a:graphic>
                    <a:graphicData uri="http://schemas.openxmlformats.org/drawingml/2006/picture">
                      <pic:pic>
                        <pic:nvPicPr>
                          <pic:cNvPr id="0" name="IMG_14.08.05.jpg"/>
                          <pic:cNvPicPr/>
                        </pic:nvPicPr>
                        <pic:blipFill>
                          <a:blip r:embed="rId24"/>
                          <a:stretch>
                            <a:fillRect/>
                          </a:stretch>
                        </pic:blipFill>
                        <pic:spPr>
                          <a:xfrm>
                            <a:off x="0" y="0"/>
                            <a:ext cx="2743200" cy="2586838"/>
                          </a:xfrm>
                          <a:prstGeom prst="rect"/>
                        </pic:spPr>
                      </pic:pic>
                    </a:graphicData>
                  </a:graphic>
                </wp:inline>
              </w:drawing>
            </w:r>
          </w:p>
          <w:p>
            <w:pPr>
              <w:spacing w:after="160"/>
              <w:jc w:val="center"/>
            </w:pPr>
            <w:r>
              <w:rPr>
                <w:b/>
                <w:color w:val="1B335F"/>
                <w:sz w:val="17"/>
              </w:rPr>
              <w:t>Figure 4-112. GLD V2 – Cable gland fitted to the left-hand entry.</w:t>
              <w:br/>
            </w: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15" name="Picture 15"/>
                  <wp:cNvGraphicFramePr>
                    <a:graphicFrameLocks noChangeAspect="1"/>
                  </wp:cNvGraphicFramePr>
                  <a:graphic>
                    <a:graphicData uri="http://schemas.openxmlformats.org/drawingml/2006/picture">
                      <pic:pic>
                        <pic:nvPicPr>
                          <pic:cNvPr id="0" name="IMG_14.09.23.jpg"/>
                          <pic:cNvPicPr/>
                        </pic:nvPicPr>
                        <pic:blipFill>
                          <a:blip r:embed="rId25"/>
                          <a:stretch>
                            <a:fillRect/>
                          </a:stretch>
                        </pic:blipFill>
                        <pic:spPr>
                          <a:xfrm>
                            <a:off x="0" y="0"/>
                            <a:ext cx="2548341" cy="2834640"/>
                          </a:xfrm>
                          <a:prstGeom prst="rect"/>
                        </pic:spPr>
                      </pic:pic>
                    </a:graphicData>
                  </a:graphic>
                </wp:inline>
              </w:drawing>
            </w:r>
          </w:p>
          <w:p>
            <w:pPr>
              <w:spacing w:after="160"/>
              <w:jc w:val="center"/>
            </w:pPr>
            <w:r>
              <w:rPr>
                <w:b/>
                <w:color w:val="1B335F"/>
                <w:sz w:val="17"/>
              </w:rPr>
              <w:t>Figure 4-113. GLD V2 – 24 VDC cable inserted.</w:t>
              <w:br/>
            </w: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16" name="Picture 16"/>
                  <wp:cNvGraphicFramePr>
                    <a:graphicFrameLocks noChangeAspect="1"/>
                  </wp:cNvGraphicFramePr>
                  <a:graphic>
                    <a:graphicData uri="http://schemas.openxmlformats.org/drawingml/2006/picture">
                      <pic:pic>
                        <pic:nvPicPr>
                          <pic:cNvPr id="0" name="IMG_14.10.55.jpg"/>
                          <pic:cNvPicPr/>
                        </pic:nvPicPr>
                        <pic:blipFill>
                          <a:blip r:embed="rId26"/>
                          <a:stretch>
                            <a:fillRect/>
                          </a:stretch>
                        </pic:blipFill>
                        <pic:spPr>
                          <a:xfrm>
                            <a:off x="0" y="0"/>
                            <a:ext cx="2743200" cy="2723998"/>
                          </a:xfrm>
                          <a:prstGeom prst="rect"/>
                        </pic:spPr>
                      </pic:pic>
                    </a:graphicData>
                  </a:graphic>
                </wp:inline>
              </w:drawing>
            </w:r>
          </w:p>
          <w:p>
            <w:pPr>
              <w:spacing w:after="160"/>
              <w:jc w:val="center"/>
            </w:pPr>
            <w:r>
              <w:rPr>
                <w:b/>
                <w:color w:val="1B335F"/>
                <w:sz w:val="17"/>
              </w:rPr>
              <w:t>Figure 4-114. GLD V2 – 24 VDC conductors terminated.</w:t>
              <w:br/>
            </w: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17" name="Picture 17"/>
                  <wp:cNvGraphicFramePr>
                    <a:graphicFrameLocks noChangeAspect="1"/>
                  </wp:cNvGraphicFramePr>
                  <a:graphic>
                    <a:graphicData uri="http://schemas.openxmlformats.org/drawingml/2006/picture">
                      <pic:pic>
                        <pic:nvPicPr>
                          <pic:cNvPr id="0" name="IMG_14.12.07.jpg"/>
                          <pic:cNvPicPr/>
                        </pic:nvPicPr>
                        <pic:blipFill>
                          <a:blip r:embed="rId27"/>
                          <a:stretch>
                            <a:fillRect/>
                          </a:stretch>
                        </pic:blipFill>
                        <pic:spPr>
                          <a:xfrm>
                            <a:off x="0" y="0"/>
                            <a:ext cx="2743200" cy="2359152"/>
                          </a:xfrm>
                          <a:prstGeom prst="rect"/>
                        </pic:spPr>
                      </pic:pic>
                    </a:graphicData>
                  </a:graphic>
                </wp:inline>
              </w:drawing>
            </w:r>
          </w:p>
          <w:p>
            <w:pPr>
              <w:spacing w:after="160"/>
              <w:jc w:val="center"/>
            </w:pPr>
            <w:r>
              <w:rPr>
                <w:b/>
                <w:color w:val="1B335F"/>
                <w:sz w:val="17"/>
              </w:rPr>
              <w:t>Figure 4-115. GLD V2 – Cover with sampling fan.</w:t>
              <w:br/>
            </w: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18" name="Picture 18"/>
                  <wp:cNvGraphicFramePr>
                    <a:graphicFrameLocks noChangeAspect="1"/>
                  </wp:cNvGraphicFramePr>
                  <a:graphic>
                    <a:graphicData uri="http://schemas.openxmlformats.org/drawingml/2006/picture">
                      <pic:pic>
                        <pic:nvPicPr>
                          <pic:cNvPr id="0" name="IMG_14.17.20.jpg"/>
                          <pic:cNvPicPr/>
                        </pic:nvPicPr>
                        <pic:blipFill>
                          <a:blip r:embed="rId28"/>
                          <a:stretch>
                            <a:fillRect/>
                          </a:stretch>
                        </pic:blipFill>
                        <pic:spPr>
                          <a:xfrm>
                            <a:off x="0" y="0"/>
                            <a:ext cx="2743200" cy="2328977"/>
                          </a:xfrm>
                          <a:prstGeom prst="rect"/>
                        </pic:spPr>
                      </pic:pic>
                    </a:graphicData>
                  </a:graphic>
                </wp:inline>
              </w:drawing>
            </w:r>
          </w:p>
          <w:p>
            <w:pPr>
              <w:spacing w:after="160"/>
              <w:jc w:val="center"/>
            </w:pPr>
            <w:r>
              <w:rPr>
                <w:b/>
                <w:color w:val="1B335F"/>
                <w:sz w:val="17"/>
              </w:rPr>
              <w:t>Figure 4-116. GLD V2 – Assembled unit — grounding.</w:t>
              <w:br/>
            </w: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19" name="Picture 19"/>
                  <wp:cNvGraphicFramePr>
                    <a:graphicFrameLocks noChangeAspect="1"/>
                  </wp:cNvGraphicFramePr>
                  <a:graphic>
                    <a:graphicData uri="http://schemas.openxmlformats.org/drawingml/2006/picture">
                      <pic:pic>
                        <pic:nvPicPr>
                          <pic:cNvPr id="0" name="IMG_14.34.54.jpg"/>
                          <pic:cNvPicPr/>
                        </pic:nvPicPr>
                        <pic:blipFill>
                          <a:blip r:embed="rId29"/>
                          <a:stretch>
                            <a:fillRect/>
                          </a:stretch>
                        </pic:blipFill>
                        <pic:spPr>
                          <a:xfrm>
                            <a:off x="0" y="0"/>
                            <a:ext cx="2743200" cy="2416759"/>
                          </a:xfrm>
                          <a:prstGeom prst="rect"/>
                        </pic:spPr>
                      </pic:pic>
                    </a:graphicData>
                  </a:graphic>
                </wp:inline>
              </w:drawing>
            </w:r>
          </w:p>
          <w:p>
            <w:pPr>
              <w:spacing w:after="160"/>
              <w:jc w:val="center"/>
            </w:pPr>
            <w:r>
              <w:rPr>
                <w:b/>
                <w:color w:val="1B335F"/>
                <w:sz w:val="17"/>
              </w:rPr>
              <w:t>Figure 4-117. GLD V2 – Threaded cover being closed.</w:t>
              <w:br/>
            </w:r>
            <w:r>
              <w:rPr>
                <w:color w:val="555B66"/>
                <w:sz w:val="16"/>
              </w:rPr>
              <w:t>The threaded cover is screwed onto the base by hand.</w:t>
            </w:r>
          </w:p>
        </w:tc>
        <w:tc>
          <w:tcPr>
            <w:tcW w:type="dxa" w:w="4873"/>
          </w:tcPr>
          <w:p>
            <w:pPr>
              <w:jc w:val="center"/>
            </w:pPr>
            <w:r>
              <w:drawing>
                <wp:inline xmlns:a="http://schemas.openxmlformats.org/drawingml/2006/main" xmlns:pic="http://schemas.openxmlformats.org/drawingml/2006/picture">
                  <wp:extent cx="2743200" cy="2021738"/>
                  <wp:docPr id="20" name="Picture 20"/>
                  <wp:cNvGraphicFramePr>
                    <a:graphicFrameLocks noChangeAspect="1"/>
                  </wp:cNvGraphicFramePr>
                  <a:graphic>
                    <a:graphicData uri="http://schemas.openxmlformats.org/drawingml/2006/picture">
                      <pic:pic>
                        <pic:nvPicPr>
                          <pic:cNvPr id="0" name="IMG_14.35.32.jpg"/>
                          <pic:cNvPicPr/>
                        </pic:nvPicPr>
                        <pic:blipFill>
                          <a:blip r:embed="rId30"/>
                          <a:stretch>
                            <a:fillRect/>
                          </a:stretch>
                        </pic:blipFill>
                        <pic:spPr>
                          <a:xfrm>
                            <a:off x="0" y="0"/>
                            <a:ext cx="2743200" cy="2021738"/>
                          </a:xfrm>
                          <a:prstGeom prst="rect"/>
                        </pic:spPr>
                      </pic:pic>
                    </a:graphicData>
                  </a:graphic>
                </wp:inline>
              </w:drawing>
            </w:r>
          </w:p>
          <w:p>
            <w:pPr>
              <w:spacing w:after="160"/>
              <w:jc w:val="center"/>
            </w:pPr>
            <w:r>
              <w:rPr>
                <w:b/>
                <w:color w:val="1B335F"/>
                <w:sz w:val="17"/>
              </w:rPr>
              <w:t>Figure 4-118. GLD V2 – Assembled unit — front view.</w:t>
              <w:br/>
            </w:r>
            <w:r>
              <w:rPr>
                <w:color w:val="555B66"/>
                <w:sz w:val="16"/>
              </w:rPr>
              <w:t>Stainless-steel mesh sensing face; cable gland (left), alarm beacon (right), antenna (top).</w:t>
            </w:r>
          </w:p>
        </w:tc>
      </w:tr>
      <w:tr>
        <w:tc>
          <w:tcPr>
            <w:tcW w:type="dxa" w:w="4873"/>
          </w:tcPr>
          <w:p>
            <w:pPr>
              <w:jc w:val="center"/>
            </w:pPr>
            <w:r>
              <w:drawing>
                <wp:inline xmlns:a="http://schemas.openxmlformats.org/drawingml/2006/main" xmlns:pic="http://schemas.openxmlformats.org/drawingml/2006/picture">
                  <wp:extent cx="2743200" cy="1870862"/>
                  <wp:docPr id="21" name="Picture 21"/>
                  <wp:cNvGraphicFramePr>
                    <a:graphicFrameLocks noChangeAspect="1"/>
                  </wp:cNvGraphicFramePr>
                  <a:graphic>
                    <a:graphicData uri="http://schemas.openxmlformats.org/drawingml/2006/picture">
                      <pic:pic>
                        <pic:nvPicPr>
                          <pic:cNvPr id="0" name="IMG_14.35.54.jpg"/>
                          <pic:cNvPicPr/>
                        </pic:nvPicPr>
                        <pic:blipFill>
                          <a:blip r:embed="rId31"/>
                          <a:stretch>
                            <a:fillRect/>
                          </a:stretch>
                        </pic:blipFill>
                        <pic:spPr>
                          <a:xfrm>
                            <a:off x="0" y="0"/>
                            <a:ext cx="2743200" cy="1870862"/>
                          </a:xfrm>
                          <a:prstGeom prst="rect"/>
                        </pic:spPr>
                      </pic:pic>
                    </a:graphicData>
                  </a:graphic>
                </wp:inline>
              </w:drawing>
            </w:r>
          </w:p>
          <w:p>
            <w:pPr>
              <w:spacing w:after="160"/>
              <w:jc w:val="center"/>
            </w:pPr>
            <w:r>
              <w:rPr>
                <w:b/>
                <w:color w:val="1B335F"/>
                <w:sz w:val="17"/>
              </w:rPr>
              <w:t>Figure 4-119. GLD V2 – Assembled unit — side view with blanking plug.</w:t>
              <w:br/>
            </w:r>
            <w:r>
              <w:rPr>
                <w:color w:val="555B66"/>
                <w:sz w:val="16"/>
              </w:rPr>
              <w:t>Hexagon blanking plug closing the lower entry; alarm beacon on the right.</w:t>
            </w:r>
          </w:p>
        </w:tc>
        <w:tc>
          <w:tcPr>
            <w:tcW w:type="dxa" w:w="4873"/>
          </w:tcPr>
          <w:p>
            <w:pPr>
              <w:jc w:val="center"/>
            </w:pPr>
            <w:r>
              <w:drawing>
                <wp:inline xmlns:a="http://schemas.openxmlformats.org/drawingml/2006/main" xmlns:pic="http://schemas.openxmlformats.org/drawingml/2006/picture">
                  <wp:extent cx="2743200" cy="1881835"/>
                  <wp:docPr id="22" name="Picture 22"/>
                  <wp:cNvGraphicFramePr>
                    <a:graphicFrameLocks noChangeAspect="1"/>
                  </wp:cNvGraphicFramePr>
                  <a:graphic>
                    <a:graphicData uri="http://schemas.openxmlformats.org/drawingml/2006/picture">
                      <pic:pic>
                        <pic:nvPicPr>
                          <pic:cNvPr id="0" name="IMG_14.36.39.jpg"/>
                          <pic:cNvPicPr/>
                        </pic:nvPicPr>
                        <pic:blipFill>
                          <a:blip r:embed="rId32"/>
                          <a:stretch>
                            <a:fillRect/>
                          </a:stretch>
                        </pic:blipFill>
                        <pic:spPr>
                          <a:xfrm>
                            <a:off x="0" y="0"/>
                            <a:ext cx="2743200" cy="1881835"/>
                          </a:xfrm>
                          <a:prstGeom prst="rect"/>
                        </pic:spPr>
                      </pic:pic>
                    </a:graphicData>
                  </a:graphic>
                </wp:inline>
              </w:drawing>
            </w:r>
          </w:p>
          <w:p>
            <w:pPr>
              <w:spacing w:after="160"/>
              <w:jc w:val="center"/>
            </w:pPr>
            <w:r>
              <w:rPr>
                <w:b/>
                <w:color w:val="1B335F"/>
                <w:sz w:val="17"/>
              </w:rPr>
              <w:t>Figure 4-120. GLD V2 – Assembled unit — side view with cable entry.</w:t>
              <w:br/>
            </w:r>
            <w:r>
              <w:rPr>
                <w:color w:val="555B66"/>
                <w:sz w:val="16"/>
              </w:rPr>
              <w:t>Cable gland, external grounding screw and antenna.</w:t>
            </w:r>
          </w:p>
        </w:tc>
      </w:tr>
      <w:tr>
        <w:tc>
          <w:tcPr>
            <w:tcW w:type="dxa" w:w="4873"/>
          </w:tcPr>
          <w:p>
            <w:pPr>
              <w:jc w:val="center"/>
            </w:pPr>
            <w:r>
              <w:drawing>
                <wp:inline xmlns:a="http://schemas.openxmlformats.org/drawingml/2006/main" xmlns:pic="http://schemas.openxmlformats.org/drawingml/2006/picture">
                  <wp:extent cx="2743200" cy="2153412"/>
                  <wp:docPr id="23" name="Picture 23"/>
                  <wp:cNvGraphicFramePr>
                    <a:graphicFrameLocks noChangeAspect="1"/>
                  </wp:cNvGraphicFramePr>
                  <a:graphic>
                    <a:graphicData uri="http://schemas.openxmlformats.org/drawingml/2006/picture">
                      <pic:pic>
                        <pic:nvPicPr>
                          <pic:cNvPr id="0" name="IMG_14.37.03.jpg"/>
                          <pic:cNvPicPr/>
                        </pic:nvPicPr>
                        <pic:blipFill>
                          <a:blip r:embed="rId33"/>
                          <a:stretch>
                            <a:fillRect/>
                          </a:stretch>
                        </pic:blipFill>
                        <pic:spPr>
                          <a:xfrm>
                            <a:off x="0" y="0"/>
                            <a:ext cx="2743200" cy="2153412"/>
                          </a:xfrm>
                          <a:prstGeom prst="rect"/>
                        </pic:spPr>
                      </pic:pic>
                    </a:graphicData>
                  </a:graphic>
                </wp:inline>
              </w:drawing>
            </w:r>
          </w:p>
          <w:p>
            <w:pPr>
              <w:spacing w:after="160"/>
              <w:jc w:val="center"/>
            </w:pPr>
            <w:r>
              <w:rPr>
                <w:b/>
                <w:color w:val="1B335F"/>
                <w:sz w:val="17"/>
              </w:rPr>
              <w:t>Figure 4-121. GLD V2 – Assembled unit — side view with beacon.</w:t>
              <w:br/>
            </w:r>
            <w:r>
              <w:rPr>
                <w:color w:val="555B66"/>
                <w:sz w:val="16"/>
              </w:rPr>
              <w:t>Alarm beacon and mounting lugs.</w:t>
            </w:r>
          </w:p>
        </w:tc>
        <w:tc>
          <w:tcPr>
            <w:tcW w:type="dxa" w:w="4873"/>
          </w:tcPr>
          <w:p>
            <w:pPr>
              <w:jc w:val="center"/>
            </w:pPr>
            <w:r>
              <w:drawing>
                <wp:inline xmlns:a="http://schemas.openxmlformats.org/drawingml/2006/main" xmlns:pic="http://schemas.openxmlformats.org/drawingml/2006/picture">
                  <wp:extent cx="2743200" cy="1868119"/>
                  <wp:docPr id="24" name="Picture 24"/>
                  <wp:cNvGraphicFramePr>
                    <a:graphicFrameLocks noChangeAspect="1"/>
                  </wp:cNvGraphicFramePr>
                  <a:graphic>
                    <a:graphicData uri="http://schemas.openxmlformats.org/drawingml/2006/picture">
                      <pic:pic>
                        <pic:nvPicPr>
                          <pic:cNvPr id="0" name="IMG_14.37.30.jpg"/>
                          <pic:cNvPicPr/>
                        </pic:nvPicPr>
                        <pic:blipFill>
                          <a:blip r:embed="rId34"/>
                          <a:stretch>
                            <a:fillRect/>
                          </a:stretch>
                        </pic:blipFill>
                        <pic:spPr>
                          <a:xfrm>
                            <a:off x="0" y="0"/>
                            <a:ext cx="2743200" cy="1868119"/>
                          </a:xfrm>
                          <a:prstGeom prst="rect"/>
                        </pic:spPr>
                      </pic:pic>
                    </a:graphicData>
                  </a:graphic>
                </wp:inline>
              </w:drawing>
            </w:r>
          </w:p>
          <w:p>
            <w:pPr>
              <w:spacing w:after="160"/>
              <w:jc w:val="center"/>
            </w:pPr>
            <w:r>
              <w:rPr>
                <w:b/>
                <w:color w:val="1B335F"/>
                <w:sz w:val="17"/>
              </w:rPr>
              <w:t>Figure 4-122. GLD V2 – Assembled unit — side view of the base.</w:t>
              <w:br/>
            </w:r>
            <w:r>
              <w:rPr>
                <w:color w:val="555B66"/>
                <w:sz w:val="16"/>
              </w:rPr>
              <w:t>Beacon entry (left), cable gland (right) and antenna.</w:t>
            </w:r>
          </w:p>
        </w:tc>
      </w:tr>
      <w:tr>
        <w:tc>
          <w:tcPr>
            <w:tcW w:type="dxa" w:w="4873"/>
          </w:tcPr>
          <w:p>
            <w:pPr>
              <w:jc w:val="center"/>
            </w:pPr>
            <w:r>
              <w:drawing>
                <wp:inline xmlns:a="http://schemas.openxmlformats.org/drawingml/2006/main" xmlns:pic="http://schemas.openxmlformats.org/drawingml/2006/picture">
                  <wp:extent cx="2743200" cy="2029968"/>
                  <wp:docPr id="25" name="Picture 25"/>
                  <wp:cNvGraphicFramePr>
                    <a:graphicFrameLocks noChangeAspect="1"/>
                  </wp:cNvGraphicFramePr>
                  <a:graphic>
                    <a:graphicData uri="http://schemas.openxmlformats.org/drawingml/2006/picture">
                      <pic:pic>
                        <pic:nvPicPr>
                          <pic:cNvPr id="0" name="IMG_14.38.01.jpg"/>
                          <pic:cNvPicPr/>
                        </pic:nvPicPr>
                        <pic:blipFill>
                          <a:blip r:embed="rId35"/>
                          <a:stretch>
                            <a:fillRect/>
                          </a:stretch>
                        </pic:blipFill>
                        <pic:spPr>
                          <a:xfrm>
                            <a:off x="0" y="0"/>
                            <a:ext cx="2743200" cy="2029968"/>
                          </a:xfrm>
                          <a:prstGeom prst="rect"/>
                        </pic:spPr>
                      </pic:pic>
                    </a:graphicData>
                  </a:graphic>
                </wp:inline>
              </w:drawing>
            </w:r>
          </w:p>
          <w:p>
            <w:pPr>
              <w:spacing w:after="160"/>
              <w:jc w:val="center"/>
            </w:pPr>
            <w:r>
              <w:rPr>
                <w:b/>
                <w:color w:val="1B335F"/>
                <w:sz w:val="17"/>
              </w:rPr>
              <w:t>Figure 4-123. GLD V2 – Assembled unit — rear view.</w:t>
              <w:br/>
            </w:r>
            <w:r>
              <w:rPr>
                <w:color w:val="555B66"/>
                <w:sz w:val="16"/>
              </w:rPr>
              <w:t>Rear face of the base with mounting lugs; antenna (top), beacon (left), cable gland (right).</w:t>
            </w:r>
          </w:p>
        </w:tc>
        <w:tc>
          <w:tcPr>
            <w:tcW w:type="dxa" w:w="4873"/>
          </w:tcPr>
          <w:p>
            <w:pPr>
              <w:jc w:val="center"/>
            </w:pPr>
            <w:r>
              <w:drawing>
                <wp:inline xmlns:a="http://schemas.openxmlformats.org/drawingml/2006/main" xmlns:pic="http://schemas.openxmlformats.org/drawingml/2006/picture">
                  <wp:extent cx="2125980" cy="2834640"/>
                  <wp:docPr id="26" name="Picture 26"/>
                  <wp:cNvGraphicFramePr>
                    <a:graphicFrameLocks noChangeAspect="1"/>
                  </wp:cNvGraphicFramePr>
                  <a:graphic>
                    <a:graphicData uri="http://schemas.openxmlformats.org/drawingml/2006/picture">
                      <pic:pic>
                        <pic:nvPicPr>
                          <pic:cNvPr id="0" name="Nameplate_position_beside_antenna.jpg"/>
                          <pic:cNvPicPr/>
                        </pic:nvPicPr>
                        <pic:blipFill>
                          <a:blip r:embed="rId36"/>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4-124. GLD V2 – Nameplate position.</w:t>
              <w:br/>
            </w:r>
            <w:r>
              <w:rPr>
                <w:color w:val="555B66"/>
                <w:sz w:val="16"/>
              </w:rPr>
              <w:t>Flat top face of the base enclosure beside the antenna, between the antenna and the mounting lug — the intended location of the nameplate (marking still draft; not yet fitted).</w:t>
            </w:r>
          </w:p>
        </w:tc>
      </w:tr>
      <w:tr>
        <w:tc>
          <w:tcPr>
            <w:tcW w:type="dxa" w:w="4873"/>
          </w:tcPr>
          <w:p>
            <w:pPr>
              <w:jc w:val="center"/>
            </w:pPr>
            <w:r>
              <w:drawing>
                <wp:inline xmlns:a="http://schemas.openxmlformats.org/drawingml/2006/main" xmlns:pic="http://schemas.openxmlformats.org/drawingml/2006/picture">
                  <wp:extent cx="2125980" cy="2834640"/>
                  <wp:docPr id="27" name="Picture 27"/>
                  <wp:cNvGraphicFramePr>
                    <a:graphicFrameLocks noChangeAspect="1"/>
                  </wp:cNvGraphicFramePr>
                  <a:graphic>
                    <a:graphicData uri="http://schemas.openxmlformats.org/drawingml/2006/picture">
                      <pic:pic>
                        <pic:nvPicPr>
                          <pic:cNvPr id="0" name="Antenna_interface_outside.jpg"/>
                          <pic:cNvPicPr/>
                        </pic:nvPicPr>
                        <pic:blipFill>
                          <a:blip r:embed="rId3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4-125. GLD V2 – Antenna interface — outside.</w:t>
              <w:br/>
            </w:r>
            <w:r>
              <w:rPr>
                <w:color w:val="555B66"/>
                <w:sz w:val="16"/>
              </w:rPr>
              <w:t>External antenna screwed onto its connector on the top face of the base enclosure; the threaded cover joint with its black O-ring and the hexagon blanking plug with O-ring are also visible.</w:t>
            </w:r>
          </w:p>
        </w:tc>
        <w:tc>
          <w:tcPr>
            <w:tcW w:type="dxa" w:w="4873"/>
          </w:tcPr>
          <w:p>
            <w:pPr>
              <w:jc w:val="center"/>
            </w:pPr>
            <w:r>
              <w:drawing>
                <wp:inline xmlns:a="http://schemas.openxmlformats.org/drawingml/2006/main" xmlns:pic="http://schemas.openxmlformats.org/drawingml/2006/picture">
                  <wp:extent cx="2125980" cy="2834640"/>
                  <wp:docPr id="28" name="Picture 28"/>
                  <wp:cNvGraphicFramePr>
                    <a:graphicFrameLocks noChangeAspect="1"/>
                  </wp:cNvGraphicFramePr>
                  <a:graphic>
                    <a:graphicData uri="http://schemas.openxmlformats.org/drawingml/2006/picture">
                      <pic:pic>
                        <pic:nvPicPr>
                          <pic:cNvPr id="0" name="Antenna_interface_inside.jpg"/>
                          <pic:cNvPicPr/>
                        </pic:nvPicPr>
                        <pic:blipFill>
                          <a:blip r:embed="rId3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4-126. GLD V2 – Antenna interface — inside the enclosure.</w:t>
              <w:br/>
            </w:r>
            <w:r>
              <w:rPr>
                <w:color w:val="555B66"/>
                <w:sz w:val="16"/>
              </w:rPr>
              <w:t>Brass SMA bulkhead seated in a spot-faced hole through the enclosure wall, with the U.FL pigtail running to the main board; PCB mounting boss below.</w:t>
            </w:r>
          </w:p>
        </w:tc>
      </w:tr>
      <w:tr>
        <w:tc>
          <w:tcPr>
            <w:tcW w:type="dxa" w:w="4873"/>
          </w:tcPr>
          <w:p>
            <w:pPr>
              <w:jc w:val="center"/>
            </w:pPr>
            <w:r>
              <w:drawing>
                <wp:inline xmlns:a="http://schemas.openxmlformats.org/drawingml/2006/main" xmlns:pic="http://schemas.openxmlformats.org/drawingml/2006/picture">
                  <wp:extent cx="2125980" cy="2834640"/>
                  <wp:docPr id="29" name="Picture 29"/>
                  <wp:cNvGraphicFramePr>
                    <a:graphicFrameLocks noChangeAspect="1"/>
                  </wp:cNvGraphicFramePr>
                  <a:graphic>
                    <a:graphicData uri="http://schemas.openxmlformats.org/drawingml/2006/picture">
                      <pic:pic>
                        <pic:nvPicPr>
                          <pic:cNvPr id="0" name="Cover_thread_and_entry_thread.jpg"/>
                          <pic:cNvPicPr/>
                        </pic:nvPicPr>
                        <pic:blipFill>
                          <a:blip r:embed="rId3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4-127. GLD V2 – Cover thread and side-entry thread.</w:t>
              <w:br/>
            </w:r>
            <w:r>
              <w:rPr>
                <w:color w:val="555B66"/>
                <w:sz w:val="16"/>
              </w:rPr>
              <w:t>External thread on the base neck that carries the threaded cover (about 10 visible threads), black O-ring at the root of the thread, and an internally threaded side entry (estimated M20 × 1.5). Caliper measurements of the same neck are given in Figures 4-128 to 4-131; see Section 2.6.e.3.</w:t>
            </w:r>
          </w:p>
        </w:tc>
        <w:tc>
          <w:tcPr>
            <w:tcW w:type="dxa" w:w="4873"/>
          </w:tcPr>
          <w:p>
            <w:pPr>
              <w:jc w:val="center"/>
            </w:pPr>
            <w:r>
              <w:drawing>
                <wp:inline xmlns:a="http://schemas.openxmlformats.org/drawingml/2006/main" xmlns:pic="http://schemas.openxmlformats.org/drawingml/2006/picture">
                  <wp:extent cx="2125980" cy="2834640"/>
                  <wp:docPr id="30" name="Picture 30"/>
                  <wp:cNvGraphicFramePr>
                    <a:graphicFrameLocks noChangeAspect="1"/>
                  </wp:cNvGraphicFramePr>
                  <a:graphic>
                    <a:graphicData uri="http://schemas.openxmlformats.org/drawingml/2006/picture">
                      <pic:pic>
                        <pic:nvPicPr>
                          <pic:cNvPr id="0" name="Base_caliper_wall_at_Oring.jpg"/>
                          <pic:cNvPicPr/>
                        </pic:nvPicPr>
                        <pic:blipFill>
                          <a:blip r:embed="rId4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4-128. GLD V2 – Base neck wall at the O-ring — caliper 10.50 mm.</w:t>
              <w:br/>
            </w:r>
            <w:r>
              <w:rPr>
                <w:color w:val="555B66"/>
                <w:sz w:val="16"/>
              </w:rPr>
              <w:t>Vernier caliper (0.05 mm) across the neck wall at its root, just above the O-ring: reading 10.50 mm.</w:t>
            </w:r>
          </w:p>
        </w:tc>
      </w:tr>
      <w:tr>
        <w:tc>
          <w:tcPr>
            <w:tcW w:type="dxa" w:w="4873"/>
          </w:tcPr>
          <w:p>
            <w:pPr>
              <w:jc w:val="center"/>
            </w:pPr>
            <w:r>
              <w:drawing>
                <wp:inline xmlns:a="http://schemas.openxmlformats.org/drawingml/2006/main" xmlns:pic="http://schemas.openxmlformats.org/drawingml/2006/picture">
                  <wp:extent cx="2125980" cy="2834640"/>
                  <wp:docPr id="31" name="Picture 31"/>
                  <wp:cNvGraphicFramePr>
                    <a:graphicFrameLocks noChangeAspect="1"/>
                  </wp:cNvGraphicFramePr>
                  <a:graphic>
                    <a:graphicData uri="http://schemas.openxmlformats.org/drawingml/2006/picture">
                      <pic:pic>
                        <pic:nvPicPr>
                          <pic:cNvPr id="0" name="Base_caliper_wall_at_top.jpg"/>
                          <pic:cNvPicPr/>
                        </pic:nvPicPr>
                        <pic:blipFill>
                          <a:blip r:embed="rId41"/>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4-129. GLD V2 – Base neck wall at the top — caliper 5.80 mm.</w:t>
              <w:br/>
            </w:r>
            <w:r>
              <w:rPr>
                <w:color w:val="555B66"/>
                <w:sz w:val="16"/>
              </w:rPr>
              <w:t>Caliper across the threaded neck wall at its top edge (inner bore to thread crest): reading 5.80 mm.</w:t>
            </w:r>
          </w:p>
        </w:tc>
        <w:tc>
          <w:tcPr>
            <w:tcW w:type="dxa" w:w="4873"/>
          </w:tcPr>
          <w:p>
            <w:pPr>
              <w:jc w:val="center"/>
            </w:pPr>
            <w:r>
              <w:drawing>
                <wp:inline xmlns:a="http://schemas.openxmlformats.org/drawingml/2006/main" xmlns:pic="http://schemas.openxmlformats.org/drawingml/2006/picture">
                  <wp:extent cx="2125980" cy="2834640"/>
                  <wp:docPr id="32" name="Picture 32"/>
                  <wp:cNvGraphicFramePr>
                    <a:graphicFrameLocks noChangeAspect="1"/>
                  </wp:cNvGraphicFramePr>
                  <a:graphic>
                    <a:graphicData uri="http://schemas.openxmlformats.org/drawingml/2006/picture">
                      <pic:pic>
                        <pic:nvPicPr>
                          <pic:cNvPr id="0" name="Base_caliper_thread_band_height.jpg"/>
                          <pic:cNvPicPr/>
                        </pic:nvPicPr>
                        <pic:blipFill>
                          <a:blip r:embed="rId4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4-130. GLD V2 – Threaded neck height — caliper ≈14.8 mm.</w:t>
              <w:br/>
            </w:r>
            <w:r>
              <w:rPr>
                <w:color w:val="555B66"/>
                <w:sz w:val="16"/>
              </w:rPr>
              <w:t>Caliper held vertically from the base shoulder (O-ring level) to the top of the threaded neck: reading ≈14.8 mm; about 10 thread crests are visible over this height.</w:t>
            </w:r>
          </w:p>
        </w:tc>
      </w:tr>
      <w:tr>
        <w:tc>
          <w:tcPr>
            <w:tcW w:type="dxa" w:w="4873"/>
          </w:tcPr>
          <w:p>
            <w:pPr>
              <w:jc w:val="center"/>
            </w:pPr>
            <w:r>
              <w:drawing>
                <wp:inline xmlns:a="http://schemas.openxmlformats.org/drawingml/2006/main" xmlns:pic="http://schemas.openxmlformats.org/drawingml/2006/picture">
                  <wp:extent cx="2125980" cy="2834640"/>
                  <wp:docPr id="33" name="Picture 33"/>
                  <wp:cNvGraphicFramePr>
                    <a:graphicFrameLocks noChangeAspect="1"/>
                  </wp:cNvGraphicFramePr>
                  <a:graphic>
                    <a:graphicData uri="http://schemas.openxmlformats.org/drawingml/2006/picture">
                      <pic:pic>
                        <pic:nvPicPr>
                          <pic:cNvPr id="0" name="Base_caliper_inner_bore.jpg"/>
                          <pic:cNvPicPr/>
                        </pic:nvPicPr>
                        <pic:blipFill>
                          <a:blip r:embed="rId4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4-131. GLD V2 – Base inner bore — caliper ≈84.7 mm.</w:t>
              <w:br/>
            </w:r>
            <w:r>
              <w:rPr>
                <w:color w:val="555B66"/>
                <w:sz w:val="16"/>
              </w:rPr>
              <w:t>Inside jaws across the bore of the base at the top of the neck: reading ≈84.7 mm.</w:t>
            </w:r>
          </w:p>
        </w:tc>
        <w:tc>
          <w:tcPr>
            <w:tcW w:type="dxa" w:w="4873"/>
          </w:tcPr>
          <w:p>
            <w:pPr>
              <w:jc w:val="center"/>
            </w:pPr>
            <w:r>
              <w:drawing>
                <wp:inline xmlns:a="http://schemas.openxmlformats.org/drawingml/2006/main" xmlns:pic="http://schemas.openxmlformats.org/drawingml/2006/picture">
                  <wp:extent cx="2125980" cy="2834640"/>
                  <wp:docPr id="34" name="Picture 34"/>
                  <wp:cNvGraphicFramePr>
                    <a:graphicFrameLocks noChangeAspect="1"/>
                  </wp:cNvGraphicFramePr>
                  <a:graphic>
                    <a:graphicData uri="http://schemas.openxmlformats.org/drawingml/2006/picture">
                      <pic:pic>
                        <pic:nvPicPr>
                          <pic:cNvPr id="0" name="Gasket_caliper_cord_section.jpg"/>
                          <pic:cNvPicPr/>
                        </pic:nvPicPr>
                        <pic:blipFill>
                          <a:blip r:embed="rId4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4-132. GLD V2 – Cover O-ring — cord cross-section 2.70 mm.</w:t>
              <w:br/>
            </w:r>
            <w:r>
              <w:rPr>
                <w:color w:val="555B66"/>
                <w:sz w:val="16"/>
              </w:rPr>
              <w:t>Black rubber O-ring of the cover-to-base joint measured across its cord: reading 2.70 mm.</w:t>
            </w:r>
          </w:p>
        </w:tc>
      </w:tr>
      <w:tr>
        <w:tc>
          <w:tcPr>
            <w:tcW w:type="dxa" w:w="4873"/>
          </w:tcPr>
          <w:p>
            <w:pPr>
              <w:jc w:val="center"/>
            </w:pPr>
            <w:r>
              <w:drawing>
                <wp:inline xmlns:a="http://schemas.openxmlformats.org/drawingml/2006/main" xmlns:pic="http://schemas.openxmlformats.org/drawingml/2006/picture">
                  <wp:extent cx="2125980" cy="2834640"/>
                  <wp:docPr id="35" name="Picture 35"/>
                  <wp:cNvGraphicFramePr>
                    <a:graphicFrameLocks noChangeAspect="1"/>
                  </wp:cNvGraphicFramePr>
                  <a:graphic>
                    <a:graphicData uri="http://schemas.openxmlformats.org/drawingml/2006/picture">
                      <pic:pic>
                        <pic:nvPicPr>
                          <pic:cNvPr id="0" name="Base_ruler_internal_depth.jpg"/>
                          <pic:cNvPicPr/>
                        </pic:nvPicPr>
                        <pic:blipFill>
                          <a:blip r:embed="rId4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4-133. GLD V2 – Base internal depth — steel rule ≈45 mm.</w:t>
              <w:br/>
            </w:r>
            <w:r>
              <w:rPr>
                <w:color w:val="555B66"/>
                <w:sz w:val="16"/>
              </w:rPr>
              <w:t>Steel rule standing on the PCB-boss ledge inside the base: rim top at about 45 mm (rule reading, ±1 mm); the floor below the ledge is not included.</w:t>
            </w:r>
          </w:p>
        </w:tc>
        <w:tc>
          <w:tcPr>
            <w:tcW w:type="dxa" w:w="4873"/>
          </w:tcPr>
          <w:p>
            <w:pPr>
              <w:jc w:val="center"/>
            </w:pPr>
            <w:r>
              <w:drawing>
                <wp:inline xmlns:a="http://schemas.openxmlformats.org/drawingml/2006/main" xmlns:pic="http://schemas.openxmlformats.org/drawingml/2006/picture">
                  <wp:extent cx="2743200" cy="2057400"/>
                  <wp:docPr id="36" name="Picture 36"/>
                  <wp:cNvGraphicFramePr>
                    <a:graphicFrameLocks noChangeAspect="1"/>
                  </wp:cNvGraphicFramePr>
                  <a:graphic>
                    <a:graphicData uri="http://schemas.openxmlformats.org/drawingml/2006/picture">
                      <pic:pic>
                        <pic:nvPicPr>
                          <pic:cNvPr id="0" name="Oring_caliper_outer_diameter.jpg"/>
                          <pic:cNvPicPr/>
                        </pic:nvPicPr>
                        <pic:blipFill>
                          <a:blip r:embed="rId46"/>
                          <a:stretch>
                            <a:fillRect/>
                          </a:stretch>
                        </pic:blipFill>
                        <pic:spPr>
                          <a:xfrm>
                            <a:off x="0" y="0"/>
                            <a:ext cx="2743200" cy="2057400"/>
                          </a:xfrm>
                          <a:prstGeom prst="rect"/>
                        </pic:spPr>
                      </pic:pic>
                    </a:graphicData>
                  </a:graphic>
                </wp:inline>
              </w:drawing>
            </w:r>
          </w:p>
          <w:p>
            <w:pPr>
              <w:spacing w:after="160"/>
              <w:jc w:val="center"/>
            </w:pPr>
            <w:r>
              <w:rPr>
                <w:b/>
                <w:color w:val="1B335F"/>
                <w:sz w:val="17"/>
              </w:rPr>
              <w:t>Figure 4-134. GLD V2 – Cover O-ring — outer diameter ≈91.0 mm.</w:t>
              <w:br/>
            </w:r>
            <w:r>
              <w:rPr>
                <w:color w:val="555B66"/>
                <w:sz w:val="16"/>
              </w:rPr>
              <w:t>O-ring removed and measured across its outside with the caliper jaws: reading ≈91.0 mm (unstretched; the inner diameter is ≈85.6 mm by subtracting 2 × 2.70 mm cord).</w:t>
            </w:r>
          </w:p>
        </w:tc>
      </w:tr>
      <w:tr>
        <w:tc>
          <w:tcPr>
            <w:tcW w:type="dxa" w:w="4873"/>
          </w:tcPr>
          <w:p>
            <w:pPr>
              <w:jc w:val="center"/>
            </w:pPr>
            <w:r>
              <w:drawing>
                <wp:inline xmlns:a="http://schemas.openxmlformats.org/drawingml/2006/main" xmlns:pic="http://schemas.openxmlformats.org/drawingml/2006/picture">
                  <wp:extent cx="2125980" cy="2834640"/>
                  <wp:docPr id="37" name="Picture 37"/>
                  <wp:cNvGraphicFramePr>
                    <a:graphicFrameLocks noChangeAspect="1"/>
                  </wp:cNvGraphicFramePr>
                  <a:graphic>
                    <a:graphicData uri="http://schemas.openxmlformats.org/drawingml/2006/picture">
                      <pic:pic>
                        <pic:nvPicPr>
                          <pic:cNvPr id="0" name="Cover_caliper_internal_thread_length.jpg"/>
                          <pic:cNvPicPr/>
                        </pic:nvPicPr>
                        <pic:blipFill>
                          <a:blip r:embed="rId4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4-135. GLD V2 – Cover internal thread length — caliper ≈18.9 mm.</w:t>
              <w:br/>
            </w:r>
            <w:r>
              <w:rPr>
                <w:color w:val="555B66"/>
                <w:sz w:val="16"/>
              </w:rPr>
              <w:t>Caliper held vertically inside the cover from the cover rim to the end of the internal thread: reading ≈18.9 mm.</w:t>
            </w:r>
          </w:p>
        </w:tc>
        <w:tc>
          <w:tcPr>
            <w:tcW w:type="dxa" w:w="4873"/>
          </w:tcPr>
          <w:p>
            <w:pPr>
              <w:jc w:val="center"/>
            </w:pPr>
            <w:r>
              <w:drawing>
                <wp:inline xmlns:a="http://schemas.openxmlformats.org/drawingml/2006/main" xmlns:pic="http://schemas.openxmlformats.org/drawingml/2006/picture">
                  <wp:extent cx="2125980" cy="2834640"/>
                  <wp:docPr id="38" name="Picture 38"/>
                  <wp:cNvGraphicFramePr>
                    <a:graphicFrameLocks noChangeAspect="1"/>
                  </wp:cNvGraphicFramePr>
                  <a:graphic>
                    <a:graphicData uri="http://schemas.openxmlformats.org/drawingml/2006/picture">
                      <pic:pic>
                        <pic:nvPicPr>
                          <pic:cNvPr id="0" name="Base_caliper_neck_height_from_body.jpg"/>
                          <pic:cNvPicPr/>
                        </pic:nvPicPr>
                        <pic:blipFill>
                          <a:blip r:embed="rId4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4-136. GLD V2 – Base neck height from the body shoulder — caliper ≈20.2 mm.</w:t>
              <w:br/>
            </w:r>
            <w:r>
              <w:rPr>
                <w:color w:val="555B66"/>
                <w:sz w:val="16"/>
              </w:rPr>
              <w:t>Caliper from the painted body shoulder below the O-ring to the top of the threaded neck: reading ≈20.2 mm (compare ≈14.8 mm measured from the O-ring level, Figure 4-130).</w:t>
            </w:r>
          </w:p>
        </w:tc>
      </w:tr>
      <w:tr>
        <w:tc>
          <w:tcPr>
            <w:tcW w:type="dxa" w:w="4873"/>
          </w:tcPr>
          <w:p>
            <w:pPr>
              <w:jc w:val="center"/>
            </w:pPr>
            <w:r>
              <w:drawing>
                <wp:inline xmlns:a="http://schemas.openxmlformats.org/drawingml/2006/main" xmlns:pic="http://schemas.openxmlformats.org/drawingml/2006/picture">
                  <wp:extent cx="2125980" cy="2834640"/>
                  <wp:docPr id="39" name="Picture 39"/>
                  <wp:cNvGraphicFramePr>
                    <a:graphicFrameLocks noChangeAspect="1"/>
                  </wp:cNvGraphicFramePr>
                  <a:graphic>
                    <a:graphicData uri="http://schemas.openxmlformats.org/drawingml/2006/picture">
                      <pic:pic>
                        <pic:nvPicPr>
                          <pic:cNvPr id="0" name="Cover_ruler_internal_depth.jpg"/>
                          <pic:cNvPicPr/>
                        </pic:nvPicPr>
                        <pic:blipFill>
                          <a:blip r:embed="rId4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4-137. GLD V2 – Cover internal depth — steel rule ≈47.5 mm.</w:t>
              <w:br/>
            </w:r>
            <w:r>
              <w:rPr>
                <w:color w:val="555B66"/>
                <w:sz w:val="16"/>
              </w:rPr>
              <w:t>Steel rule standing on the stainless-steel mesh inside the cover: cover rim at about 47.5 mm (rule reading, ±1 mm).</w:t>
            </w:r>
          </w:p>
        </w:tc>
        <w:tc>
          <w:tcPr>
            <w:tcW w:type="dxa" w:w="4873"/>
          </w:tcP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E3F1E6"/>
          </w:tcPr>
          <w:p>
            <w:pPr>
              <w:spacing w:after="20"/>
            </w:pPr>
            <w:r>
              <w:rPr>
                <w:b/>
                <w:sz w:val="16"/>
              </w:rPr>
              <w:t>Available</w:t>
            </w:r>
          </w:p>
        </w:tc>
        <w:tc>
          <w:tcPr>
            <w:tcW w:type="dxa" w:w="4608"/>
          </w:tcPr>
          <w:p>
            <w:pPr>
              <w:spacing w:after="20"/>
            </w:pPr>
            <w:r>
              <w:rPr>
                <w:sz w:val="16"/>
              </w:rPr>
              <w:t>Figures 4-112 (cable gland), 4-110 (beacon entry), 4-119 (blanking plug), 4-125/4-126 (antenna bulkhead outside and inside), 4-127 (cover and entry threads), 4-128–4-137 (caliper and rule measurements of the base, cover and O-ring).</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2"/>
      </w:pPr>
      <w:r>
        <w:t>2.5 · Description of Intended Use and Installation Environment</w:t>
      </w:r>
    </w:p>
    <w:p>
      <w:pPr>
        <w:spacing w:after="160"/>
      </w:pPr>
      <w:r>
        <w:rPr>
          <w:b w:val="0"/>
          <w:i w:val="0"/>
          <w:sz w:val="21"/>
        </w:rPr>
        <w:t>The GLD is intended for continuous, fixed-point monitoring of flammable and toxic gas leaks in oil &amp; gas refinery hazardous areas: process units, tank farms, pipe racks, and loading/unloading areas.</w:t>
      </w:r>
    </w:p>
    <w:tbl>
      <w:tblPr>
        <w:tblStyle w:val="TableGrid"/>
        <w:tblW w:type="auto" w:w="0"/>
        <w:jc w:val="center"/>
        <w:tblLook w:firstColumn="1" w:firstRow="1" w:lastColumn="0" w:lastRow="0" w:noHBand="0" w:noVBand="1" w:val="04A0"/>
      </w:tblPr>
      <w:tblGrid>
        <w:gridCol w:w="3249"/>
        <w:gridCol w:w="3249"/>
        <w:gridCol w:w="3249"/>
      </w:tblGrid>
      <w:tr>
        <w:tc>
          <w:tcPr>
            <w:tcW w:type="dxa" w:w="2592"/>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Value</w:t>
            </w:r>
          </w:p>
        </w:tc>
        <w:tc>
          <w:tcPr>
            <w:tcW w:type="dxa" w:w="2880"/>
            <w:shd w:val="clear" w:color="auto" w:fill="EFEFEF"/>
          </w:tcPr>
          <w:p>
            <w:pPr>
              <w:spacing w:after="40"/>
            </w:pPr>
            <w:r>
              <w:rPr>
                <w:b/>
                <w:color w:val="4A4A4A"/>
                <w:sz w:val="18"/>
              </w:rPr>
              <w:t>Status</w:t>
            </w:r>
          </w:p>
        </w:tc>
      </w:tr>
      <w:tr>
        <w:tc>
          <w:tcPr>
            <w:tcW w:type="dxa" w:w="2592"/>
          </w:tcPr>
          <w:p>
            <w:pPr>
              <w:spacing w:after="40"/>
            </w:pPr>
            <w:r>
              <w:rPr>
                <w:sz w:val="19"/>
              </w:rPr>
              <w:t>Gas group</w:t>
            </w:r>
          </w:p>
        </w:tc>
        <w:tc>
          <w:tcPr>
            <w:tcW w:type="dxa" w:w="4176"/>
          </w:tcPr>
          <w:p>
            <w:pPr>
              <w:spacing w:after="40"/>
            </w:pPr>
            <w:r>
              <w:rPr>
                <w:sz w:val="19"/>
              </w:rPr>
              <w:t>IIC</w:t>
            </w:r>
          </w:p>
        </w:tc>
        <w:tc>
          <w:tcPr>
            <w:tcW w:type="dxa" w:w="2880"/>
          </w:tcPr>
          <w:p>
            <w:pPr>
              <w:spacing w:after="40"/>
            </w:pPr>
            <w:r>
              <w:rPr>
                <w:sz w:val="19"/>
              </w:rPr>
              <w:t>Internal recommendation, not an ExCB decision</w:t>
            </w:r>
          </w:p>
        </w:tc>
      </w:tr>
      <w:tr>
        <w:tc>
          <w:tcPr>
            <w:tcW w:type="dxa" w:w="2592"/>
          </w:tcPr>
          <w:p>
            <w:pPr>
              <w:spacing w:after="40"/>
            </w:pPr>
            <w:r>
              <w:rPr>
                <w:sz w:val="19"/>
              </w:rPr>
              <w:t>Temperature class</w:t>
            </w:r>
          </w:p>
        </w:tc>
        <w:tc>
          <w:tcPr>
            <w:tcW w:type="dxa" w:w="4176"/>
          </w:tcPr>
          <w:p>
            <w:pPr>
              <w:spacing w:after="40"/>
            </w:pPr>
            <w:r>
              <w:rPr>
                <w:sz w:val="19"/>
              </w:rPr>
              <w:t>T4 (≤135°C)</w:t>
            </w:r>
          </w:p>
        </w:tc>
        <w:tc>
          <w:tcPr>
            <w:tcW w:type="dxa" w:w="2880"/>
          </w:tcPr>
          <w:p>
            <w:pPr>
              <w:spacing w:after="40"/>
            </w:pPr>
            <w:r>
              <w:rPr>
                <w:sz w:val="19"/>
              </w:rPr>
              <w:t>Target — preliminary internal measurement supports it (Section 2.6.f); formal verification outstanding</w:t>
            </w:r>
          </w:p>
        </w:tc>
      </w:tr>
      <w:tr>
        <w:tc>
          <w:tcPr>
            <w:tcW w:type="dxa" w:w="2592"/>
          </w:tcPr>
          <w:p>
            <w:pPr>
              <w:spacing w:after="40"/>
            </w:pPr>
            <w:r>
              <w:rPr>
                <w:sz w:val="19"/>
              </w:rPr>
              <w:t>Area classification</w:t>
            </w:r>
          </w:p>
        </w:tc>
        <w:tc>
          <w:tcPr>
            <w:tcW w:type="dxa" w:w="4176"/>
          </w:tcPr>
          <w:p>
            <w:pPr>
              <w:spacing w:after="40"/>
            </w:pPr>
            <w:r>
              <w:rPr>
                <w:sz w:val="19"/>
              </w:rPr>
              <w:t>Zone 1, Equipment Category 2G, Group II</w:t>
            </w:r>
          </w:p>
        </w:tc>
        <w:tc>
          <w:tcPr>
            <w:tcW w:type="dxa" w:w="2880"/>
          </w:tcPr>
          <w:p>
            <w:pPr>
              <w:spacing w:after="40"/>
            </w:pPr>
            <w:r>
              <w:rPr>
                <w:sz w:val="19"/>
              </w:rPr>
              <w:t>Requested — subject to ExCB assessment</w:t>
            </w:r>
          </w:p>
        </w:tc>
      </w:tr>
      <w:tr>
        <w:tc>
          <w:tcPr>
            <w:tcW w:type="dxa" w:w="2592"/>
          </w:tcPr>
          <w:p>
            <w:pPr>
              <w:spacing w:after="40"/>
            </w:pPr>
            <w:r>
              <w:rPr>
                <w:sz w:val="19"/>
              </w:rPr>
              <w:t>Type of protection</w:t>
            </w:r>
          </w:p>
        </w:tc>
        <w:tc>
          <w:tcPr>
            <w:tcW w:type="dxa" w:w="4176"/>
          </w:tcPr>
          <w:p>
            <w:pPr>
              <w:spacing w:after="40"/>
            </w:pPr>
            <w:r>
              <w:rPr>
                <w:sz w:val="19"/>
              </w:rPr>
              <w:t>Ex d — flameproof enclosure</w:t>
            </w:r>
          </w:p>
        </w:tc>
        <w:tc>
          <w:tcPr>
            <w:tcW w:type="dxa" w:w="2880"/>
          </w:tcPr>
          <w:p>
            <w:pPr>
              <w:spacing w:after="40"/>
            </w:pPr>
            <w:r>
              <w:rPr>
                <w:sz w:val="19"/>
              </w:rPr>
              <w:t>Internal recommendation, not an ExCB decision</w:t>
            </w:r>
          </w:p>
        </w:tc>
      </w:tr>
    </w:tbl>
    <w:p>
      <w:pPr>
        <w:spacing w:after="120"/>
      </w:pPr>
    </w:p>
    <w:p>
      <w:pPr>
        <w:spacing w:after="160"/>
      </w:pPr>
      <w:r>
        <w:rPr>
          <w:b w:val="0"/>
          <w:i/>
          <w:sz w:val="19"/>
        </w:rPr>
        <w:t>Type of protection selected over Ex e and Ex i based on the existing enclosure design: a die-cast aluminum (ADC12) housing with a stainless-steel mesh cover over the sensing element, functioning as a flame path/flame arrestor —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w:t>
      </w:r>
    </w:p>
    <w:p>
      <w:pPr>
        <w:spacing w:after="160"/>
      </w:pPr>
      <w:r>
        <w:rPr>
          <w:b w:val="0"/>
          <w:i/>
          <w:sz w:val="19"/>
        </w:rPr>
        <w:t>These classification parameters are the applicant's proposal, recorded here as a request, not as an agreed or granted classification. Cluster Head and Gateway devices are assumed to always sit in a safe area (project assumption, not the result of a formal area-classification study by Pertamina).</w:t>
      </w:r>
    </w:p>
    <w:p>
      <w:pPr>
        <w:pStyle w:val="Heading2"/>
      </w:pPr>
      <w:r>
        <w:t>2.6 · Design and Manufacturing Information</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9-sheet block-diagram set exist for the GLD V2 main board, exported from the native EasyEDA/JLCPCB source project, with pin-to-net traceability evidence.</w:t>
      </w:r>
    </w:p>
    <w:p>
      <w:pPr>
        <w:jc w:val="center"/>
      </w:pPr>
      <w:r>
        <w:drawing>
          <wp:inline xmlns:a="http://schemas.openxmlformats.org/drawingml/2006/main" xmlns:pic="http://schemas.openxmlformats.org/drawingml/2006/picture">
            <wp:extent cx="5486400" cy="3657600"/>
            <wp:docPr id="40" name="Picture 40"/>
            <wp:cNvGraphicFramePr>
              <a:graphicFrameLocks noChangeAspect="1"/>
            </wp:cNvGraphicFramePr>
            <a:graphic>
              <a:graphicData uri="http://schemas.openxmlformats.org/drawingml/2006/picture">
                <pic:pic>
                  <pic:nvPicPr>
                    <pic:cNvPr id="0" name="02-diagram.png"/>
                    <pic:cNvPicPr/>
                  </pic:nvPicPr>
                  <pic:blipFill>
                    <a:blip r:embed="rId50"/>
                    <a:stretch>
                      <a:fillRect/>
                    </a:stretch>
                  </pic:blipFill>
                  <pic:spPr>
                    <a:xfrm>
                      <a:off x="0" y="0"/>
                      <a:ext cx="5486400" cy="3657600"/>
                    </a:xfrm>
                    <a:prstGeom prst="rect"/>
                  </pic:spPr>
                </pic:pic>
              </a:graphicData>
            </a:graphic>
          </wp:inline>
        </w:drawing>
      </w:r>
    </w:p>
    <w:p>
      <w:pPr>
        <w:spacing w:after="240"/>
        <w:jc w:val="center"/>
      </w:pPr>
      <w:r>
        <w:rPr>
          <w:i/>
          <w:color w:val="4A4A4A"/>
          <w:sz w:val="17"/>
        </w:rPr>
        <w:t>Schematic block diagram, sheet 2 of 9 — main power distribution.</w:t>
      </w:r>
    </w:p>
    <w:p>
      <w:pPr>
        <w:jc w:val="center"/>
      </w:pPr>
      <w:r>
        <w:drawing>
          <wp:inline xmlns:a="http://schemas.openxmlformats.org/drawingml/2006/main" xmlns:pic="http://schemas.openxmlformats.org/drawingml/2006/picture">
            <wp:extent cx="4188616" cy="4206240"/>
            <wp:docPr id="41" name="Picture 41"/>
            <wp:cNvGraphicFramePr>
              <a:graphicFrameLocks noChangeAspect="1"/>
            </wp:cNvGraphicFramePr>
            <a:graphic>
              <a:graphicData uri="http://schemas.openxmlformats.org/drawingml/2006/picture">
                <pic:pic>
                  <pic:nvPicPr>
                    <pic:cNvPr id="0" name="10-pcb-layout.png"/>
                    <pic:cNvPicPr/>
                  </pic:nvPicPr>
                  <pic:blipFill>
                    <a:blip r:embed="rId51"/>
                    <a:stretch>
                      <a:fillRect/>
                    </a:stretch>
                  </pic:blipFill>
                  <pic:spPr>
                    <a:xfrm>
                      <a:off x="0" y="0"/>
                      <a:ext cx="4188616" cy="4206240"/>
                    </a:xfrm>
                    <a:prstGeom prst="rect"/>
                  </pic:spPr>
                </pic:pic>
              </a:graphicData>
            </a:graphic>
          </wp:inline>
        </w:drawing>
      </w:r>
    </w:p>
    <w:p>
      <w:pPr>
        <w:spacing w:after="240"/>
        <w:jc w:val="center"/>
      </w:pPr>
      <w:r>
        <w:rPr>
          <w:i/>
          <w:color w:val="4A4A4A"/>
          <w:sz w:val="17"/>
        </w:rPr>
        <w:t>Main board PCB layout (top copper) — native EasyEDA/JLCPCB export, production-intent board.</w:t>
      </w:r>
    </w:p>
    <w:p>
      <w:pPr>
        <w:spacing w:after="160"/>
      </w:pPr>
      <w:r>
        <w:rPr>
          <w:b w:val="0"/>
          <w:i w:val="0"/>
          <w:sz w:val="21"/>
        </w:rPr>
        <w:t>A dimensioned mechanical drawing exists for the enclosure's external envelope and mounting hardware, drafted from a solid CAD model (STEP format, millimeter units):</w:t>
      </w:r>
    </w:p>
    <w:p>
      <w:pPr>
        <w:jc w:val="center"/>
      </w:pPr>
      <w:r>
        <w:drawing>
          <wp:inline xmlns:a="http://schemas.openxmlformats.org/drawingml/2006/main" xmlns:pic="http://schemas.openxmlformats.org/drawingml/2006/picture">
            <wp:extent cx="5669280" cy="3847707"/>
            <wp:docPr id="42" name="Picture 42"/>
            <wp:cNvGraphicFramePr>
              <a:graphicFrameLocks noChangeAspect="1"/>
            </wp:cNvGraphicFramePr>
            <a:graphic>
              <a:graphicData uri="http://schemas.openxmlformats.org/drawingml/2006/picture">
                <pic:pic>
                  <pic:nvPicPr>
                    <pic:cNvPr id="0" name="bracket-mounting-drawing.png"/>
                    <pic:cNvPicPr/>
                  </pic:nvPicPr>
                  <pic:blipFill>
                    <a:blip r:embed="rId52"/>
                    <a:stretch>
                      <a:fillRect/>
                    </a:stretch>
                  </pic:blipFill>
                  <pic:spPr>
                    <a:xfrm>
                      <a:off x="0" y="0"/>
                      <a:ext cx="5669280" cy="3847707"/>
                    </a:xfrm>
                    <a:prstGeom prst="rect"/>
                  </pic:spPr>
                </pic:pic>
              </a:graphicData>
            </a:graphic>
          </wp:inline>
        </w:drawing>
      </w:r>
    </w:p>
    <w:p>
      <w:pPr>
        <w:spacing w:after="240"/>
        <w:jc w:val="center"/>
      </w:pPr>
      <w:r>
        <w:rPr>
          <w:i/>
          <w:color w:val="4A4A4A"/>
          <w:sz w:val="17"/>
        </w:rPr>
        <w:t>Enclosure envelope &amp; U-bolt mounting plate assembly — dimensioned drawing sheet (drafted 31 Aug 2026, from a STEP solid model).</w:t>
      </w:r>
    </w:p>
    <w:p>
      <w:pPr>
        <w:spacing w:after="160"/>
      </w:pPr>
      <w:r>
        <w:rPr>
          <w:b w:val="0"/>
          <w:i w:val="0"/>
          <w:sz w:val="21"/>
        </w:rPr>
        <w:t>A separate, internal contingency/alternate enclosure design (“GLD ATEX CASE v3”) exists in parallel with the primary commercial-enclosure sourcing path referenced in Section 2.3:</w:t>
      </w:r>
    </w:p>
    <w:p>
      <w:pPr>
        <w:jc w:val="center"/>
      </w:pPr>
      <w:r>
        <w:drawing>
          <wp:inline xmlns:a="http://schemas.openxmlformats.org/drawingml/2006/main" xmlns:pic="http://schemas.openxmlformats.org/drawingml/2006/picture">
            <wp:extent cx="5669280" cy="3188136"/>
            <wp:docPr id="43" name="Picture 43"/>
            <wp:cNvGraphicFramePr>
              <a:graphicFrameLocks noChangeAspect="1"/>
            </wp:cNvGraphicFramePr>
            <a:graphic>
              <a:graphicData uri="http://schemas.openxmlformats.org/drawingml/2006/picture">
                <pic:pic>
                  <pic:nvPicPr>
                    <pic:cNvPr id="0" name="gld_atex_case_v3_dimensioned.png"/>
                    <pic:cNvPicPr/>
                  </pic:nvPicPr>
                  <pic:blipFill>
                    <a:blip r:embed="rId53"/>
                    <a:stretch>
                      <a:fillRect/>
                    </a:stretch>
                  </pic:blipFill>
                  <pic:spPr>
                    <a:xfrm>
                      <a:off x="0" y="0"/>
                      <a:ext cx="5669280" cy="3188136"/>
                    </a:xfrm>
                    <a:prstGeom prst="rect"/>
                  </pic:spPr>
                </pic:pic>
              </a:graphicData>
            </a:graphic>
          </wp:inline>
        </w:drawing>
      </w:r>
    </w:p>
    <w:p>
      <w:pPr>
        <w:spacing w:after="240"/>
        <w:jc w:val="center"/>
      </w:pPr>
      <w:r>
        <w:rPr>
          <w:i/>
          <w:color w:val="4A4A4A"/>
          <w:sz w:val="17"/>
        </w:rPr>
        <w:t>“GLD ATEX CASE v3” dimensioned drawing sheet (Farhan Budiman, 8 Sep 2026) — internal contingency/alternate enclosure design, not the confirmed production enclosure.</w:t>
      </w:r>
    </w:p>
    <w:p>
      <w:pPr>
        <w:spacing w:after="160"/>
      </w:pPr>
      <w:r>
        <w:rPr>
          <w:b w:val="0"/>
          <w:i w:val="0"/>
          <w:sz w:val="21"/>
        </w:rPr>
        <w:t>A candidate junction-box/terminal sub-component drawing has also been received via the casing partner's supply chain (Chinese enclosure-component manufacturer):</w:t>
      </w:r>
    </w:p>
    <w:p>
      <w:pPr>
        <w:jc w:val="center"/>
      </w:pPr>
      <w:r>
        <w:drawing>
          <wp:inline xmlns:a="http://schemas.openxmlformats.org/drawingml/2006/main" xmlns:pic="http://schemas.openxmlformats.org/drawingml/2006/picture">
            <wp:extent cx="5486400" cy="3875980"/>
            <wp:docPr id="44" name="Picture 44"/>
            <wp:cNvGraphicFramePr>
              <a:graphicFrameLocks noChangeAspect="1"/>
            </wp:cNvGraphicFramePr>
            <a:graphic>
              <a:graphicData uri="http://schemas.openxmlformats.org/drawingml/2006/picture">
                <pic:pic>
                  <pic:nvPicPr>
                    <pic:cNvPr id="0" name="bp18-1z_common_base_reference.png"/>
                    <pic:cNvPicPr/>
                  </pic:nvPicPr>
                  <pic:blipFill>
                    <a:blip r:embed="rId54"/>
                    <a:stretch>
                      <a:fillRect/>
                    </a:stretch>
                  </pic:blipFill>
                  <pic:spPr>
                    <a:xfrm>
                      <a:off x="0" y="0"/>
                      <a:ext cx="5486400" cy="3875980"/>
                    </a:xfrm>
                    <a:prstGeom prst="rect"/>
                  </pic:spPr>
                </pic:pic>
              </a:graphicData>
            </a:graphic>
          </wp:inline>
        </w:drawing>
      </w:r>
    </w:p>
    <w:p>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type="auto" w:w="0"/>
        <w:jc w:val="center"/>
        <w:tblLook w:firstColumn="1" w:firstRow="1" w:lastColumn="0" w:lastRow="0" w:noHBand="0" w:noVBand="1" w:val="04A0"/>
      </w:tblPr>
      <w:tblGrid>
        <w:gridCol w:w="4873"/>
        <w:gridCol w:w="4873"/>
      </w:tblGrid>
      <w:tr>
        <w:tc>
          <w:tcPr>
            <w:tcW w:type="dxa" w:w="4176"/>
            <w:shd w:val="clear" w:color="auto" w:fill="EFEFEF"/>
          </w:tcPr>
          <w:p>
            <w:pPr>
              <w:spacing w:after="40"/>
            </w:pPr>
            <w:r>
              <w:rPr>
                <w:b/>
                <w:color w:val="4A4A4A"/>
                <w:sz w:val="18"/>
              </w:rPr>
              <w:t>Drawing type</w:t>
            </w:r>
          </w:p>
        </w:tc>
        <w:tc>
          <w:tcPr>
            <w:tcW w:type="dxa" w:w="5184"/>
            <w:shd w:val="clear" w:color="auto" w:fill="EFEFEF"/>
          </w:tcPr>
          <w:p>
            <w:pPr>
              <w:spacing w:after="40"/>
            </w:pPr>
            <w:r>
              <w:rPr>
                <w:b/>
                <w:color w:val="4A4A4A"/>
                <w:sz w:val="18"/>
              </w:rPr>
              <w:t>Status</w:t>
            </w:r>
          </w:p>
        </w:tc>
      </w:tr>
      <w:tr>
        <w:tc>
          <w:tcPr>
            <w:tcW w:type="dxa" w:w="4176"/>
          </w:tcPr>
          <w:p>
            <w:pPr>
              <w:spacing w:after="40"/>
            </w:pPr>
            <w:r>
              <w:rPr>
                <w:sz w:val="19"/>
              </w:rPr>
              <w:t>Electrical schematic — main board</w:t>
            </w:r>
          </w:p>
        </w:tc>
        <w:tc>
          <w:tcPr>
            <w:tcW w:type="dxa" w:w="5184"/>
          </w:tcPr>
          <w:p>
            <w:pPr>
              <w:spacing w:after="40"/>
            </w:pPr>
            <w:r>
              <w:rPr>
                <w:sz w:val="19"/>
              </w:rPr>
              <w:t>Available — 26 sheets PGLD-GLD-V4-MB-SCH-01 to -26, rev. 1.0 (Section 2.6.a.7); sensor-module board schematic not yet included</w:t>
            </w:r>
          </w:p>
        </w:tc>
      </w:tr>
      <w:tr>
        <w:tc>
          <w:tcPr>
            <w:tcW w:type="dxa" w:w="4176"/>
          </w:tcPr>
          <w:p>
            <w:pPr>
              <w:spacing w:after="40"/>
            </w:pPr>
            <w:r>
              <w:rPr>
                <w:sz w:val="19"/>
              </w:rPr>
              <w:t>PCB layout — main board</w:t>
            </w:r>
          </w:p>
        </w:tc>
        <w:tc>
          <w:tcPr>
            <w:tcW w:type="dxa" w:w="5184"/>
          </w:tcPr>
          <w:p>
            <w:pPr>
              <w:spacing w:after="40"/>
            </w:pPr>
            <w:r>
              <w:rPr>
                <w:sz w:val="19"/>
              </w:rPr>
              <w:t>Partially available — 10 views PGLD-GLD-V4-MB-PCB-01 to -10 (Section 2.6.a.8); layout rev/date, laminate data and sensor-module board layout open</w:t>
            </w:r>
          </w:p>
        </w:tc>
      </w:tr>
      <w:tr>
        <w:tc>
          <w:tcPr>
            <w:tcW w:type="dxa" w:w="4176"/>
          </w:tcPr>
          <w:p>
            <w:pPr>
              <w:spacing w:after="40"/>
            </w:pPr>
            <w:r>
              <w:rPr>
                <w:sz w:val="19"/>
              </w:rPr>
              <w:t>Assembly drawing</w:t>
            </w:r>
          </w:p>
        </w:tc>
        <w:tc>
          <w:tcPr>
            <w:tcW w:type="dxa" w:w="5184"/>
          </w:tcPr>
          <w:p>
            <w:pPr>
              <w:spacing w:after="40"/>
            </w:pPr>
            <w:r>
              <w:rPr>
                <w:sz w:val="19"/>
              </w:rPr>
              <w:t>Partially available — covers external envelope and mounting hardware, not internal PCB/component assembly sequence</w:t>
            </w:r>
          </w:p>
        </w:tc>
      </w:tr>
      <w:tr>
        <w:tc>
          <w:tcPr>
            <w:tcW w:type="dxa" w:w="4176"/>
          </w:tcPr>
          <w:p>
            <w:pPr>
              <w:spacing w:after="40"/>
            </w:pPr>
            <w:r>
              <w:rPr>
                <w:sz w:val="19"/>
              </w:rPr>
              <w:t>Component drawing</w:t>
            </w:r>
          </w:p>
        </w:tc>
        <w:tc>
          <w:tcPr>
            <w:tcW w:type="dxa" w:w="5184"/>
          </w:tcPr>
          <w:p>
            <w:pPr>
              <w:spacing w:after="40"/>
            </w:pPr>
            <w:r>
              <w:rPr>
                <w:sz w:val="19"/>
              </w:rPr>
              <w:t>Not yet available</w:t>
            </w:r>
          </w:p>
        </w:tc>
      </w:tr>
      <w:tr>
        <w:tc>
          <w:tcPr>
            <w:tcW w:type="dxa" w:w="4176"/>
          </w:tcPr>
          <w:p>
            <w:pPr>
              <w:spacing w:after="40"/>
            </w:pPr>
            <w:r>
              <w:rPr>
                <w:sz w:val="19"/>
              </w:rPr>
              <w:t>Enclosure structure drawing (gap, length, volume)</w:t>
            </w:r>
          </w:p>
        </w:tc>
        <w:tc>
          <w:tcPr>
            <w:tcW w:type="dxa" w:w="5184"/>
          </w:tcPr>
          <w:p>
            <w:pPr>
              <w:spacing w:after="40"/>
            </w:pPr>
            <w:r>
              <w:rPr>
                <w:sz w:val="19"/>
              </w:rPr>
              <w:t>Partially available — external envelope dimensioned; Ex-d-specific flame-path parameters not yet called out</w:t>
            </w:r>
          </w:p>
        </w:tc>
      </w:tr>
      <w:tr>
        <w:tc>
          <w:tcPr>
            <w:tcW w:type="dxa" w:w="4176"/>
          </w:tcPr>
          <w:p>
            <w:pPr>
              <w:spacing w:after="40"/>
            </w:pPr>
            <w:r>
              <w:rPr>
                <w:sz w:val="19"/>
              </w:rPr>
              <w:t>Junction box / terminal / grounding connection drawings</w:t>
            </w:r>
          </w:p>
        </w:tc>
        <w:tc>
          <w:tcPr>
            <w:tcW w:type="dxa" w:w="5184"/>
          </w:tcPr>
          <w:p>
            <w:pPr>
              <w:spacing w:after="40"/>
            </w:pPr>
            <w:r>
              <w:rPr>
                <w:sz w:val="19"/>
              </w:rPr>
              <w:t>Candidate reference only — BP18-1Z drawing above, not yet confirmed as part of GLD's design</w:t>
            </w:r>
          </w:p>
        </w:tc>
      </w:tr>
    </w:tbl>
    <w:p>
      <w:pPr>
        <w:spacing w:after="12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45" name="Picture 45"/>
            <wp:cNvGraphicFramePr>
              <a:graphicFrameLocks noChangeAspect="1"/>
            </wp:cNvGraphicFramePr>
            <a:graphic>
              <a:graphicData uri="http://schemas.openxmlformats.org/drawingml/2006/picture">
                <pic:pic>
                  <pic:nvPicPr>
                    <pic:cNvPr id="0" name="casing_v2_sheet.jpg"/>
                    <pic:cNvPicPr/>
                  </pic:nvPicPr>
                  <pic:blipFill>
                    <a:blip r:embed="rId55"/>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46" name="Picture 46"/>
                  <wp:cNvGraphicFramePr>
                    <a:graphicFrameLocks noChangeAspect="1"/>
                  </wp:cNvGraphicFramePr>
                  <a:graphic>
                    <a:graphicData uri="http://schemas.openxmlformats.org/drawingml/2006/picture">
                      <pic:pic>
                        <pic:nvPicPr>
                          <pic:cNvPr id="0" name="casing_v2_front.jpg"/>
                          <pic:cNvPicPr/>
                        </pic:nvPicPr>
                        <pic:blipFill>
                          <a:blip r:embed="rId56"/>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47" name="Picture 47"/>
                  <wp:cNvGraphicFramePr>
                    <a:graphicFrameLocks noChangeAspect="1"/>
                  </wp:cNvGraphicFramePr>
                  <a:graphic>
                    <a:graphicData uri="http://schemas.openxmlformats.org/drawingml/2006/picture">
                      <pic:pic>
                        <pic:nvPicPr>
                          <pic:cNvPr id="0" name="casing_v2_rear.jpg"/>
                          <pic:cNvPicPr/>
                        </pic:nvPicPr>
                        <pic:blipFill>
                          <a:blip r:embed="rId57"/>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48" name="Picture 48"/>
                  <wp:cNvGraphicFramePr>
                    <a:graphicFrameLocks noChangeAspect="1"/>
                  </wp:cNvGraphicFramePr>
                  <a:graphic>
                    <a:graphicData uri="http://schemas.openxmlformats.org/drawingml/2006/picture">
                      <pic:pic>
                        <pic:nvPicPr>
                          <pic:cNvPr id="0" name="casing_v2_left.jpg"/>
                          <pic:cNvPicPr/>
                        </pic:nvPicPr>
                        <pic:blipFill>
                          <a:blip r:embed="rId58"/>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49" name="Picture 49"/>
                  <wp:cNvGraphicFramePr>
                    <a:graphicFrameLocks noChangeAspect="1"/>
                  </wp:cNvGraphicFramePr>
                  <a:graphic>
                    <a:graphicData uri="http://schemas.openxmlformats.org/drawingml/2006/picture">
                      <pic:pic>
                        <pic:nvPicPr>
                          <pic:cNvPr id="0" name="casing_v2_right.jpg"/>
                          <pic:cNvPicPr/>
                        </pic:nvPicPr>
                        <pic:blipFill>
                          <a:blip r:embed="rId59"/>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50" name="Picture 50"/>
                  <wp:cNvGraphicFramePr>
                    <a:graphicFrameLocks noChangeAspect="1"/>
                  </wp:cNvGraphicFramePr>
                  <a:graphic>
                    <a:graphicData uri="http://schemas.openxmlformats.org/drawingml/2006/picture">
                      <pic:pic>
                        <pic:nvPicPr>
                          <pic:cNvPr id="0" name="casing_v2_top.jpg"/>
                          <pic:cNvPicPr/>
                        </pic:nvPicPr>
                        <pic:blipFill>
                          <a:blip r:embed="rId60"/>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51" name="Picture 51"/>
                  <wp:cNvGraphicFramePr>
                    <a:graphicFrameLocks noChangeAspect="1"/>
                  </wp:cNvGraphicFramePr>
                  <a:graphic>
                    <a:graphicData uri="http://schemas.openxmlformats.org/drawingml/2006/picture">
                      <pic:pic>
                        <pic:nvPicPr>
                          <pic:cNvPr id="0" name="casing_v2_bottom.jpg"/>
                          <pic:cNvPicPr/>
                        </pic:nvPicPr>
                        <pic:blipFill>
                          <a:blip r:embed="rId61"/>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52" name="Picture 52"/>
            <wp:cNvGraphicFramePr>
              <a:graphicFrameLocks noChangeAspect="1"/>
            </wp:cNvGraphicFramePr>
            <a:graphic>
              <a:graphicData uri="http://schemas.openxmlformats.org/drawingml/2006/picture">
                <pic:pic>
                  <pic:nvPicPr>
                    <pic:cNvPr id="0" name="case_v3-1.jpg"/>
                    <pic:cNvPicPr/>
                  </pic:nvPicPr>
                  <pic:blipFill>
                    <a:blip r:embed="rId62"/>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53" name="Picture 53"/>
            <wp:cNvGraphicFramePr>
              <a:graphicFrameLocks noChangeAspect="1"/>
            </wp:cNvGraphicFramePr>
            <a:graphic>
              <a:graphicData uri="http://schemas.openxmlformats.org/drawingml/2006/picture">
                <pic:pic>
                  <pic:nvPicPr>
                    <pic:cNvPr id="0" name="case_v3-2.jpg"/>
                    <pic:cNvPicPr/>
                  </pic:nvPicPr>
                  <pic:blipFill>
                    <a:blip r:embed="rId63"/>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54" name="Picture 54"/>
            <wp:cNvGraphicFramePr>
              <a:graphicFrameLocks noChangeAspect="1"/>
            </wp:cNvGraphicFramePr>
            <a:graphic>
              <a:graphicData uri="http://schemas.openxmlformats.org/drawingml/2006/picture">
                <pic:pic>
                  <pic:nvPicPr>
                    <pic:cNvPr id="0" name="case_v3-3.jpg"/>
                    <pic:cNvPicPr/>
                  </pic:nvPicPr>
                  <pic:blipFill>
                    <a:blip r:embed="rId64"/>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55" name="Picture 55"/>
            <wp:cNvGraphicFramePr>
              <a:graphicFrameLocks noChangeAspect="1"/>
            </wp:cNvGraphicFramePr>
            <a:graphic>
              <a:graphicData uri="http://schemas.openxmlformats.org/drawingml/2006/picture">
                <pic:pic>
                  <pic:nvPicPr>
                    <pic:cNvPr id="0" name="case_v3-4.jpg"/>
                    <pic:cNvPicPr/>
                  </pic:nvPicPr>
                  <pic:blipFill>
                    <a:blip r:embed="rId65"/>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56" name="Picture 56"/>
            <wp:cNvGraphicFramePr>
              <a:graphicFrameLocks noChangeAspect="1"/>
            </wp:cNvGraphicFramePr>
            <a:graphic>
              <a:graphicData uri="http://schemas.openxmlformats.org/drawingml/2006/picture">
                <pic:pic>
                  <pic:nvPicPr>
                    <pic:cNvPr id="0" name="case_v3-5.jpg"/>
                    <pic:cNvPicPr/>
                  </pic:nvPicPr>
                  <pic:blipFill>
                    <a:blip r:embed="rId66"/>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57" name="Picture 57"/>
            <wp:cNvGraphicFramePr>
              <a:graphicFrameLocks noChangeAspect="1"/>
            </wp:cNvGraphicFramePr>
            <a:graphic>
              <a:graphicData uri="http://schemas.openxmlformats.org/drawingml/2006/picture">
                <pic:pic>
                  <pic:nvPicPr>
                    <pic:cNvPr id="0" name="case_v3-6.jpg"/>
                    <pic:cNvPicPr/>
                  </pic:nvPicPr>
                  <pic:blipFill>
                    <a:blip r:embed="rId67"/>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58" name="Picture 58"/>
            <wp:cNvGraphicFramePr>
              <a:graphicFrameLocks noChangeAspect="1"/>
            </wp:cNvGraphicFramePr>
            <a:graphic>
              <a:graphicData uri="http://schemas.openxmlformats.org/drawingml/2006/picture">
                <pic:pic>
                  <pic:nvPicPr>
                    <pic:cNvPr id="0" name="case_v3-7.jpg"/>
                    <pic:cNvPicPr/>
                  </pic:nvPicPr>
                  <pic:blipFill>
                    <a:blip r:embed="rId68"/>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59" name="Picture 59"/>
            <wp:cNvGraphicFramePr>
              <a:graphicFrameLocks noChangeAspect="1"/>
            </wp:cNvGraphicFramePr>
            <a:graphic>
              <a:graphicData uri="http://schemas.openxmlformats.org/drawingml/2006/picture">
                <pic:pic>
                  <pic:nvPicPr>
                    <pic:cNvPr id="0" name="bp18-1.jpg"/>
                    <pic:cNvPicPr/>
                  </pic:nvPicPr>
                  <pic:blipFill>
                    <a:blip r:embed="rId69"/>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60" name="Picture 60"/>
            <wp:cNvGraphicFramePr>
              <a:graphicFrameLocks noChangeAspect="1"/>
            </wp:cNvGraphicFramePr>
            <a:graphic>
              <a:graphicData uri="http://schemas.openxmlformats.org/drawingml/2006/picture">
                <pic:pic>
                  <pic:nvPicPr>
                    <pic:cNvPr id="0" name="pkg_17.jpg"/>
                    <pic:cNvPicPr/>
                  </pic:nvPicPr>
                  <pic:blipFill>
                    <a:blip r:embed="rId70"/>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61" name="Picture 61"/>
            <wp:cNvGraphicFramePr>
              <a:graphicFrameLocks noChangeAspect="1"/>
            </wp:cNvGraphicFramePr>
            <a:graphic>
              <a:graphicData uri="http://schemas.openxmlformats.org/drawingml/2006/picture">
                <pic:pic>
                  <pic:nvPicPr>
                    <pic:cNvPr id="0" name="pkg_18.jpg"/>
                    <pic:cNvPicPr/>
                  </pic:nvPicPr>
                  <pic:blipFill>
                    <a:blip r:embed="rId71"/>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62" name="Picture 62"/>
            <wp:cNvGraphicFramePr>
              <a:graphicFrameLocks noChangeAspect="1"/>
            </wp:cNvGraphicFramePr>
            <a:graphic>
              <a:graphicData uri="http://schemas.openxmlformats.org/drawingml/2006/picture">
                <pic:pic>
                  <pic:nvPicPr>
                    <pic:cNvPr id="0" name="pkg_19.jpg"/>
                    <pic:cNvPicPr/>
                  </pic:nvPicPr>
                  <pic:blipFill>
                    <a:blip r:embed="rId72"/>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63" name="Picture 63"/>
            <wp:cNvGraphicFramePr>
              <a:graphicFrameLocks noChangeAspect="1"/>
            </wp:cNvGraphicFramePr>
            <a:graphic>
              <a:graphicData uri="http://schemas.openxmlformats.org/drawingml/2006/picture">
                <pic:pic>
                  <pic:nvPicPr>
                    <pic:cNvPr id="0" name="pkg_20.jpg"/>
                    <pic:cNvPicPr/>
                  </pic:nvPicPr>
                  <pic:blipFill>
                    <a:blip r:embed="rId73"/>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64" name="Picture 64"/>
            <wp:cNvGraphicFramePr>
              <a:graphicFrameLocks noChangeAspect="1"/>
            </wp:cNvGraphicFramePr>
            <a:graphic>
              <a:graphicData uri="http://schemas.openxmlformats.org/drawingml/2006/picture">
                <pic:pic>
                  <pic:nvPicPr>
                    <pic:cNvPr id="0" name="pkg_21.jpg"/>
                    <pic:cNvPicPr/>
                  </pic:nvPicPr>
                  <pic:blipFill>
                    <a:blip r:embed="rId74"/>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65" name="Picture 65"/>
            <wp:cNvGraphicFramePr>
              <a:graphicFrameLocks noChangeAspect="1"/>
            </wp:cNvGraphicFramePr>
            <a:graphic>
              <a:graphicData uri="http://schemas.openxmlformats.org/drawingml/2006/picture">
                <pic:pic>
                  <pic:nvPicPr>
                    <pic:cNvPr id="0" name="pkg_22.jpg"/>
                    <pic:cNvPicPr/>
                  </pic:nvPicPr>
                  <pic:blipFill>
                    <a:blip r:embed="rId75"/>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66" name="Picture 66"/>
            <wp:cNvGraphicFramePr>
              <a:graphicFrameLocks noChangeAspect="1"/>
            </wp:cNvGraphicFramePr>
            <a:graphic>
              <a:graphicData uri="http://schemas.openxmlformats.org/drawingml/2006/picture">
                <pic:pic>
                  <pic:nvPicPr>
                    <pic:cNvPr id="0" name="pkg_24.jpg"/>
                    <pic:cNvPicPr/>
                  </pic:nvPicPr>
                  <pic:blipFill>
                    <a:blip r:embed="rId76"/>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67" name="Picture 67"/>
            <wp:cNvGraphicFramePr>
              <a:graphicFrameLocks noChangeAspect="1"/>
            </wp:cNvGraphicFramePr>
            <a:graphic>
              <a:graphicData uri="http://schemas.openxmlformats.org/drawingml/2006/picture">
                <pic:pic>
                  <pic:nvPicPr>
                    <pic:cNvPr id="0" name="pkg_25.jpg"/>
                    <pic:cNvPicPr/>
                  </pic:nvPicPr>
                  <pic:blipFill>
                    <a:blip r:embed="rId77"/>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68" name="Picture 68"/>
            <wp:cNvGraphicFramePr>
              <a:graphicFrameLocks noChangeAspect="1"/>
            </wp:cNvGraphicFramePr>
            <a:graphic>
              <a:graphicData uri="http://schemas.openxmlformats.org/drawingml/2006/picture">
                <pic:pic>
                  <pic:nvPicPr>
                    <pic:cNvPr id="0" name="pkg_26.jpg"/>
                    <pic:cNvPicPr/>
                  </pic:nvPicPr>
                  <pic:blipFill>
                    <a:blip r:embed="rId78"/>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69" name="Picture 69"/>
            <wp:cNvGraphicFramePr>
              <a:graphicFrameLocks noChangeAspect="1"/>
            </wp:cNvGraphicFramePr>
            <a:graphic>
              <a:graphicData uri="http://schemas.openxmlformats.org/drawingml/2006/picture">
                <pic:pic>
                  <pic:nvPicPr>
                    <pic:cNvPr id="0" name="pkg_27.jpg"/>
                    <pic:cNvPicPr/>
                  </pic:nvPicPr>
                  <pic:blipFill>
                    <a:blip r:embed="rId79"/>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70" name="Picture 70"/>
            <wp:cNvGraphicFramePr>
              <a:graphicFrameLocks noChangeAspect="1"/>
            </wp:cNvGraphicFramePr>
            <a:graphic>
              <a:graphicData uri="http://schemas.openxmlformats.org/drawingml/2006/picture">
                <pic:pic>
                  <pic:nvPicPr>
                    <pic:cNvPr id="0" name="pkg_28.jpg"/>
                    <pic:cNvPicPr/>
                  </pic:nvPicPr>
                  <pic:blipFill>
                    <a:blip r:embed="rId80"/>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71" name="Picture 71"/>
            <wp:cNvGraphicFramePr>
              <a:graphicFrameLocks noChangeAspect="1"/>
            </wp:cNvGraphicFramePr>
            <a:graphic>
              <a:graphicData uri="http://schemas.openxmlformats.org/drawingml/2006/picture">
                <pic:pic>
                  <pic:nvPicPr>
                    <pic:cNvPr id="0" name="pkg_42.jpg"/>
                    <pic:cNvPicPr/>
                  </pic:nvPicPr>
                  <pic:blipFill>
                    <a:blip r:embed="rId81"/>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72" name="Picture 72"/>
            <wp:cNvGraphicFramePr>
              <a:graphicFrameLocks noChangeAspect="1"/>
            </wp:cNvGraphicFramePr>
            <a:graphic>
              <a:graphicData uri="http://schemas.openxmlformats.org/drawingml/2006/picture">
                <pic:pic>
                  <pic:nvPicPr>
                    <pic:cNvPr id="0" name="pkg_43.jpg"/>
                    <pic:cNvPicPr/>
                  </pic:nvPicPr>
                  <pic:blipFill>
                    <a:blip r:embed="rId82"/>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73" name="Picture 73"/>
            <wp:cNvGraphicFramePr>
              <a:graphicFrameLocks noChangeAspect="1"/>
            </wp:cNvGraphicFramePr>
            <a:graphic>
              <a:graphicData uri="http://schemas.openxmlformats.org/drawingml/2006/picture">
                <pic:pic>
                  <pic:nvPicPr>
                    <pic:cNvPr id="0" name="pkg_44.jpg"/>
                    <pic:cNvPicPr/>
                  </pic:nvPicPr>
                  <pic:blipFill>
                    <a:blip r:embed="rId83"/>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74" name="Picture 74"/>
            <wp:cNvGraphicFramePr>
              <a:graphicFrameLocks noChangeAspect="1"/>
            </wp:cNvGraphicFramePr>
            <a:graphic>
              <a:graphicData uri="http://schemas.openxmlformats.org/drawingml/2006/picture">
                <pic:pic>
                  <pic:nvPicPr>
                    <pic:cNvPr id="0" name="pkg_45.jpg"/>
                    <pic:cNvPicPr/>
                  </pic:nvPicPr>
                  <pic:blipFill>
                    <a:blip r:embed="rId84"/>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75" name="Picture 75"/>
            <wp:cNvGraphicFramePr>
              <a:graphicFrameLocks noChangeAspect="1"/>
            </wp:cNvGraphicFramePr>
            <a:graphic>
              <a:graphicData uri="http://schemas.openxmlformats.org/drawingml/2006/picture">
                <pic:pic>
                  <pic:nvPicPr>
                    <pic:cNvPr id="0" name="pkg_33.jpg"/>
                    <pic:cNvPicPr/>
                  </pic:nvPicPr>
                  <pic:blipFill>
                    <a:blip r:embed="rId85"/>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76" name="Picture 76"/>
            <wp:cNvGraphicFramePr>
              <a:graphicFrameLocks noChangeAspect="1"/>
            </wp:cNvGraphicFramePr>
            <a:graphic>
              <a:graphicData uri="http://schemas.openxmlformats.org/drawingml/2006/picture">
                <pic:pic>
                  <pic:nvPicPr>
                    <pic:cNvPr id="0" name="pkg_34.jpg"/>
                    <pic:cNvPicPr/>
                  </pic:nvPicPr>
                  <pic:blipFill>
                    <a:blip r:embed="rId86"/>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77" name="Picture 77"/>
            <wp:cNvGraphicFramePr>
              <a:graphicFrameLocks noChangeAspect="1"/>
            </wp:cNvGraphicFramePr>
            <a:graphic>
              <a:graphicData uri="http://schemas.openxmlformats.org/drawingml/2006/picture">
                <pic:pic>
                  <pic:nvPicPr>
                    <pic:cNvPr id="0" name="pkg_35.jpg"/>
                    <pic:cNvPicPr/>
                  </pic:nvPicPr>
                  <pic:blipFill>
                    <a:blip r:embed="rId87"/>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78" name="Picture 78"/>
            <wp:cNvGraphicFramePr>
              <a:graphicFrameLocks noChangeAspect="1"/>
            </wp:cNvGraphicFramePr>
            <a:graphic>
              <a:graphicData uri="http://schemas.openxmlformats.org/drawingml/2006/picture">
                <pic:pic>
                  <pic:nvPicPr>
                    <pic:cNvPr id="0" name="pkg_36.jpg"/>
                    <pic:cNvPicPr/>
                  </pic:nvPicPr>
                  <pic:blipFill>
                    <a:blip r:embed="rId88"/>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79" name="Picture 79"/>
            <wp:cNvGraphicFramePr>
              <a:graphicFrameLocks noChangeAspect="1"/>
            </wp:cNvGraphicFramePr>
            <a:graphic>
              <a:graphicData uri="http://schemas.openxmlformats.org/drawingml/2006/picture">
                <pic:pic>
                  <pic:nvPicPr>
                    <pic:cNvPr id="0" name="pkg_37.jpg"/>
                    <pic:cNvPicPr/>
                  </pic:nvPicPr>
                  <pic:blipFill>
                    <a:blip r:embed="rId89"/>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80" name="Picture 80"/>
            <wp:cNvGraphicFramePr>
              <a:graphicFrameLocks noChangeAspect="1"/>
            </wp:cNvGraphicFramePr>
            <a:graphic>
              <a:graphicData uri="http://schemas.openxmlformats.org/drawingml/2006/picture">
                <pic:pic>
                  <pic:nvPicPr>
                    <pic:cNvPr id="0" name="pkg_38.jpg"/>
                    <pic:cNvPicPr/>
                  </pic:nvPicPr>
                  <pic:blipFill>
                    <a:blip r:embed="rId90"/>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81" name="Picture 81"/>
            <wp:cNvGraphicFramePr>
              <a:graphicFrameLocks noChangeAspect="1"/>
            </wp:cNvGraphicFramePr>
            <a:graphic>
              <a:graphicData uri="http://schemas.openxmlformats.org/drawingml/2006/picture">
                <pic:pic>
                  <pic:nvPicPr>
                    <pic:cNvPr id="0" name="pkg_39.jpg"/>
                    <pic:cNvPicPr/>
                  </pic:nvPicPr>
                  <pic:blipFill>
                    <a:blip r:embed="rId91"/>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82" name="Picture 82"/>
            <wp:cNvGraphicFramePr>
              <a:graphicFrameLocks noChangeAspect="1"/>
            </wp:cNvGraphicFramePr>
            <a:graphic>
              <a:graphicData uri="http://schemas.openxmlformats.org/drawingml/2006/picture">
                <pic:pic>
                  <pic:nvPicPr>
                    <pic:cNvPr id="0" name="pkg_40.jpg"/>
                    <pic:cNvPicPr/>
                  </pic:nvPicPr>
                  <pic:blipFill>
                    <a:blip r:embed="rId92"/>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83" name="Picture 83"/>
            <wp:cNvGraphicFramePr>
              <a:graphicFrameLocks noChangeAspect="1"/>
            </wp:cNvGraphicFramePr>
            <a:graphic>
              <a:graphicData uri="http://schemas.openxmlformats.org/drawingml/2006/picture">
                <pic:pic>
                  <pic:nvPicPr>
                    <pic:cNvPr id="0" name="pkg_41.jpg"/>
                    <pic:cNvPicPr/>
                  </pic:nvPicPr>
                  <pic:blipFill>
                    <a:blip r:embed="rId93"/>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84" name="Picture 84"/>
            <wp:cNvGraphicFramePr>
              <a:graphicFrameLocks noChangeAspect="1"/>
            </wp:cNvGraphicFramePr>
            <a:graphic>
              <a:graphicData uri="http://schemas.openxmlformats.org/drawingml/2006/picture">
                <pic:pic>
                  <pic:nvPicPr>
                    <pic:cNvPr id="0" name="pkg_29.jpg"/>
                    <pic:cNvPicPr/>
                  </pic:nvPicPr>
                  <pic:blipFill>
                    <a:blip r:embed="rId94"/>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85" name="Picture 85"/>
            <wp:cNvGraphicFramePr>
              <a:graphicFrameLocks noChangeAspect="1"/>
            </wp:cNvGraphicFramePr>
            <a:graphic>
              <a:graphicData uri="http://schemas.openxmlformats.org/drawingml/2006/picture">
                <pic:pic>
                  <pic:nvPicPr>
                    <pic:cNvPr id="0" name="pkg_30.jpg"/>
                    <pic:cNvPicPr/>
                  </pic:nvPicPr>
                  <pic:blipFill>
                    <a:blip r:embed="rId95"/>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86" name="Picture 86"/>
            <wp:cNvGraphicFramePr>
              <a:graphicFrameLocks noChangeAspect="1"/>
            </wp:cNvGraphicFramePr>
            <a:graphic>
              <a:graphicData uri="http://schemas.openxmlformats.org/drawingml/2006/picture">
                <pic:pic>
                  <pic:nvPicPr>
                    <pic:cNvPr id="0" name="pkg_31.jpg"/>
                    <pic:cNvPicPr/>
                  </pic:nvPicPr>
                  <pic:blipFill>
                    <a:blip r:embed="rId96"/>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87" name="Picture 87"/>
            <wp:cNvGraphicFramePr>
              <a:graphicFrameLocks noChangeAspect="1"/>
            </wp:cNvGraphicFramePr>
            <a:graphic>
              <a:graphicData uri="http://schemas.openxmlformats.org/drawingml/2006/picture">
                <pic:pic>
                  <pic:nvPicPr>
                    <pic:cNvPr id="0" name="pkg_32.jpg"/>
                    <pic:cNvPicPr/>
                  </pic:nvPicPr>
                  <pic:blipFill>
                    <a:blip r:embed="rId97"/>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88" name="Picture 88"/>
            <wp:cNvGraphicFramePr>
              <a:graphicFrameLocks noChangeAspect="1"/>
            </wp:cNvGraphicFramePr>
            <a:graphic>
              <a:graphicData uri="http://schemas.openxmlformats.org/drawingml/2006/picture">
                <pic:pic>
                  <pic:nvPicPr>
                    <pic:cNvPr id="0" name="sheet-02.png"/>
                    <pic:cNvPicPr/>
                  </pic:nvPicPr>
                  <pic:blipFill>
                    <a:blip r:embed="rId9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9" name="Picture 89"/>
            <wp:cNvGraphicFramePr>
              <a:graphicFrameLocks noChangeAspect="1"/>
            </wp:cNvGraphicFramePr>
            <a:graphic>
              <a:graphicData uri="http://schemas.openxmlformats.org/drawingml/2006/picture">
                <pic:pic>
                  <pic:nvPicPr>
                    <pic:cNvPr id="0" name="sheet-03.png"/>
                    <pic:cNvPicPr/>
                  </pic:nvPicPr>
                  <pic:blipFill>
                    <a:blip r:embed="rId9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0" name="Picture 90"/>
            <wp:cNvGraphicFramePr>
              <a:graphicFrameLocks noChangeAspect="1"/>
            </wp:cNvGraphicFramePr>
            <a:graphic>
              <a:graphicData uri="http://schemas.openxmlformats.org/drawingml/2006/picture">
                <pic:pic>
                  <pic:nvPicPr>
                    <pic:cNvPr id="0" name="sheet-04.png"/>
                    <pic:cNvPicPr/>
                  </pic:nvPicPr>
                  <pic:blipFill>
                    <a:blip r:embed="rId10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1" name="Picture 91"/>
            <wp:cNvGraphicFramePr>
              <a:graphicFrameLocks noChangeAspect="1"/>
            </wp:cNvGraphicFramePr>
            <a:graphic>
              <a:graphicData uri="http://schemas.openxmlformats.org/drawingml/2006/picture">
                <pic:pic>
                  <pic:nvPicPr>
                    <pic:cNvPr id="0" name="sheet-05.png"/>
                    <pic:cNvPicPr/>
                  </pic:nvPicPr>
                  <pic:blipFill>
                    <a:blip r:embed="rId10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2" name="Picture 92"/>
            <wp:cNvGraphicFramePr>
              <a:graphicFrameLocks noChangeAspect="1"/>
            </wp:cNvGraphicFramePr>
            <a:graphic>
              <a:graphicData uri="http://schemas.openxmlformats.org/drawingml/2006/picture">
                <pic:pic>
                  <pic:nvPicPr>
                    <pic:cNvPr id="0" name="sheet-06.png"/>
                    <pic:cNvPicPr/>
                  </pic:nvPicPr>
                  <pic:blipFill>
                    <a:blip r:embed="rId10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3" name="Picture 93"/>
            <wp:cNvGraphicFramePr>
              <a:graphicFrameLocks noChangeAspect="1"/>
            </wp:cNvGraphicFramePr>
            <a:graphic>
              <a:graphicData uri="http://schemas.openxmlformats.org/drawingml/2006/picture">
                <pic:pic>
                  <pic:nvPicPr>
                    <pic:cNvPr id="0" name="sheet-07.png"/>
                    <pic:cNvPicPr/>
                  </pic:nvPicPr>
                  <pic:blipFill>
                    <a:blip r:embed="rId10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4" name="Picture 94"/>
            <wp:cNvGraphicFramePr>
              <a:graphicFrameLocks noChangeAspect="1"/>
            </wp:cNvGraphicFramePr>
            <a:graphic>
              <a:graphicData uri="http://schemas.openxmlformats.org/drawingml/2006/picture">
                <pic:pic>
                  <pic:nvPicPr>
                    <pic:cNvPr id="0" name="sheet-08.png"/>
                    <pic:cNvPicPr/>
                  </pic:nvPicPr>
                  <pic:blipFill>
                    <a:blip r:embed="rId10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5" name="Picture 95"/>
            <wp:cNvGraphicFramePr>
              <a:graphicFrameLocks noChangeAspect="1"/>
            </wp:cNvGraphicFramePr>
            <a:graphic>
              <a:graphicData uri="http://schemas.openxmlformats.org/drawingml/2006/picture">
                <pic:pic>
                  <pic:nvPicPr>
                    <pic:cNvPr id="0" name="sheet-09.png"/>
                    <pic:cNvPicPr/>
                  </pic:nvPicPr>
                  <pic:blipFill>
                    <a:blip r:embed="rId10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6" name="Picture 96"/>
            <wp:cNvGraphicFramePr>
              <a:graphicFrameLocks noChangeAspect="1"/>
            </wp:cNvGraphicFramePr>
            <a:graphic>
              <a:graphicData uri="http://schemas.openxmlformats.org/drawingml/2006/picture">
                <pic:pic>
                  <pic:nvPicPr>
                    <pic:cNvPr id="0" name="sheet-10.png"/>
                    <pic:cNvPicPr/>
                  </pic:nvPicPr>
                  <pic:blipFill>
                    <a:blip r:embed="rId10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7" name="Picture 97"/>
            <wp:cNvGraphicFramePr>
              <a:graphicFrameLocks noChangeAspect="1"/>
            </wp:cNvGraphicFramePr>
            <a:graphic>
              <a:graphicData uri="http://schemas.openxmlformats.org/drawingml/2006/picture">
                <pic:pic>
                  <pic:nvPicPr>
                    <pic:cNvPr id="0" name="sheet-11.png"/>
                    <pic:cNvPicPr/>
                  </pic:nvPicPr>
                  <pic:blipFill>
                    <a:blip r:embed="rId10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8" name="Picture 98"/>
            <wp:cNvGraphicFramePr>
              <a:graphicFrameLocks noChangeAspect="1"/>
            </wp:cNvGraphicFramePr>
            <a:graphic>
              <a:graphicData uri="http://schemas.openxmlformats.org/drawingml/2006/picture">
                <pic:pic>
                  <pic:nvPicPr>
                    <pic:cNvPr id="0" name="sheet-12.png"/>
                    <pic:cNvPicPr/>
                  </pic:nvPicPr>
                  <pic:blipFill>
                    <a:blip r:embed="rId10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9" name="Picture 99"/>
            <wp:cNvGraphicFramePr>
              <a:graphicFrameLocks noChangeAspect="1"/>
            </wp:cNvGraphicFramePr>
            <a:graphic>
              <a:graphicData uri="http://schemas.openxmlformats.org/drawingml/2006/picture">
                <pic:pic>
                  <pic:nvPicPr>
                    <pic:cNvPr id="0" name="sheet-13.png"/>
                    <pic:cNvPicPr/>
                  </pic:nvPicPr>
                  <pic:blipFill>
                    <a:blip r:embed="rId10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0" name="Picture 100"/>
            <wp:cNvGraphicFramePr>
              <a:graphicFrameLocks noChangeAspect="1"/>
            </wp:cNvGraphicFramePr>
            <a:graphic>
              <a:graphicData uri="http://schemas.openxmlformats.org/drawingml/2006/picture">
                <pic:pic>
                  <pic:nvPicPr>
                    <pic:cNvPr id="0" name="sheet-14.png"/>
                    <pic:cNvPicPr/>
                  </pic:nvPicPr>
                  <pic:blipFill>
                    <a:blip r:embed="rId11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1" name="Picture 101"/>
            <wp:cNvGraphicFramePr>
              <a:graphicFrameLocks noChangeAspect="1"/>
            </wp:cNvGraphicFramePr>
            <a:graphic>
              <a:graphicData uri="http://schemas.openxmlformats.org/drawingml/2006/picture">
                <pic:pic>
                  <pic:nvPicPr>
                    <pic:cNvPr id="0" name="sheet-15.png"/>
                    <pic:cNvPicPr/>
                  </pic:nvPicPr>
                  <pic:blipFill>
                    <a:blip r:embed="rId11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16.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17.png"/>
                    <pic:cNvPicPr/>
                  </pic:nvPicPr>
                  <pic:blipFill>
                    <a:blip r:embed="rId11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4" name="Picture 104"/>
            <wp:cNvGraphicFramePr>
              <a:graphicFrameLocks noChangeAspect="1"/>
            </wp:cNvGraphicFramePr>
            <a:graphic>
              <a:graphicData uri="http://schemas.openxmlformats.org/drawingml/2006/picture">
                <pic:pic>
                  <pic:nvPicPr>
                    <pic:cNvPr id="0" name="sheet-18.png"/>
                    <pic:cNvPicPr/>
                  </pic:nvPicPr>
                  <pic:blipFill>
                    <a:blip r:embed="rId11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5" name="Picture 105"/>
            <wp:cNvGraphicFramePr>
              <a:graphicFrameLocks noChangeAspect="1"/>
            </wp:cNvGraphicFramePr>
            <a:graphic>
              <a:graphicData uri="http://schemas.openxmlformats.org/drawingml/2006/picture">
                <pic:pic>
                  <pic:nvPicPr>
                    <pic:cNvPr id="0" name="sheet-19.png"/>
                    <pic:cNvPicPr/>
                  </pic:nvPicPr>
                  <pic:blipFill>
                    <a:blip r:embed="rId11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6" name="Picture 106"/>
            <wp:cNvGraphicFramePr>
              <a:graphicFrameLocks noChangeAspect="1"/>
            </wp:cNvGraphicFramePr>
            <a:graphic>
              <a:graphicData uri="http://schemas.openxmlformats.org/drawingml/2006/picture">
                <pic:pic>
                  <pic:nvPicPr>
                    <pic:cNvPr id="0" name="sheet-20.png"/>
                    <pic:cNvPicPr/>
                  </pic:nvPicPr>
                  <pic:blipFill>
                    <a:blip r:embed="rId11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7" name="Picture 107"/>
            <wp:cNvGraphicFramePr>
              <a:graphicFrameLocks noChangeAspect="1"/>
            </wp:cNvGraphicFramePr>
            <a:graphic>
              <a:graphicData uri="http://schemas.openxmlformats.org/drawingml/2006/picture">
                <pic:pic>
                  <pic:nvPicPr>
                    <pic:cNvPr id="0" name="sheet-21.png"/>
                    <pic:cNvPicPr/>
                  </pic:nvPicPr>
                  <pic:blipFill>
                    <a:blip r:embed="rId11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8" name="Picture 108"/>
            <wp:cNvGraphicFramePr>
              <a:graphicFrameLocks noChangeAspect="1"/>
            </wp:cNvGraphicFramePr>
            <a:graphic>
              <a:graphicData uri="http://schemas.openxmlformats.org/drawingml/2006/picture">
                <pic:pic>
                  <pic:nvPicPr>
                    <pic:cNvPr id="0" name="sheet-22.png"/>
                    <pic:cNvPicPr/>
                  </pic:nvPicPr>
                  <pic:blipFill>
                    <a:blip r:embed="rId11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9" name="Picture 109"/>
            <wp:cNvGraphicFramePr>
              <a:graphicFrameLocks noChangeAspect="1"/>
            </wp:cNvGraphicFramePr>
            <a:graphic>
              <a:graphicData uri="http://schemas.openxmlformats.org/drawingml/2006/picture">
                <pic:pic>
                  <pic:nvPicPr>
                    <pic:cNvPr id="0" name="sheet-23.png"/>
                    <pic:cNvPicPr/>
                  </pic:nvPicPr>
                  <pic:blipFill>
                    <a:blip r:embed="rId119"/>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0" name="Picture 110"/>
            <wp:cNvGraphicFramePr>
              <a:graphicFrameLocks noChangeAspect="1"/>
            </wp:cNvGraphicFramePr>
            <a:graphic>
              <a:graphicData uri="http://schemas.openxmlformats.org/drawingml/2006/picture">
                <pic:pic>
                  <pic:nvPicPr>
                    <pic:cNvPr id="0" name="view01.jpg"/>
                    <pic:cNvPicPr/>
                  </pic:nvPicPr>
                  <pic:blipFill>
                    <a:blip r:embed="rId120"/>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1" name="Picture 111"/>
            <wp:cNvGraphicFramePr>
              <a:graphicFrameLocks noChangeAspect="1"/>
            </wp:cNvGraphicFramePr>
            <a:graphic>
              <a:graphicData uri="http://schemas.openxmlformats.org/drawingml/2006/picture">
                <pic:pic>
                  <pic:nvPicPr>
                    <pic:cNvPr id="0" name="view02.jpg"/>
                    <pic:cNvPicPr/>
                  </pic:nvPicPr>
                  <pic:blipFill>
                    <a:blip r:embed="rId12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2" name="Picture 112"/>
            <wp:cNvGraphicFramePr>
              <a:graphicFrameLocks noChangeAspect="1"/>
            </wp:cNvGraphicFramePr>
            <a:graphic>
              <a:graphicData uri="http://schemas.openxmlformats.org/drawingml/2006/picture">
                <pic:pic>
                  <pic:nvPicPr>
                    <pic:cNvPr id="0" name="view03.jpg"/>
                    <pic:cNvPicPr/>
                  </pic:nvPicPr>
                  <pic:blipFill>
                    <a:blip r:embed="rId122"/>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13" name="Picture 113"/>
            <wp:cNvGraphicFramePr>
              <a:graphicFrameLocks noChangeAspect="1"/>
            </wp:cNvGraphicFramePr>
            <a:graphic>
              <a:graphicData uri="http://schemas.openxmlformats.org/drawingml/2006/picture">
                <pic:pic>
                  <pic:nvPicPr>
                    <pic:cNvPr id="0" name="view04.jpg"/>
                    <pic:cNvPicPr/>
                  </pic:nvPicPr>
                  <pic:blipFill>
                    <a:blip r:embed="rId123"/>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4" name="Picture 114"/>
            <wp:cNvGraphicFramePr>
              <a:graphicFrameLocks noChangeAspect="1"/>
            </wp:cNvGraphicFramePr>
            <a:graphic>
              <a:graphicData uri="http://schemas.openxmlformats.org/drawingml/2006/picture">
                <pic:pic>
                  <pic:nvPicPr>
                    <pic:cNvPr id="0" name="view05.jpg"/>
                    <pic:cNvPicPr/>
                  </pic:nvPicPr>
                  <pic:blipFill>
                    <a:blip r:embed="rId124"/>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5" name="Picture 115"/>
            <wp:cNvGraphicFramePr>
              <a:graphicFrameLocks noChangeAspect="1"/>
            </wp:cNvGraphicFramePr>
            <a:graphic>
              <a:graphicData uri="http://schemas.openxmlformats.org/drawingml/2006/picture">
                <pic:pic>
                  <pic:nvPicPr>
                    <pic:cNvPr id="0" name="view06.jpg"/>
                    <pic:cNvPicPr/>
                  </pic:nvPicPr>
                  <pic:blipFill>
                    <a:blip r:embed="rId12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6" name="Picture 116"/>
            <wp:cNvGraphicFramePr>
              <a:graphicFrameLocks noChangeAspect="1"/>
            </wp:cNvGraphicFramePr>
            <a:graphic>
              <a:graphicData uri="http://schemas.openxmlformats.org/drawingml/2006/picture">
                <pic:pic>
                  <pic:nvPicPr>
                    <pic:cNvPr id="0" name="view07.jpg"/>
                    <pic:cNvPicPr/>
                  </pic:nvPicPr>
                  <pic:blipFill>
                    <a:blip r:embed="rId126"/>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7" name="Picture 117"/>
            <wp:cNvGraphicFramePr>
              <a:graphicFrameLocks noChangeAspect="1"/>
            </wp:cNvGraphicFramePr>
            <a:graphic>
              <a:graphicData uri="http://schemas.openxmlformats.org/drawingml/2006/picture">
                <pic:pic>
                  <pic:nvPicPr>
                    <pic:cNvPr id="0" name="view08.jpg"/>
                    <pic:cNvPicPr/>
                  </pic:nvPicPr>
                  <pic:blipFill>
                    <a:blip r:embed="rId127"/>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8" name="Picture 118"/>
            <wp:cNvGraphicFramePr>
              <a:graphicFrameLocks noChangeAspect="1"/>
            </wp:cNvGraphicFramePr>
            <a:graphic>
              <a:graphicData uri="http://schemas.openxmlformats.org/drawingml/2006/picture">
                <pic:pic>
                  <pic:nvPicPr>
                    <pic:cNvPr id="0" name="view09.jpg"/>
                    <pic:cNvPicPr/>
                  </pic:nvPicPr>
                  <pic:blipFill>
                    <a:blip r:embed="rId12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9" name="Picture 119"/>
            <wp:cNvGraphicFramePr>
              <a:graphicFrameLocks noChangeAspect="1"/>
            </wp:cNvGraphicFramePr>
            <a:graphic>
              <a:graphicData uri="http://schemas.openxmlformats.org/drawingml/2006/picture">
                <pic:pic>
                  <pic:nvPicPr>
                    <pic:cNvPr id="0" name="view10.jpg"/>
                    <pic:cNvPicPr/>
                  </pic:nvPicPr>
                  <pic:blipFill>
                    <a:blip r:embed="rId12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spacing w:after="80"/>
      </w:pPr>
      <w:r>
        <w:rPr>
          <w:b/>
          <w:i w:val="0"/>
          <w:color w:val="1B335F"/>
          <w:sz w:val="24"/>
        </w:rP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20" name="Picture 120"/>
                  <wp:cNvGraphicFramePr>
                    <a:graphicFrameLocks noChangeAspect="1"/>
                  </wp:cNvGraphicFramePr>
                  <a:graphic>
                    <a:graphicData uri="http://schemas.openxmlformats.org/drawingml/2006/picture">
                      <pic:pic>
                        <pic:nvPicPr>
                          <pic:cNvPr id="0" name="render_mb_top.png"/>
                          <pic:cNvPicPr/>
                        </pic:nvPicPr>
                        <pic:blipFill>
                          <a:blip r:embed="rId130"/>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21" name="Picture 121"/>
                  <wp:cNvGraphicFramePr>
                    <a:graphicFrameLocks noChangeAspect="1"/>
                  </wp:cNvGraphicFramePr>
                  <a:graphic>
                    <a:graphicData uri="http://schemas.openxmlformats.org/drawingml/2006/picture">
                      <pic:pic>
                        <pic:nvPicPr>
                          <pic:cNvPr id="0" name="render_mb_bottom.png"/>
                          <pic:cNvPicPr/>
                        </pic:nvPicPr>
                        <pic:blipFill>
                          <a:blip r:embed="rId131"/>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22" name="Picture 122"/>
                  <wp:cNvGraphicFramePr>
                    <a:graphicFrameLocks noChangeAspect="1"/>
                  </wp:cNvGraphicFramePr>
                  <a:graphic>
                    <a:graphicData uri="http://schemas.openxmlformats.org/drawingml/2006/picture">
                      <pic:pic>
                        <pic:nvPicPr>
                          <pic:cNvPr id="0" name="render_cover_top.png"/>
                          <pic:cNvPicPr/>
                        </pic:nvPicPr>
                        <pic:blipFill>
                          <a:blip r:embed="rId132"/>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23" name="Picture 123"/>
                  <wp:cNvGraphicFramePr>
                    <a:graphicFrameLocks noChangeAspect="1"/>
                  </wp:cNvGraphicFramePr>
                  <a:graphic>
                    <a:graphicData uri="http://schemas.openxmlformats.org/drawingml/2006/picture">
                      <pic:pic>
                        <pic:nvPicPr>
                          <pic:cNvPr id="0" name="render_cover_bottom.png"/>
                          <pic:cNvPicPr/>
                        </pic:nvPicPr>
                        <pic:blipFill>
                          <a:blip r:embed="rId133"/>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spacing w:after="60"/>
        <w:jc w:val="center"/>
      </w:pPr>
      <w:r>
        <w:rPr>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keepNext/>
      </w:pPr>
      <w:r>
        <w:t>2.6.b · Bill of Materials (BOM) for Key Components Affecting Explosion-Proof Safety</w:t>
      </w:r>
    </w:p>
    <w:p>
      <w:pPr>
        <w:keepNext/>
        <w:keepLines/>
        <w:spacing w:after="160"/>
      </w:pPr>
      <w:r>
        <w:rPr>
          <w:b w:val="0"/>
          <w:i w:val="0"/>
          <w:sz w:val="21"/>
        </w:rPr>
        <w:t>A complete, itemized electronic-component BOM exists for both boards, exported directly from the EasyEDA/JLCPCB source project (manufacturer, manufacturer part number, and LCSC supplier part number per line item): 89 line items / 214 placed components on the main board, 14 line items / 24 placed components on the sensor board. Full listing maintained in Dokumen_Teknis_Sertifikasi_GLD_IECEx_ATEX, Section 2.6.b.</w:t>
      </w:r>
    </w:p>
    <w:p>
      <w:pPr>
        <w:keepLines/>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remains not yet compiled — these are mechanical/safety parts, not electronic components, and sit with the Manufacturer, PT Galaksi Megatama Indonesia. The gas sensor itself (MQ2) is sourced outside the LCSC supply chain, without a manufacturer/LCSC part reference; its Ex status is not yet verified.</w:t>
      </w: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threaded-neck wall 10.50 mm at the root / 5.80 mm at the top, bore ≈Ø84.7 mm (caliper, Figures 4-128–4-131); body wall thickness elsewhere and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internal thread length ≈18.9 mm, internal depth to the mesh ≈47.5 mm (Figures 4-135, 4-137); mating base-neck thread height ≈14.8 mm with ≈10 threads (caliper, Figure 4-130); thread size indicatively ≈M96 × 1.5 (derived from bore Ø84.7 mm + 2 × 5.80 mm wall and thread count) — to be confirmed on drawing</w:t>
            </w:r>
          </w:p>
        </w:tc>
        <w:tc>
          <w:tcPr>
            <w:tcW w:type="dxa" w:w="1224"/>
          </w:tcPr>
          <w:p>
            <w:pPr>
              <w:spacing w:after="20"/>
            </w:pPr>
            <w:r>
              <w:rPr>
                <w:sz w:val="14"/>
              </w:rPr>
              <w:t>Flameproof joint</w:t>
            </w:r>
          </w:p>
        </w:tc>
        <w:tc>
          <w:tcPr>
            <w:tcW w:type="dxa" w:w="1080"/>
          </w:tcPr>
          <w:p>
            <w:pPr>
              <w:spacing w:after="20"/>
            </w:pPr>
            <w:r>
              <w:rPr>
                <w:sz w:val="14"/>
              </w:rPr>
              <w:t>Figures 4-127–4-137; assembly M-E9</w:t>
            </w:r>
          </w:p>
        </w:tc>
        <w:tc>
          <w:tcPr>
            <w:tcW w:type="dxa" w:w="864"/>
            <w:shd w:val="clear" w:fill="FBEEE4"/>
          </w:tcPr>
          <w:p>
            <w:pPr>
              <w:spacing w:after="20"/>
            </w:pPr>
            <w:r>
              <w:rPr>
                <w:b/>
                <w:sz w:val="14"/>
              </w:rPr>
              <w:t>Open — measured/estimate</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cover O-ring cord Ø2.70 mm, OD ≈91.0 mm, ID ≈85.6 mm derived (caliper, Figures 4-132, 4-134);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 O-rings on cover joint and blanking plug (Figures 4-125, 4-132, 4-134)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consistent with Figure 4-127);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with O-ring in the lower entry; thread est. M20×1.5;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Brass SMA bulkhead (standard 1/4″-36 UNS thread) in a spot-faced hole through the enclosure wall, U.FL pigtail inside; engagement and sealing TBC</w:t>
            </w:r>
          </w:p>
        </w:tc>
        <w:tc>
          <w:tcPr>
            <w:tcW w:type="dxa" w:w="1224"/>
          </w:tcPr>
          <w:p>
            <w:pPr>
              <w:spacing w:after="20"/>
            </w:pPr>
            <w:r>
              <w:rPr>
                <w:sz w:val="14"/>
              </w:rPr>
              <w:t>Enclosure penetration (flame path under Ex d)</w:t>
            </w:r>
          </w:p>
        </w:tc>
        <w:tc>
          <w:tcPr>
            <w:tcW w:type="dxa" w:w="1080"/>
          </w:tcPr>
          <w:p>
            <w:pPr>
              <w:spacing w:after="20"/>
            </w:pPr>
            <w:r>
              <w:rPr>
                <w:sz w:val="14"/>
              </w:rPr>
              <w:t>Figures 4-125, 4-126</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 — identified as a rubber gasket in the casing partner's assembly drawing, specific compound/grade not yet specified); the integral seal of the candidate M20×1.5 cable gland — per project direction, specified together with the gland itself from the BP18-1Z reference (Section 2.3),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p>
      <w:pPr>
        <w:spacing w:after="200"/>
      </w:pPr>
      <w:r>
        <w:rPr>
          <w:b/>
          <w:color w:val="4A4A4A"/>
          <w:sz w:val="19"/>
        </w:rPr>
        <w:t xml:space="preserve">Status: </w:t>
      </w:r>
      <w:r>
        <w:rPr>
          <w:i/>
          <w:color w:val="4A4A4A"/>
          <w:sz w:val="19"/>
        </w:rPr>
        <w:t>Not yet available, pending the enclosure design and material selection with the casing partner — this data has been formally requested from that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describes a supplier's candidate component, not a confirmed datasheet for GLD's own enclosure finish.</w:t>
      </w: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O-ring, cord Ø2.70 mm, OD ≈91.0 mm (measured);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p>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and ExCB confirmation.</w:t>
      </w:r>
    </w:p>
    <w:p>
      <w:pPr>
        <w:spacing w:after="200"/>
      </w:pPr>
      <w:r>
        <w:rPr>
          <w:b/>
          <w:color w:val="4A4A4A"/>
          <w:sz w:val="19"/>
        </w:rPr>
        <w:t xml:space="preserve">Status: </w:t>
      </w:r>
      <w:r>
        <w:rPr>
          <w:i/>
          <w:color w:val="4A4A4A"/>
          <w:sz w:val="19"/>
        </w:rPr>
        <w:t>Not yet available — pending ExCB confirmation of the Ex d protection concept and final enclosure design.</w:t>
      </w: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keepNext/>
        <w:spacing w:after="60"/>
      </w:pPr>
      <w:r>
        <w:rPr>
          <w:b/>
          <w:i w:val="0"/>
          <w:color w:val="1B335F"/>
          <w:sz w:val="21"/>
        </w:rPr>
        <w:t>e.3.12 Threaded joints — measured and estimated dimensions</w:t>
      </w:r>
    </w:p>
    <w:p>
      <w:pPr>
        <w:spacing w:after="100"/>
      </w:pPr>
      <w:r>
        <w:rPr>
          <w:b w:val="0"/>
          <w:i w:val="0"/>
          <w:color w:val="262321"/>
          <w:sz w:val="19"/>
        </w:rPr>
        <w:t>The cover-joint dimensions below were measured by the applicant with a vernier caliper (0.05 mm) on the current production base and cover (Figures 4-128 to 4-137): neck wall 10.50 mm at the root and 5.80 mm at the top, threaded-neck height ≈14.8 mm above the O-ring (≈20.2 mm from the body shoulder), bore ≈Ø84.7 mm, base internal depth ≈45 mm to the PCB-boss ledge, cover internal thread length ≈18.9 mm, cover depth ≈47.5 mm to the mesh, O-ring cord Ø2.70 mm and OD ≈91.0 mm. Indicative gross free volume (base bore × depth plus the cover below its thread) is of the order of 0.4 L before deducting internal components. Thread size and pitch are derived from these readings and the visible thread count; the entry threads are estimates taken from photographs (Figures 4-119, 4-125–4-127) and from the BP18-1Z supplier drawing. Note that the measured bore (≈Ø84.7 mm) differs from the Ø94.7 mm bore of the BP18-1Z drawing, so that drawing is not the controlled drawing of this base. They are given to show how each threaded flame path compares with the IEC 60079-1 rules for threaded joints and must be replaced by the values on the enclosure manufacturer's controlled drawing.</w:t>
      </w:r>
    </w:p>
    <w:tbl>
      <w:tblPr>
        <w:tblStyle w:val="TableGrid"/>
        <w:tblW w:type="auto" w:w="0"/>
        <w:jc w:val="center"/>
        <w:tblLayout w:type="fixed"/>
        <w:tblLook w:firstColumn="1" w:firstRow="1" w:lastColumn="0" w:lastRow="0" w:noHBand="0" w:noVBand="1" w:val="04A0"/>
        <w:tblLayout w:type="fixed"/>
      </w:tblPr>
      <w:tblGrid>
        <w:gridCol w:w="1512"/>
        <w:gridCol w:w="1584"/>
        <w:gridCol w:w="1296"/>
        <w:gridCol w:w="2304"/>
        <w:gridCol w:w="2015"/>
        <w:gridCol w:w="864"/>
      </w:tblGrid>
      <w:tr>
        <w:trPr>
          <w:tblHeader w:val="true"/>
        </w:trPr>
        <w:tc>
          <w:tcPr>
            <w:tcW w:type="dxa" w:w="1512"/>
            <w:shd w:val="clear" w:fill="EAEFF9"/>
          </w:tcPr>
          <w:p>
            <w:pPr>
              <w:spacing w:after="20"/>
            </w:pPr>
            <w:r>
              <w:rPr>
                <w:b/>
                <w:color w:val="1B335F"/>
                <w:sz w:val="15"/>
              </w:rPr>
              <w:t>Joint</w:t>
            </w:r>
          </w:p>
        </w:tc>
        <w:tc>
          <w:tcPr>
            <w:tcW w:type="dxa" w:w="1584"/>
            <w:shd w:val="clear" w:fill="EAEFF9"/>
          </w:tcPr>
          <w:p>
            <w:pPr>
              <w:spacing w:after="20"/>
            </w:pPr>
            <w:r>
              <w:rPr>
                <w:b/>
                <w:color w:val="1B335F"/>
                <w:sz w:val="15"/>
              </w:rPr>
              <w:t>Thread (measured / estimated)</w:t>
            </w:r>
          </w:p>
        </w:tc>
        <w:tc>
          <w:tcPr>
            <w:tcW w:type="dxa" w:w="1296"/>
            <w:shd w:val="clear" w:fill="EAEFF9"/>
          </w:tcPr>
          <w:p>
            <w:pPr>
              <w:spacing w:after="20"/>
            </w:pPr>
            <w:r>
              <w:rPr>
                <w:b/>
                <w:color w:val="1B335F"/>
                <w:sz w:val="15"/>
              </w:rPr>
              <w:t>Engagement</w:t>
            </w:r>
          </w:p>
        </w:tc>
        <w:tc>
          <w:tcPr>
            <w:tcW w:type="dxa" w:w="2304"/>
            <w:shd w:val="clear" w:fill="EAEFF9"/>
          </w:tcPr>
          <w:p>
            <w:pPr>
              <w:spacing w:after="20"/>
            </w:pPr>
            <w:r>
              <w:rPr>
                <w:b/>
                <w:color w:val="1B335F"/>
                <w:sz w:val="15"/>
              </w:rPr>
              <w:t>IEC 60079-1 threaded-joint rule (Group IIC)</w:t>
            </w:r>
          </w:p>
        </w:tc>
        <w:tc>
          <w:tcPr>
            <w:tcW w:type="dxa" w:w="2016"/>
            <w:shd w:val="clear" w:fill="EAEFF9"/>
          </w:tcPr>
          <w:p>
            <w:pPr>
              <w:spacing w:after="20"/>
            </w:pPr>
            <w:r>
              <w:rPr>
                <w:b/>
                <w:color w:val="1B335F"/>
                <w:sz w:val="15"/>
              </w:rPr>
              <w:t>Assessment (preliminary)</w:t>
            </w:r>
          </w:p>
        </w:tc>
        <w:tc>
          <w:tcPr>
            <w:tcW w:type="dxa" w:w="864"/>
            <w:shd w:val="clear" w:fill="EAEFF9"/>
          </w:tcPr>
          <w:p>
            <w:pPr>
              <w:spacing w:after="20"/>
            </w:pPr>
            <w:r>
              <w:rPr>
                <w:b/>
                <w:color w:val="1B335F"/>
                <w:sz w:val="15"/>
              </w:rPr>
              <w:t>Status</w:t>
            </w:r>
          </w:p>
        </w:tc>
      </w:tr>
      <w:tr>
        <w:trPr>
          <w:cantSplit/>
        </w:trPr>
        <w:tc>
          <w:tcPr>
            <w:tcW w:type="dxa" w:w="1512"/>
          </w:tcPr>
          <w:p>
            <w:pPr>
              <w:spacing w:after="20"/>
            </w:pPr>
            <w:r>
              <w:rPr>
                <w:b/>
                <w:sz w:val="15"/>
              </w:rPr>
              <w:t>Cover to base (main enclosure)</w:t>
            </w:r>
          </w:p>
        </w:tc>
        <w:tc>
          <w:tcPr>
            <w:tcW w:type="dxa" w:w="1584"/>
          </w:tcPr>
          <w:p>
            <w:pPr>
              <w:spacing w:after="20"/>
            </w:pPr>
            <w:r>
              <w:rPr>
                <w:sz w:val="15"/>
              </w:rPr>
              <w:t>≈M96 × 1.5, derived (external thread on the base neck; bore Ø84.7 + 2 × 5.80 mm wall; ≈10 crests over ≈14.8 mm)</w:t>
            </w:r>
          </w:p>
        </w:tc>
        <w:tc>
          <w:tcPr>
            <w:tcW w:type="dxa" w:w="1296"/>
          </w:tcPr>
          <w:p>
            <w:pPr>
              <w:spacing w:after="20"/>
            </w:pPr>
            <w:r>
              <w:rPr>
                <w:sz w:val="15"/>
              </w:rPr>
              <w:t>Threaded-neck height ≈14.8 mm (measured); ≈10 threads; cover internal thread ≈18.9 mm (measured); engaged length therefore limited by the neck, ≤14.8 mm</w:t>
            </w:r>
          </w:p>
        </w:tc>
        <w:tc>
          <w:tcPr>
            <w:tcW w:type="dxa" w:w="2304"/>
          </w:tcPr>
          <w:p>
            <w:pPr>
              <w:spacing w:after="20"/>
            </w:pPr>
            <w:r>
              <w:rPr>
                <w:sz w:val="15"/>
              </w:rPr>
              <w:t>≥5 full threads engaged; axial engagement ≥8 mm where free volume &gt;100 cm³ (≥5 mm for ≤100 cm³); medium or fine tolerance class (6g/6H)</w:t>
            </w:r>
          </w:p>
        </w:tc>
        <w:tc>
          <w:tcPr>
            <w:tcW w:type="dxa" w:w="2016"/>
          </w:tcPr>
          <w:p>
            <w:pPr>
              <w:spacing w:after="20"/>
            </w:pPr>
            <w:r>
              <w:rPr>
                <w:sz w:val="15"/>
              </w:rPr>
              <w:t>Free internal volume &gt;100 cm³ (indicative gross ≈0.4 L from base bore Ø84.7 mm × ≈45 mm plus cover) → ≥8 mm rule applies; available thread height 14.8 mm with ≈10 threads appears to exceed the minimum — engaged length with the cover screwed home still to be measured</w:t>
            </w:r>
          </w:p>
        </w:tc>
        <w:tc>
          <w:tcPr>
            <w:tcW w:type="dxa" w:w="864"/>
            <w:shd w:val="clear" w:fill="FBEEE4"/>
          </w:tcPr>
          <w:p>
            <w:pPr>
              <w:spacing w:after="20"/>
            </w:pPr>
            <w:r>
              <w:rPr>
                <w:b/>
                <w:sz w:val="15"/>
              </w:rPr>
              <w:t>Open — measured</w:t>
            </w:r>
          </w:p>
        </w:tc>
      </w:tr>
      <w:tr>
        <w:trPr>
          <w:cantSplit/>
        </w:trPr>
        <w:tc>
          <w:tcPr>
            <w:tcW w:type="dxa" w:w="1512"/>
          </w:tcPr>
          <w:p>
            <w:pPr>
              <w:spacing w:after="20"/>
            </w:pPr>
            <w:r>
              <w:rPr>
                <w:b/>
                <w:sz w:val="15"/>
              </w:rPr>
              <w:t>Cable entry (left)</w:t>
            </w:r>
          </w:p>
        </w:tc>
        <w:tc>
          <w:tcPr>
            <w:tcW w:type="dxa" w:w="1584"/>
          </w:tcPr>
          <w:p>
            <w:pPr>
              <w:spacing w:after="20"/>
            </w:pPr>
            <w:r>
              <w:rPr>
                <w:sz w:val="15"/>
              </w:rPr>
              <w:t>M20 × 1.5-6H (BP18-1Z drawing)</w:t>
            </w:r>
          </w:p>
        </w:tc>
        <w:tc>
          <w:tcPr>
            <w:tcW w:type="dxa" w:w="1296"/>
          </w:tcPr>
          <w:p>
            <w:pPr>
              <w:spacing w:after="20"/>
            </w:pPr>
            <w:r>
              <w:rPr>
                <w:sz w:val="15"/>
              </w:rPr>
              <w:t>TBC (wall thickness)</w:t>
            </w:r>
          </w:p>
        </w:tc>
        <w:tc>
          <w:tcPr>
            <w:tcW w:type="dxa" w:w="2304"/>
          </w:tcPr>
          <w:p>
            <w:pPr>
              <w:spacing w:after="20"/>
            </w:pPr>
            <w:r>
              <w:rPr>
                <w:sz w:val="15"/>
              </w:rPr>
              <w:t>≥5 full threads engaged; thread length per gland certificate</w:t>
            </w:r>
          </w:p>
        </w:tc>
        <w:tc>
          <w:tcPr>
            <w:tcW w:type="dxa" w:w="2016"/>
          </w:tcPr>
          <w:p>
            <w:pPr>
              <w:spacing w:after="20"/>
            </w:pPr>
            <w:r>
              <w:rPr>
                <w:sz w:val="15"/>
              </w:rPr>
              <w:t>Requires certified Ex d gland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Beacon entry (right)</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engaged</w:t>
            </w:r>
          </w:p>
        </w:tc>
        <w:tc>
          <w:tcPr>
            <w:tcW w:type="dxa" w:w="2016"/>
          </w:tcPr>
          <w:p>
            <w:pPr>
              <w:spacing w:after="20"/>
            </w:pPr>
            <w:r>
              <w:rPr>
                <w:sz w:val="15"/>
              </w:rPr>
              <w:t>Beacon thread and certificate to be confirmed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Lower entry (blanking plug)</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certified Ex d plug</w:t>
            </w:r>
          </w:p>
        </w:tc>
        <w:tc>
          <w:tcPr>
            <w:tcW w:type="dxa" w:w="2016"/>
          </w:tcPr>
          <w:p>
            <w:pPr>
              <w:spacing w:after="20"/>
            </w:pPr>
            <w:r>
              <w:rPr>
                <w:sz w:val="15"/>
              </w:rPr>
              <w:t>Plug fitted with O-ring (Figure 4-125)</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Antenna bulkhead</w:t>
            </w:r>
          </w:p>
        </w:tc>
        <w:tc>
          <w:tcPr>
            <w:tcW w:type="dxa" w:w="1584"/>
          </w:tcPr>
          <w:p>
            <w:pPr>
              <w:spacing w:after="20"/>
            </w:pPr>
            <w:r>
              <w:rPr>
                <w:sz w:val="15"/>
              </w:rPr>
              <w:t>SMA 1/4″-36 UNS (standard)</w:t>
            </w:r>
          </w:p>
        </w:tc>
        <w:tc>
          <w:tcPr>
            <w:tcW w:type="dxa" w:w="1296"/>
          </w:tcPr>
          <w:p>
            <w:pPr>
              <w:spacing w:after="20"/>
            </w:pPr>
            <w:r>
              <w:rPr>
                <w:sz w:val="15"/>
              </w:rPr>
              <w:t>TBC</w:t>
            </w:r>
          </w:p>
        </w:tc>
        <w:tc>
          <w:tcPr>
            <w:tcW w:type="dxa" w:w="2304"/>
          </w:tcPr>
          <w:p>
            <w:pPr>
              <w:spacing w:after="20"/>
            </w:pPr>
            <w:r>
              <w:rPr>
                <w:sz w:val="15"/>
              </w:rPr>
              <w:t>Flame path through the wall must be assessed or a certified Ex d bushing used</w:t>
            </w:r>
          </w:p>
        </w:tc>
        <w:tc>
          <w:tcPr>
            <w:tcW w:type="dxa" w:w="2016"/>
          </w:tcPr>
          <w:p>
            <w:pPr>
              <w:spacing w:after="20"/>
            </w:pPr>
            <w:r>
              <w:rPr>
                <w:sz w:val="15"/>
              </w:rPr>
              <w:t>Bushing not certified</w:t>
            </w:r>
          </w:p>
        </w:tc>
        <w:tc>
          <w:tcPr>
            <w:tcW w:type="dxa" w:w="864"/>
            <w:shd w:val="clear" w:fill="FBEEE4"/>
          </w:tcPr>
          <w:p>
            <w:pPr>
              <w:spacing w:after="20"/>
            </w:pPr>
            <w:r>
              <w:rPr>
                <w:b/>
                <w:sz w:val="15"/>
              </w:rPr>
              <w:t>Open — estimate</w:t>
            </w:r>
          </w:p>
        </w:tc>
      </w:tr>
    </w:tbl>
    <w:p>
      <w:pPr>
        <w:spacing w:after="40"/>
      </w:pPr>
    </w:p>
    <w:p>
      <w:pPr>
        <w:keepNext/>
        <w:spacing w:after="60"/>
      </w:pPr>
      <w:r>
        <w:rPr>
          <w:b/>
          <w:i w:val="0"/>
          <w:color w:val="1B335F"/>
          <w:sz w:val="21"/>
        </w:rPr>
        <w:t>e.3.13 Measured sketches of the cover-to-base joint (MS-01 to MS-04)</w:t>
      </w:r>
    </w:p>
    <w:p>
      <w:pPr>
        <w:spacing w:after="100"/>
      </w:pPr>
      <w:r>
        <w:rPr>
          <w:b w:val="0"/>
          <w:i w:val="0"/>
          <w:color w:val="262321"/>
          <w:sz w:val="19"/>
        </w:rPr>
        <w:t>The four sketches below redraw the caliper and steel-rule measurements of Figures 4-127 to 4-137 as dimensioned half-sections, so that the threaded flame path can be read in drawing form. They are illustrations of measured values on one production unit, not controlled manufacturing drawings: features that were not measured are drawn dashed, and the thread size is derived, not measured. They are to be superseded by the enclosure manufacturer's toleranced drawing.</w:t>
      </w:r>
    </w:p>
    <w:p>
      <w:pPr>
        <w:keepNext/>
        <w:jc w:val="center"/>
      </w:pPr>
      <w:r>
        <w:drawing>
          <wp:inline xmlns:a="http://schemas.openxmlformats.org/drawingml/2006/main" xmlns:pic="http://schemas.openxmlformats.org/drawingml/2006/picture">
            <wp:extent cx="5669280" cy="4082132"/>
            <wp:docPr id="124" name="Picture 124"/>
            <wp:cNvGraphicFramePr>
              <a:graphicFrameLocks noChangeAspect="1"/>
            </wp:cNvGraphicFramePr>
            <a:graphic>
              <a:graphicData uri="http://schemas.openxmlformats.org/drawingml/2006/picture">
                <pic:pic>
                  <pic:nvPicPr>
                    <pic:cNvPr id="0" name="MS-01_base_neck_half_section.png"/>
                    <pic:cNvPicPr/>
                  </pic:nvPicPr>
                  <pic:blipFill>
                    <a:blip r:embed="rId134"/>
                    <a:stretch>
                      <a:fillRect/>
                    </a:stretch>
                  </pic:blipFill>
                  <pic:spPr>
                    <a:xfrm>
                      <a:off x="0" y="0"/>
                      <a:ext cx="5669280" cy="4082132"/>
                    </a:xfrm>
                    <a:prstGeom prst="rect"/>
                  </pic:spPr>
                </pic:pic>
              </a:graphicData>
            </a:graphic>
          </wp:inline>
        </w:drawing>
      </w:r>
    </w:p>
    <w:p>
      <w:pPr>
        <w:spacing w:after="160"/>
        <w:jc w:val="center"/>
      </w:pPr>
      <w:r>
        <w:rPr>
          <w:b/>
          <w:i w:val="0"/>
          <w:color w:val="1B335F"/>
          <w:sz w:val="17"/>
        </w:rPr>
        <w:t>MS-01 — Base enclosure, threaded neck, half section.</w:t>
      </w:r>
    </w:p>
    <w:p>
      <w:pPr>
        <w:keepNext/>
        <w:jc w:val="center"/>
      </w:pPr>
      <w:r>
        <w:drawing>
          <wp:inline xmlns:a="http://schemas.openxmlformats.org/drawingml/2006/main" xmlns:pic="http://schemas.openxmlformats.org/drawingml/2006/picture">
            <wp:extent cx="5669280" cy="4082132"/>
            <wp:docPr id="125" name="Picture 125"/>
            <wp:cNvGraphicFramePr>
              <a:graphicFrameLocks noChangeAspect="1"/>
            </wp:cNvGraphicFramePr>
            <a:graphic>
              <a:graphicData uri="http://schemas.openxmlformats.org/drawingml/2006/picture">
                <pic:pic>
                  <pic:nvPicPr>
                    <pic:cNvPr id="0" name="MS-02_cover_half_section.png"/>
                    <pic:cNvPicPr/>
                  </pic:nvPicPr>
                  <pic:blipFill>
                    <a:blip r:embed="rId135"/>
                    <a:stretch>
                      <a:fillRect/>
                    </a:stretch>
                  </pic:blipFill>
                  <pic:spPr>
                    <a:xfrm>
                      <a:off x="0" y="0"/>
                      <a:ext cx="5669280" cy="4082132"/>
                    </a:xfrm>
                    <a:prstGeom prst="rect"/>
                  </pic:spPr>
                </pic:pic>
              </a:graphicData>
            </a:graphic>
          </wp:inline>
        </w:drawing>
      </w:r>
    </w:p>
    <w:p>
      <w:pPr>
        <w:spacing w:after="160"/>
        <w:jc w:val="center"/>
      </w:pPr>
      <w:r>
        <w:rPr>
          <w:b/>
          <w:i w:val="0"/>
          <w:color w:val="1B335F"/>
          <w:sz w:val="17"/>
        </w:rPr>
        <w:t>MS-02 — Enclosure cover, internal thread and depth, half section.</w:t>
      </w:r>
    </w:p>
    <w:p>
      <w:pPr>
        <w:keepNext/>
        <w:jc w:val="center"/>
      </w:pPr>
      <w:r>
        <w:drawing>
          <wp:inline xmlns:a="http://schemas.openxmlformats.org/drawingml/2006/main" xmlns:pic="http://schemas.openxmlformats.org/drawingml/2006/picture">
            <wp:extent cx="5669280" cy="3750302"/>
            <wp:docPr id="126" name="Picture 126"/>
            <wp:cNvGraphicFramePr>
              <a:graphicFrameLocks noChangeAspect="1"/>
            </wp:cNvGraphicFramePr>
            <a:graphic>
              <a:graphicData uri="http://schemas.openxmlformats.org/drawingml/2006/picture">
                <pic:pic>
                  <pic:nvPicPr>
                    <pic:cNvPr id="0" name="MS-03_threaded_joint_detail.png"/>
                    <pic:cNvPicPr/>
                  </pic:nvPicPr>
                  <pic:blipFill>
                    <a:blip r:embed="rId136"/>
                    <a:stretch>
                      <a:fillRect/>
                    </a:stretch>
                  </pic:blipFill>
                  <pic:spPr>
                    <a:xfrm>
                      <a:off x="0" y="0"/>
                      <a:ext cx="5669280" cy="3750302"/>
                    </a:xfrm>
                    <a:prstGeom prst="rect"/>
                  </pic:spPr>
                </pic:pic>
              </a:graphicData>
            </a:graphic>
          </wp:inline>
        </w:drawing>
      </w:r>
    </w:p>
    <w:p>
      <w:pPr>
        <w:spacing w:after="160"/>
        <w:jc w:val="center"/>
      </w:pPr>
      <w:r>
        <w:rPr>
          <w:b/>
          <w:i w:val="0"/>
          <w:color w:val="1B335F"/>
          <w:sz w:val="17"/>
        </w:rPr>
        <w:t>MS-03 — Cover-to-base threaded flameproof joint, assembled detail.</w:t>
      </w:r>
    </w:p>
    <w:p>
      <w:pPr>
        <w:keepNext/>
        <w:jc w:val="center"/>
      </w:pPr>
      <w:r>
        <w:drawing>
          <wp:inline xmlns:a="http://schemas.openxmlformats.org/drawingml/2006/main" xmlns:pic="http://schemas.openxmlformats.org/drawingml/2006/picture">
            <wp:extent cx="5669280" cy="2764204"/>
            <wp:docPr id="127" name="Picture 127"/>
            <wp:cNvGraphicFramePr>
              <a:graphicFrameLocks noChangeAspect="1"/>
            </wp:cNvGraphicFramePr>
            <a:graphic>
              <a:graphicData uri="http://schemas.openxmlformats.org/drawingml/2006/picture">
                <pic:pic>
                  <pic:nvPicPr>
                    <pic:cNvPr id="0" name="MS-04_O-ring.png"/>
                    <pic:cNvPicPr/>
                  </pic:nvPicPr>
                  <pic:blipFill>
                    <a:blip r:embed="rId137"/>
                    <a:stretch>
                      <a:fillRect/>
                    </a:stretch>
                  </pic:blipFill>
                  <pic:spPr>
                    <a:xfrm>
                      <a:off x="0" y="0"/>
                      <a:ext cx="5669280" cy="2764204"/>
                    </a:xfrm>
                    <a:prstGeom prst="rect"/>
                  </pic:spPr>
                </pic:pic>
              </a:graphicData>
            </a:graphic>
          </wp:inline>
        </w:drawing>
      </w:r>
    </w:p>
    <w:p>
      <w:pPr>
        <w:spacing w:after="160"/>
        <w:jc w:val="center"/>
      </w:pPr>
      <w:r>
        <w:rPr>
          <w:b/>
          <w:i w:val="0"/>
          <w:color w:val="1B335F"/>
          <w:sz w:val="17"/>
        </w:rPr>
        <w:t>MS-04 — Cover-to-base O-ring.</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(eight thermocouple channels plus ambient; normal operation, maximum load, and fan stalled; 180 minutes each at approximately 24–25°C ambient). Maximum values, extrapolated to the +60°C maximum rated ambient: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736"/>
            <w:shd w:val="clear" w:color="auto" w:fill="EFEFEF"/>
          </w:tcPr>
          <w:p>
            <w:pPr>
              <w:spacing w:after="40"/>
            </w:pPr>
            <w:r>
              <w:rPr>
                <w:b/>
                <w:color w:val="4A4A4A"/>
                <w:sz w:val="18"/>
              </w:rPr>
              <w:t>Condition</w:t>
            </w:r>
          </w:p>
        </w:tc>
        <w:tc>
          <w:tcPr>
            <w:tcW w:type="dxa" w:w="2304"/>
            <w:shd w:val="clear" w:color="auto" w:fill="EFEFEF"/>
          </w:tcPr>
          <w:p>
            <w:pPr>
              <w:spacing w:after="40"/>
            </w:pPr>
            <w:r>
              <w:rPr>
                <w:b/>
                <w:color w:val="4A4A4A"/>
                <w:sz w:val="18"/>
              </w:rPr>
              <w:t>MQ sensor body</w:t>
            </w:r>
          </w:p>
        </w:tc>
        <w:tc>
          <w:tcPr>
            <w:tcW w:type="dxa" w:w="2160"/>
            <w:shd w:val="clear" w:color="auto" w:fill="EFEFEF"/>
          </w:tcPr>
          <w:p>
            <w:pPr>
              <w:spacing w:after="40"/>
            </w:pPr>
            <w:r>
              <w:rPr>
                <w:b/>
                <w:color w:val="4A4A4A"/>
                <w:sz w:val="18"/>
              </w:rPr>
              <w:t>PCB</w:t>
            </w:r>
          </w:p>
        </w:tc>
        <w:tc>
          <w:tcPr>
            <w:tcW w:type="dxa" w:w="2448"/>
            <w:shd w:val="clear" w:color="auto" w:fill="EFEFEF"/>
          </w:tcPr>
          <w:p>
            <w:pPr>
              <w:spacing w:after="40"/>
            </w:pPr>
            <w:r>
              <w:rPr>
                <w:b/>
                <w:color w:val="4A4A4A"/>
                <w:sz w:val="18"/>
              </w:rPr>
              <w:t>External enclosure</w:t>
            </w:r>
          </w:p>
        </w:tc>
      </w:tr>
      <w:tr>
        <w:tc>
          <w:tcPr>
            <w:tcW w:type="dxa" w:w="2736"/>
          </w:tcPr>
          <w:p>
            <w:pPr>
              <w:spacing w:after="40"/>
            </w:pPr>
            <w:r>
              <w:rPr>
                <w:sz w:val="19"/>
              </w:rPr>
              <w:t>Normal operation</w:t>
            </w:r>
          </w:p>
        </w:tc>
        <w:tc>
          <w:tcPr>
            <w:tcW w:type="dxa" w:w="2304"/>
          </w:tcPr>
          <w:p>
            <w:pPr>
              <w:spacing w:after="40"/>
            </w:pPr>
            <w:r>
              <w:rPr>
                <w:sz w:val="19"/>
              </w:rPr>
              <w:t>44.2 → ≈79°C</w:t>
            </w:r>
          </w:p>
        </w:tc>
        <w:tc>
          <w:tcPr>
            <w:tcW w:type="dxa" w:w="2160"/>
          </w:tcPr>
          <w:p>
            <w:pPr>
              <w:spacing w:after="40"/>
            </w:pPr>
            <w:r>
              <w:rPr>
                <w:sz w:val="19"/>
              </w:rPr>
              <w:t>52.4 → ≈88°C</w:t>
            </w:r>
          </w:p>
        </w:tc>
        <w:tc>
          <w:tcPr>
            <w:tcW w:type="dxa" w:w="2448"/>
          </w:tcPr>
          <w:p>
            <w:pPr>
              <w:spacing w:after="40"/>
            </w:pPr>
            <w:r>
              <w:rPr>
                <w:sz w:val="19"/>
              </w:rPr>
              <w:t>32.1 → ≈67°C</w:t>
            </w:r>
          </w:p>
        </w:tc>
      </w:tr>
      <w:tr>
        <w:tc>
          <w:tcPr>
            <w:tcW w:type="dxa" w:w="2736"/>
          </w:tcPr>
          <w:p>
            <w:pPr>
              <w:spacing w:after="40"/>
            </w:pPr>
            <w:r>
              <w:rPr>
                <w:sz w:val="19"/>
              </w:rPr>
              <w:t>Maximum load</w:t>
            </w:r>
          </w:p>
        </w:tc>
        <w:tc>
          <w:tcPr>
            <w:tcW w:type="dxa" w:w="2304"/>
          </w:tcPr>
          <w:p>
            <w:pPr>
              <w:spacing w:after="40"/>
            </w:pPr>
            <w:r>
              <w:rPr>
                <w:sz w:val="19"/>
              </w:rPr>
              <w:t>55.0 → ≈91°C</w:t>
            </w:r>
          </w:p>
        </w:tc>
        <w:tc>
          <w:tcPr>
            <w:tcW w:type="dxa" w:w="2160"/>
          </w:tcPr>
          <w:p>
            <w:pPr>
              <w:spacing w:after="40"/>
            </w:pPr>
            <w:r>
              <w:rPr>
                <w:sz w:val="19"/>
              </w:rPr>
              <w:t>58.3 → ≈94°C</w:t>
            </w:r>
          </w:p>
        </w:tc>
        <w:tc>
          <w:tcPr>
            <w:tcW w:type="dxa" w:w="2448"/>
          </w:tcPr>
          <w:p>
            <w:pPr>
              <w:spacing w:after="40"/>
            </w:pPr>
            <w:r>
              <w:rPr>
                <w:sz w:val="19"/>
              </w:rPr>
              <w:t>34.8 → ≈71°C</w:t>
            </w:r>
          </w:p>
        </w:tc>
      </w:tr>
      <w:tr>
        <w:tc>
          <w:tcPr>
            <w:tcW w:type="dxa" w:w="2736"/>
          </w:tcPr>
          <w:p>
            <w:pPr>
              <w:spacing w:after="40"/>
            </w:pPr>
            <w:r>
              <w:rPr>
                <w:sz w:val="19"/>
              </w:rPr>
              <w:t>Fan stalled (malfunction)</w:t>
            </w:r>
          </w:p>
        </w:tc>
        <w:tc>
          <w:tcPr>
            <w:tcW w:type="dxa" w:w="2304"/>
          </w:tcPr>
          <w:p>
            <w:pPr>
              <w:spacing w:after="40"/>
            </w:pPr>
            <w:r>
              <w:rPr>
                <w:sz w:val="19"/>
              </w:rPr>
              <w:t>78.4 → ≈114°C</w:t>
            </w:r>
          </w:p>
        </w:tc>
        <w:tc>
          <w:tcPr>
            <w:tcW w:type="dxa" w:w="2160"/>
          </w:tcPr>
          <w:p>
            <w:pPr>
              <w:spacing w:after="40"/>
            </w:pPr>
            <w:r>
              <w:rPr>
                <w:sz w:val="19"/>
              </w:rPr>
              <w:t>63.4 → ≈99°C</w:t>
            </w:r>
          </w:p>
        </w:tc>
        <w:tc>
          <w:tcPr>
            <w:tcW w:type="dxa" w:w="2448"/>
          </w:tcPr>
          <w:p>
            <w:pPr>
              <w:spacing w:after="40"/>
            </w:pPr>
            <w:r>
              <w:rPr>
                <w:sz w:val="19"/>
              </w:rPr>
              <w:t>43.9 → ≈79°C</w:t>
            </w:r>
          </w:p>
        </w:tc>
      </w:tr>
    </w:tbl>
    <w:p>
      <w:pPr>
        <w:spacing w:after="120"/>
      </w:pPr>
    </w:p>
    <w:p>
      <w:pPr>
        <w:spacing w:after="160"/>
      </w:pPr>
      <w:r>
        <w:rPr>
          <w:b w:val="0"/>
          <w:i w:val="0"/>
          <w:sz w:val="21"/>
        </w:rPr>
        <w:t>The highest extrapolated value (≈114°C) is below the effective T4 limit of 130°C (135°C less the 5 K margin under IEC 60079-0). Under the recommended Ex d concept, the external enclosure surface (≈79°C) governs the temperature class. Open items: DC/DC converter, power inductor and MOSFET/diode not yet measured; alarm/transmit condition not measured; maximum-load PCB reading not yet at thermal equilibrium; test metadata (date, unit, thermocouple type, supply voltage) not yet recorded; confirmation at maximum ambient requires ExCB type testing. Full detail in the companion technical document.</w:t>
      </w:r>
    </w:p>
    <w:p>
      <w:pPr>
        <w:spacing w:after="200"/>
      </w:pPr>
      <w:r>
        <w:rPr>
          <w:b/>
          <w:color w:val="4A4A4A"/>
          <w:sz w:val="19"/>
        </w:rPr>
        <w:t xml:space="preserve">Status: </w:t>
      </w:r>
      <w:r>
        <w:rPr>
          <w:i/>
          <w:color w:val="4A4A4A"/>
          <w:sz w:val="19"/>
        </w:rPr>
        <w:t>Partially available — preliminary internal measurement; indicates T4 is achievable with margin.</w:t>
      </w: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p>
      <w:pPr>
        <w:spacing w:after="60"/>
      </w:pPr>
      <w:r>
        <w:rPr>
          <w:b/>
          <w:i w:val="0"/>
          <w:sz w:val="21"/>
        </w:rPr>
        <w:t>Safety warnings:</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60"/>
      </w:pPr>
      <w:r>
        <w:rPr>
          <w:b/>
          <w:i w:val="0"/>
          <w:sz w:val="21"/>
        </w:rPr>
        <w:t>Detailed installation requirements:</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not yet available,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60"/>
      </w:pPr>
      <w:r>
        <w:rPr>
          <w:b/>
          <w:i w:val="0"/>
          <w:sz w:val="21"/>
        </w:rPr>
        <w:t>Operating instructions and maintenance requirements:</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standalone Instruction_Manual_GLD deliverable.</w:t>
      </w: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3"/>
      </w:pPr>
      <w:r>
        <w:t>2.6.h · Nameplate Information (must include all ATEX-required marking information)</w:t>
      </w:r>
    </w:p>
    <w:p>
      <w:pPr>
        <w:spacing w:after="160"/>
      </w:pPr>
      <w:r>
        <w:rPr>
          <w:b w:val="0"/>
          <w:i w:val="0"/>
          <w:sz w:val="21"/>
        </w:rPr>
        <w:t>Nameplate artwork cannot yet be finalized: it depends on the certificate number, protection marking, temperature class, ambient range, IP rating, and serialization scheme, none of which has been assigned yet.</w:t>
      </w:r>
    </w:p>
    <w:p>
      <w:pPr>
        <w:spacing w:after="200"/>
      </w:pPr>
      <w:r>
        <w:rPr>
          <w:b/>
          <w:color w:val="4A4A4A"/>
          <w:sz w:val="19"/>
        </w:rPr>
        <w:t xml:space="preserve">Status: </w:t>
      </w:r>
      <w:r>
        <w:rPr>
          <w:i/>
          <w:color w:val="4A4A4A"/>
          <w:sz w:val="19"/>
        </w:rPr>
        <w:t>Not yet available.</w:t>
      </w: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3"/>
      </w:pPr>
      <w:r>
        <w:t>2.6.i · Ex Component Certificates</w:t>
      </w:r>
    </w:p>
    <w:p>
      <w:pPr>
        <w:spacing w:after="160"/>
      </w:pPr>
      <w:r>
        <w:rPr>
          <w:b w:val="0"/>
          <w:i w:val="0"/>
          <w:sz w:val="21"/>
        </w:rP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pPr>
        <w:spacing w:after="200"/>
      </w:pPr>
      <w:r>
        <w:rPr>
          <w:b/>
          <w:color w:val="4A4A4A"/>
          <w:sz w:val="19"/>
        </w:rPr>
        <w:t xml:space="preserve">Status: </w:t>
      </w:r>
      <w:r>
        <w:rPr>
          <w:i/>
          <w:color w:val="4A4A4A"/>
          <w:sz w:val="19"/>
        </w:rPr>
        <w:t>Not yet available.</w:t>
      </w:r>
    </w:p>
    <w:p>
      <w:r>
        <w:br w:type="page"/>
      </w: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pStyle w:val="Heading2"/>
      </w:pPr>
      <w:r>
        <w:t>3.1 · Model, Serial Number, and Status of the Sample</w:t>
      </w:r>
    </w:p>
    <w:p>
      <w:pPr>
        <w:spacing w:after="160"/>
      </w:pPr>
      <w:r>
        <w:rPr>
          <w:b w:val="0"/>
          <w:i w:val="0"/>
          <w:sz w:val="21"/>
        </w:rPr>
        <w:t>Sample submitted: model GLD V2 (GLD_V2), serial number GLD2-0x1001. The sample powers on and runs in Inference (normal operation) mode. Full sample register in Section 3.3.</w:t>
      </w:r>
    </w:p>
    <w:p>
      <w:pPr>
        <w:spacing w:after="200"/>
      </w:pPr>
      <w:r>
        <w:rPr>
          <w:b/>
          <w:color w:val="4A4A4A"/>
          <w:sz w:val="19"/>
        </w:rPr>
        <w:t xml:space="preserve">Status: </w:t>
      </w:r>
      <w:r>
        <w:rPr>
          <w:i/>
          <w:color w:val="4A4A4A"/>
          <w:sz w:val="19"/>
        </w:rPr>
        <w:t>Available — sample identified (GLD2-0x1001); firmware/AI-model version to be recorded on the sample label.</w:t>
      </w:r>
    </w:p>
    <w:p>
      <w:pPr>
        <w:pStyle w:val="Heading2"/>
      </w:pPr>
      <w:r>
        <w:t>3.2 · Necessary Test Fixtures or Auxiliary Equipment</w:t>
      </w:r>
    </w:p>
    <w:p>
      <w:pPr>
        <w:spacing w:after="160"/>
      </w:pPr>
      <w:r>
        <w:rPr>
          <w:b w:val="0"/>
          <w:i w:val="0"/>
          <w:sz w:val="21"/>
        </w:rPr>
        <w:t>Equipment anticipated for commissioning and bench-level functional verification:</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Equipment</w:t>
            </w:r>
          </w:p>
        </w:tc>
        <w:tc>
          <w:tcPr>
            <w:tcW w:type="dxa" w:w="6048"/>
            <w:shd w:val="clear" w:color="auto" w:fill="EFEFEF"/>
          </w:tcPr>
          <w:p>
            <w:pPr>
              <w:spacing w:after="40"/>
            </w:pPr>
            <w:r>
              <w:rPr>
                <w:b/>
                <w:color w:val="4A4A4A"/>
                <w:sz w:val="18"/>
              </w:rPr>
              <w:t>Purpose</w:t>
            </w:r>
          </w:p>
        </w:tc>
      </w:tr>
      <w:tr>
        <w:tc>
          <w:tcPr>
            <w:tcW w:type="dxa" w:w="3312"/>
          </w:tcPr>
          <w:p>
            <w:pPr>
              <w:spacing w:after="40"/>
            </w:pPr>
            <w:r>
              <w:rPr>
                <w:sz w:val="19"/>
              </w:rPr>
              <w:t>Regulated 24 VDC power supply</w:t>
            </w:r>
          </w:p>
        </w:tc>
        <w:tc>
          <w:tcPr>
            <w:tcW w:type="dxa" w:w="6048"/>
          </w:tcPr>
          <w:p>
            <w:pPr>
              <w:spacing w:after="40"/>
            </w:pPr>
            <w:r>
              <w:rPr>
                <w:sz w:val="19"/>
              </w:rPr>
              <w:t>Provides a stable 24 VDC supply during commissioning and functional testing.</w:t>
            </w:r>
          </w:p>
        </w:tc>
      </w:tr>
      <w:tr>
        <w:tc>
          <w:tcPr>
            <w:tcW w:type="dxa" w:w="3312"/>
          </w:tcPr>
          <w:p>
            <w:pPr>
              <w:spacing w:after="40"/>
            </w:pPr>
            <w:r>
              <w:rPr>
                <w:sz w:val="19"/>
              </w:rPr>
              <w:t>Digital multimeter</w:t>
            </w:r>
          </w:p>
        </w:tc>
        <w:tc>
          <w:tcPr>
            <w:tcW w:type="dxa" w:w="6048"/>
          </w:tcPr>
          <w:p>
            <w:pPr>
              <w:spacing w:after="40"/>
            </w:pPr>
            <w:r>
              <w:rPr>
                <w:sz w:val="19"/>
              </w:rPr>
              <w:t>Measures actual voltage, verifies polarity and continuity, supports grounding/bonding verification.</w:t>
            </w:r>
          </w:p>
        </w:tc>
      </w:tr>
      <w:tr>
        <w:tc>
          <w:tcPr>
            <w:tcW w:type="dxa" w:w="3312"/>
          </w:tcPr>
          <w:p>
            <w:pPr>
              <w:spacing w:after="40"/>
            </w:pPr>
            <w:r>
              <w:rPr>
                <w:sz w:val="19"/>
              </w:rPr>
              <w:t>Calibrated gas source / gas test kit</w:t>
            </w:r>
          </w:p>
        </w:tc>
        <w:tc>
          <w:tcPr>
            <w:tcW w:type="dxa" w:w="6048"/>
          </w:tcPr>
          <w:p>
            <w:pPr>
              <w:spacing w:after="40"/>
            </w:pPr>
            <w:r>
              <w:rPr>
                <w:sz w:val="19"/>
              </w:rPr>
              <w:t>Provides the required gas types to verify correct sensor response.</w:t>
            </w:r>
          </w:p>
        </w:tc>
      </w:tr>
      <w:tr>
        <w:tc>
          <w:tcPr>
            <w:tcW w:type="dxa" w:w="3312"/>
          </w:tcPr>
          <w:p>
            <w:pPr>
              <w:spacing w:after="40"/>
            </w:pPr>
            <w:r>
              <w:rPr>
                <w:sz w:val="19"/>
              </w:rPr>
              <w:t>Gas test chamber</w:t>
            </w:r>
          </w:p>
        </w:tc>
        <w:tc>
          <w:tcPr>
            <w:tcW w:type="dxa" w:w="6048"/>
          </w:tcPr>
          <w:p>
            <w:pPr>
              <w:spacing w:after="40"/>
            </w:pPr>
            <w:r>
              <w:rPr>
                <w:sz w:val="19"/>
              </w:rPr>
              <w:t>Provides a controlled gas-exposure environment for reproducible test conditions.</w:t>
            </w:r>
          </w:p>
        </w:tc>
      </w:tr>
      <w:tr>
        <w:tc>
          <w:tcPr>
            <w:tcW w:type="dxa" w:w="3312"/>
          </w:tcPr>
          <w:p>
            <w:pPr>
              <w:spacing w:after="40"/>
            </w:pPr>
            <w:r>
              <w:rPr>
                <w:sz w:val="19"/>
              </w:rPr>
              <w:t>Alarm load / relay simulator</w:t>
            </w:r>
          </w:p>
        </w:tc>
        <w:tc>
          <w:tcPr>
            <w:tcW w:type="dxa" w:w="6048"/>
          </w:tcPr>
          <w:p>
            <w:pPr>
              <w:spacing w:after="40"/>
            </w:pPr>
            <w:r>
              <w:rPr>
                <w:sz w:val="19"/>
              </w:rPr>
              <w:t>Verifies that the alarm output and connected electrical load operate correctly.</w:t>
            </w:r>
          </w:p>
        </w:tc>
      </w:tr>
      <w:tr>
        <w:tc>
          <w:tcPr>
            <w:tcW w:type="dxa" w:w="3312"/>
          </w:tcPr>
          <w:p>
            <w:pPr>
              <w:spacing w:after="40"/>
            </w:pPr>
            <w:r>
              <w:rPr>
                <w:sz w:val="19"/>
              </w:rPr>
              <w:t>LoRa peer / gateway</w:t>
            </w:r>
          </w:p>
        </w:tc>
        <w:tc>
          <w:tcPr>
            <w:tcW w:type="dxa" w:w="6048"/>
          </w:tcPr>
          <w:p>
            <w:pPr>
              <w:spacing w:after="40"/>
            </w:pPr>
            <w:r>
              <w:rPr>
                <w:sz w:val="19"/>
              </w:rPr>
              <w:t>Verifies that data transmitted by the GLD is successfully received by the intended system.</w:t>
            </w:r>
          </w:p>
        </w:tc>
      </w:tr>
      <w:tr>
        <w:tc>
          <w:tcPr>
            <w:tcW w:type="dxa" w:w="3312"/>
          </w:tcPr>
          <w:p>
            <w:pPr>
              <w:spacing w:after="40"/>
            </w:pPr>
            <w:r>
              <w:rPr>
                <w:sz w:val="19"/>
              </w:rPr>
              <w:t>Laptop and approved software</w:t>
            </w:r>
          </w:p>
        </w:tc>
        <w:tc>
          <w:tcPr>
            <w:tcW w:type="dxa" w:w="6048"/>
          </w:tcPr>
          <w:p>
            <w:pPr>
              <w:spacing w:after="40"/>
            </w:pPr>
            <w:r>
              <w:rPr>
                <w:sz w:val="19"/>
              </w:rPr>
              <w:t>Reviews diagnostic information, configuration, logging, firmware identification; stores commissioning and test evidence.</w:t>
            </w:r>
          </w:p>
        </w:tc>
      </w:tr>
      <w:tr>
        <w:tc>
          <w:tcPr>
            <w:tcW w:type="dxa" w:w="3312"/>
          </w:tcPr>
          <w:p>
            <w:pPr>
              <w:spacing w:after="40"/>
            </w:pPr>
            <w:r>
              <w:rPr>
                <w:sz w:val="19"/>
              </w:rPr>
              <w:t>Calibrated torque screwdriver</w:t>
            </w:r>
          </w:p>
        </w:tc>
        <w:tc>
          <w:tcPr>
            <w:tcW w:type="dxa" w:w="6048"/>
          </w:tcPr>
          <w:p>
            <w:pPr>
              <w:spacing w:after="40"/>
            </w:pPr>
            <w:r>
              <w:rPr>
                <w:sz w:val="19"/>
              </w:rPr>
              <w:t>Ensures glands, terminals, enclosure fasteners, and grounding connections are tightened to approved torque values.</w:t>
            </w:r>
          </w:p>
        </w:tc>
      </w:tr>
    </w:tbl>
    <w:p>
      <w:pPr>
        <w:spacing w:after="120"/>
      </w:pPr>
    </w:p>
    <w:p>
      <w:pPr>
        <w:spacing w:after="200"/>
      </w:pPr>
      <w:r>
        <w:rPr>
          <w:b/>
          <w:color w:val="4A4A4A"/>
          <w:sz w:val="19"/>
        </w:rPr>
        <w:t xml:space="preserve">Status: </w:t>
      </w:r>
      <w:r>
        <w:rPr>
          <w:i/>
          <w:color w:val="4A4A4A"/>
          <w:sz w:val="19"/>
        </w:rPr>
        <w:t>Draft plan only — not yet executed, and not evidence of ExCB/laboratory test readiness.</w:t>
      </w:r>
    </w:p>
    <w:p>
      <w:pPr>
        <w:spacing w:before="200"/>
      </w:pPr>
    </w:p>
    <w:p>
      <w:r>
        <w:rPr>
          <w:i/>
          <w:color w:val="4A4A4A"/>
          <w:sz w:val="18"/>
        </w:rPr>
        <w:t>This is a working document, filled in against the internal working-draft template (IECEx ATEX Certification Information Requirements_Rev18092026.docx) supplied for this purpose. It follows that template's own section order rather than the more exhaustive item-by-item status tracking maintained in Dokumen_Teknis_Sertifikasi_GLD_IECEx_ATEX — the two documents are maintained in parallel and should stay consistent; treat the exhaustive tracking document as authoritative for item-level status where they differ. Data sources: the official product technical datasheet (Revision 4.0), internal technical specification documentation, EMC parameter measurement data, EasyEDA/JLCPCB design exports, and PT Galaksi Megatama Indonesia's legal documents.</w:t>
      </w: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10/12 available, 2 partial (PCB underside photo, grounding lug with conductor)</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 (incl. measured joint sketches MS-01…04)</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GMI/GLD/IECEX-CIR/2026-001  ·  Rev. 1.8</w:t>
    </w:r>
    <w:r>
      <w:rPr>
        <w:color w:val="4A4A4A"/>
        <w:sz w:val="16"/>
      </w:rPr>
      <w:tab/>
    </w:r>
    <w:r>
      <w:rPr>
        <w:color w:val="4A4A4A"/>
        <w:sz w:val="16"/>
      </w:rPr>
      <w:fldChar w:fldCharType="begin"/>
      <w:instrText xml:space="preserve">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instrText xml:space="preserve">NUMPAGES</w:instrText>
    </w:r>
    <w:r>
      <w:rPr>
        <w:color w:val="4A4A4A"/>
        <w:sz w:val="16"/>
      </w:rPr>
      <w:fldChar w:fldCharType="separate"/>
    </w:r>
    <w:r>
      <w:rPr>
        <w:color w:val="4A4A4A"/>
        <w:sz w:val="16"/>
      </w:rPr>
      <w:t>1</w:t>
    </w:r>
    <w:r>
      <w:rPr>
        <w:color w:val="4A4A4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40"/>
    </w:pPr>
    <w:rPr>
      <w:rFonts w:ascii="Calibri" w:hAnsi="Calibri"/>
      <w:sz w:val="21"/>
    </w:rPr>
  </w:style>
  <w:style w:type="paragraph" w:customStyle="1" w:styleId="TOC2">
    <w:name w:val="TOC 2"/>
    <w:pPr>
      <w:spacing w:before="0" w:after="40"/>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png"/><Relationship Id="rId135" Type="http://schemas.openxmlformats.org/officeDocument/2006/relationships/image" Target="media/image125.png"/><Relationship Id="rId136" Type="http://schemas.openxmlformats.org/officeDocument/2006/relationships/image" Target="media/image126.png"/><Relationship Id="rId137" Type="http://schemas.openxmlformats.org/officeDocument/2006/relationships/image" Target="media/image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