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40"/>
        </w:rPr>
        <w:t>BERITA ACARA SERAH TERIMA PEKERJAAN TERMIN 1</w:t>
      </w:r>
    </w:p>
    <w:p>
      <w:pPr>
        <w:spacing w:after="240"/>
        <w:jc w:val="center"/>
      </w:pPr>
      <w:r>
        <w:rPr>
          <w:rFonts w:ascii="Arial" w:hAnsi="Arial"/>
          <w:b/>
          <w:color w:val="5B6670"/>
          <w:sz w:val="23"/>
        </w:rPr>
        <w:t>Pengembangan dan Field Testing Sistem Gas Leak Detection Tahap 2</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06"/>
        <w:gridCol w:w="4706"/>
      </w:tblGrid>
      <w:tr>
        <w:tc>
          <w:tcPr>
            <w:tcW w:type="dxa" w:w="2835"/>
            <w:shd w:fill="2F4050"/>
            <w:vAlign w:val="center"/>
            <w:tcMar>
              <w:top w:w="100" w:type="dxa"/>
              <w:start w:w="120" w:type="dxa"/>
              <w:bottom w:w="100" w:type="dxa"/>
              <w:end w:w="120" w:type="dxa"/>
            </w:tcMar>
          </w:tcPr>
          <w:p>
            <w:pPr>
              <w:spacing w:before="0" w:after="0" w:line="252" w:lineRule="auto"/>
              <w:jc w:val="left"/>
            </w:pPr>
            <w:r>
              <w:rPr>
                <w:rFonts w:ascii="Arial" w:hAnsi="Arial"/>
                <w:b/>
                <w:color w:val="FFFFFF"/>
                <w:sz w:val="18"/>
              </w:rPr>
            </w:r>
            <w:r>
              <w:rPr>
                <w:rFonts w:ascii="Arial" w:hAnsi="Arial"/>
                <w:b/>
                <w:color w:val="FFFFFF"/>
                <w:sz w:val="18"/>
              </w:rPr>
              <w:t>Nomor BAST</w:t>
            </w:r>
          </w:p>
        </w:tc>
        <w:tc>
          <w:tcPr>
            <w:tcW w:type="dxa" w:w="6237"/>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w:t>
            </w:r>
          </w:p>
        </w:tc>
      </w:tr>
      <w:tr>
        <w:tc>
          <w:tcPr>
            <w:tcW w:type="dxa" w:w="2835"/>
            <w:shd w:fill="2F4050"/>
            <w:vAlign w:val="center"/>
            <w:tcMar>
              <w:top w:w="100" w:type="dxa"/>
              <w:start w:w="120" w:type="dxa"/>
              <w:bottom w:w="100" w:type="dxa"/>
              <w:end w:w="120" w:type="dxa"/>
            </w:tcMar>
          </w:tcPr>
          <w:p>
            <w:pPr>
              <w:spacing w:before="0" w:after="0" w:line="252" w:lineRule="auto"/>
              <w:jc w:val="left"/>
            </w:pPr>
            <w:r>
              <w:rPr>
                <w:rFonts w:ascii="Arial" w:hAnsi="Arial"/>
                <w:b/>
                <w:color w:val="FFFFFF"/>
                <w:sz w:val="18"/>
              </w:rPr>
            </w:r>
            <w:r>
              <w:rPr>
                <w:rFonts w:ascii="Arial" w:hAnsi="Arial"/>
                <w:b/>
                <w:color w:val="FFFFFF"/>
                <w:sz w:val="18"/>
              </w:rPr>
              <w:t>Nomor dan tanggal SPK</w:t>
            </w:r>
          </w:p>
        </w:tc>
        <w:tc>
          <w:tcPr>
            <w:tcW w:type="dxa" w:w="6237"/>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w:t>
            </w:r>
          </w:p>
        </w:tc>
      </w:tr>
      <w:tr>
        <w:tc>
          <w:tcPr>
            <w:tcW w:type="dxa" w:w="2835"/>
            <w:shd w:fill="2F4050"/>
            <w:vAlign w:val="center"/>
            <w:tcMar>
              <w:top w:w="100" w:type="dxa"/>
              <w:start w:w="120" w:type="dxa"/>
              <w:bottom w:w="100" w:type="dxa"/>
              <w:end w:w="120" w:type="dxa"/>
            </w:tcMar>
          </w:tcPr>
          <w:p>
            <w:pPr>
              <w:spacing w:before="0" w:after="0" w:line="252" w:lineRule="auto"/>
              <w:jc w:val="left"/>
            </w:pPr>
            <w:r>
              <w:rPr>
                <w:rFonts w:ascii="Arial" w:hAnsi="Arial"/>
                <w:b/>
                <w:color w:val="FFFFFF"/>
                <w:sz w:val="18"/>
              </w:rPr>
            </w:r>
            <w:r>
              <w:rPr>
                <w:rFonts w:ascii="Arial" w:hAnsi="Arial"/>
                <w:b/>
                <w:color w:val="FFFFFF"/>
                <w:sz w:val="18"/>
              </w:rPr>
              <w:t>Termin</w:t>
            </w:r>
          </w:p>
        </w:tc>
        <w:tc>
          <w:tcPr>
            <w:tcW w:type="dxa" w:w="6237"/>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Termin 1 sebesar 20 persen dari nilai SPK</w:t>
            </w:r>
          </w:p>
        </w:tc>
      </w:tr>
      <w:tr>
        <w:tc>
          <w:tcPr>
            <w:tcW w:type="dxa" w:w="2835"/>
            <w:shd w:fill="2F4050"/>
            <w:vAlign w:val="center"/>
            <w:tcMar>
              <w:top w:w="100" w:type="dxa"/>
              <w:start w:w="120" w:type="dxa"/>
              <w:bottom w:w="100" w:type="dxa"/>
              <w:end w:w="120" w:type="dxa"/>
            </w:tcMar>
          </w:tcPr>
          <w:p>
            <w:pPr>
              <w:spacing w:before="0" w:after="0" w:line="252" w:lineRule="auto"/>
              <w:jc w:val="left"/>
            </w:pPr>
            <w:r>
              <w:rPr>
                <w:rFonts w:ascii="Arial" w:hAnsi="Arial"/>
                <w:b/>
                <w:color w:val="FFFFFF"/>
                <w:sz w:val="18"/>
              </w:rPr>
            </w:r>
            <w:r>
              <w:rPr>
                <w:rFonts w:ascii="Arial" w:hAnsi="Arial"/>
                <w:b/>
                <w:color w:val="FFFFFF"/>
                <w:sz w:val="18"/>
              </w:rPr>
              <w:t>Acuan laporan</w:t>
            </w:r>
          </w:p>
        </w:tc>
        <w:tc>
          <w:tcPr>
            <w:tcW w:type="dxa" w:w="6237"/>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LGU-GLD-T1-FIT-2026-001 Revisi 0.2 tanggal 11 September 2026</w:t>
            </w:r>
          </w:p>
        </w:tc>
      </w:tr>
      <w:tr>
        <w:tc>
          <w:tcPr>
            <w:tcW w:type="dxa" w:w="2835"/>
            <w:shd w:fill="2F4050"/>
            <w:vAlign w:val="center"/>
            <w:tcMar>
              <w:top w:w="100" w:type="dxa"/>
              <w:start w:w="120" w:type="dxa"/>
              <w:bottom w:w="100" w:type="dxa"/>
              <w:end w:w="120" w:type="dxa"/>
            </w:tcMar>
          </w:tcPr>
          <w:p>
            <w:pPr>
              <w:spacing w:before="0" w:after="0" w:line="252" w:lineRule="auto"/>
              <w:jc w:val="left"/>
            </w:pPr>
            <w:r>
              <w:rPr>
                <w:rFonts w:ascii="Arial" w:hAnsi="Arial"/>
                <w:b/>
                <w:color w:val="FFFFFF"/>
                <w:sz w:val="18"/>
              </w:rPr>
            </w:r>
            <w:r>
              <w:rPr>
                <w:rFonts w:ascii="Arial" w:hAnsi="Arial"/>
                <w:b/>
                <w:color w:val="FFFFFF"/>
                <w:sz w:val="18"/>
              </w:rPr>
              <w:t>Tanggal serah terima</w:t>
            </w:r>
          </w:p>
        </w:tc>
        <w:tc>
          <w:tcPr>
            <w:tcW w:type="dxa" w:w="6237"/>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w:t>
            </w:r>
          </w:p>
        </w:tc>
      </w:tr>
    </w:tbl>
    <w:p>
      <w:pPr>
        <w:pStyle w:val="Heading1"/>
      </w:pPr>
      <w:r>
        <w:t>Pernyataan Para Pihak</w:t>
      </w:r>
    </w:p>
    <w:p>
      <w:pPr>
        <w:spacing w:after="120" w:line="269" w:lineRule="auto"/>
      </w:pPr>
      <w:r>
        <w:rPr>
          <w:rFonts w:ascii="Arial" w:hAnsi="Arial"/>
          <w:i w:val="0"/>
          <w:color w:val="20262B"/>
          <w:sz w:val="21"/>
        </w:rPr>
        <w:t>Pada hari ............ tanggal ............ bulan ............ tahun ............, para pihak di bawah ini menyatakan telah melaksanakan pemeriksaan dan serah terima pekerjaan Termin 1 untuk pekerjaan Pengembangan dan Field Testing Sistem Gas Leak Detection Tahap 2.</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37"/>
        <w:gridCol w:w="3137"/>
        <w:gridCol w:w="3137"/>
      </w:tblGrid>
      <w:tr>
        <w:trPr>
          <w:tblHeader w:val="true"/>
        </w:trPr>
        <w:tc>
          <w:tcPr>
            <w:tcW w:type="dxa" w:w="1814"/>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Kedudukan</w:t>
            </w:r>
          </w:p>
        </w:tc>
        <w:tc>
          <w:tcPr>
            <w:tcW w:type="dxa" w:w="3005"/>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Organisasi</w:t>
            </w:r>
          </w:p>
        </w:tc>
        <w:tc>
          <w:tcPr>
            <w:tcW w:type="dxa" w:w="4252"/>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Keterangan</w:t>
            </w:r>
          </w:p>
        </w:tc>
      </w:tr>
      <w:tr>
        <w:tc>
          <w:tcPr>
            <w:tcW w:type="dxa" w:w="181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Pihak Pertama</w:t>
            </w:r>
          </w:p>
        </w:tc>
        <w:tc>
          <w:tcPr>
            <w:tcW w:type="dxa" w:w="3005"/>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PT Pertamina Patra Niaga</w:t>
            </w:r>
          </w:p>
        </w:tc>
        <w:tc>
          <w:tcPr>
            <w:tcW w:type="dxa" w:w="4252"/>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Nama, jabatan, dan unit kerja diisi oleh pihak berwenang</w:t>
            </w:r>
          </w:p>
        </w:tc>
      </w:tr>
      <w:tr>
        <w:tc>
          <w:tcPr>
            <w:tcW w:type="dxa" w:w="1814"/>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Pihak Kedua</w:t>
            </w:r>
          </w:p>
        </w:tc>
        <w:tc>
          <w:tcPr>
            <w:tcW w:type="dxa" w:w="3005"/>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LAPI Ganesha Utama</w:t>
            </w:r>
          </w:p>
        </w:tc>
        <w:tc>
          <w:tcPr>
            <w:tcW w:type="dxa" w:w="4252"/>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Nama dan jabatan penanggung jawab kontrak diisi oleh pihak berwenang</w:t>
            </w:r>
          </w:p>
        </w:tc>
      </w:tr>
      <w:tr>
        <w:tc>
          <w:tcPr>
            <w:tcW w:type="dxa" w:w="181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Saksi teknis</w:t>
            </w:r>
          </w:p>
        </w:tc>
        <w:tc>
          <w:tcPr>
            <w:tcW w:type="dxa" w:w="3005"/>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Lab IoT/Instrumentation and Computation ITB</w:t>
            </w:r>
          </w:p>
        </w:tc>
        <w:tc>
          <w:tcPr>
            <w:tcW w:type="dxa" w:w="4252"/>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Perwakilan teknis yang menyaksikan atau mendukung pelaksanaan pekerjaan</w:t>
            </w:r>
          </w:p>
        </w:tc>
      </w:tr>
    </w:tbl>
    <w:p>
      <w:pPr>
        <w:spacing w:after="120" w:line="269" w:lineRule="auto"/>
      </w:pPr>
      <w:r>
        <w:rPr>
          <w:rFonts w:ascii="Arial" w:hAnsi="Arial"/>
          <w:i w:val="0"/>
          <w:color w:val="20262B"/>
          <w:sz w:val="19"/>
        </w:rPr>
        <w:t>Dalam berita acara ini, PT Pertamina Patra Niaga selanjutnya disebut Pihak Pertama dan LAPI Ganesha Utama selanjutnya disebut Pihak Kedua. Lab IoT/Instrumentation and Computation ITB dicantumkan sebagai saksi atau pelaksana teknis dan bukan sebagai pihak kontraktual, kecuali ditentukan lain dalam dokumen SPK.</w:t>
      </w:r>
    </w:p>
    <w:p>
      <w:pPr>
        <w:pStyle w:val="Heading1"/>
      </w:pPr>
      <w:r>
        <w:t>Ruang Lingkup Serah Terima</w:t>
      </w:r>
    </w:p>
    <w:p>
      <w:pPr>
        <w:spacing w:after="120" w:line="269" w:lineRule="auto"/>
      </w:pPr>
      <w:r>
        <w:rPr>
          <w:rFonts w:ascii="Arial" w:hAnsi="Arial"/>
          <w:i w:val="0"/>
          <w:color w:val="20262B"/>
          <w:sz w:val="21"/>
        </w:rPr>
        <w:t>Pihak Kedua menyerahkan hasil pekerjaan Termin 1 pada tahap rekayasa dan integrasi laboratorium. Pekerjaan tersebut mencakup:</w:t>
      </w:r>
    </w:p>
    <w:p>
      <w:pPr>
        <w:pStyle w:val="ListBullet"/>
        <w:spacing w:after="80" w:line="259" w:lineRule="auto"/>
      </w:pPr>
      <w:r>
        <w:rPr>
          <w:rFonts w:ascii="Arial" w:hAnsi="Arial"/>
          <w:color w:val="20262B"/>
          <w:sz w:val="20"/>
        </w:rPr>
        <w:t>detail engineering dan desain sistem GLD;</w:t>
      </w:r>
    </w:p>
    <w:p>
      <w:pPr>
        <w:pStyle w:val="ListBullet"/>
        <w:spacing w:after="80" w:line="259" w:lineRule="auto"/>
      </w:pPr>
      <w:r>
        <w:rPr>
          <w:rFonts w:ascii="Arial" w:hAnsi="Arial"/>
          <w:color w:val="20262B"/>
          <w:sz w:val="20"/>
        </w:rPr>
        <w:t>persiapan komponen dan perangkat untuk integrasi;</w:t>
      </w:r>
    </w:p>
    <w:p>
      <w:pPr>
        <w:pStyle w:val="ListBullet"/>
        <w:spacing w:after="80" w:line="259" w:lineRule="auto"/>
      </w:pPr>
      <w:r>
        <w:rPr>
          <w:rFonts w:ascii="Arial" w:hAnsi="Arial"/>
          <w:color w:val="20262B"/>
          <w:sz w:val="20"/>
        </w:rPr>
        <w:t>konfigurasi firmware perangkat GLD, Cluster Head, Gateway, dan antarmuka server;</w:t>
      </w:r>
    </w:p>
    <w:p>
      <w:pPr>
        <w:pStyle w:val="ListBullet"/>
        <w:spacing w:after="80" w:line="259" w:lineRule="auto"/>
      </w:pPr>
      <w:r>
        <w:rPr>
          <w:rFonts w:ascii="Arial" w:hAnsi="Arial"/>
          <w:color w:val="20262B"/>
          <w:sz w:val="20"/>
        </w:rPr>
        <w:t>factory integration test atau FAT/FIT pada rantai GLD-Cluster Head-Gateway-Server; dan</w:t>
      </w:r>
    </w:p>
    <w:p>
      <w:pPr>
        <w:pStyle w:val="ListBullet"/>
        <w:spacing w:after="80" w:line="259" w:lineRule="auto"/>
      </w:pPr>
      <w:r>
        <w:rPr>
          <w:rFonts w:ascii="Arial" w:hAnsi="Arial"/>
          <w:color w:val="20262B"/>
          <w:sz w:val="20"/>
        </w:rPr>
        <w:t>dokumentasi instalasi serta baseline as-built prototipe atau laboratorium.</w:t>
      </w:r>
    </w:p>
    <w:p>
      <w:pPr>
        <w:spacing w:after="120" w:line="269" w:lineRule="auto"/>
      </w:pPr>
      <w:r>
        <w:rPr>
          <w:rFonts w:ascii="Arial" w:hAnsi="Arial"/>
          <w:i w:val="0"/>
          <w:color w:val="20262B"/>
          <w:sz w:val="21"/>
        </w:rPr>
        <w:t>Pihak Pertama telah melakukan peninjauan perkembangan dan integrasi sistem di Lab IoT, Instrumentation and Computations, Gedung Laboratorium Fisika Terpadu, Institut Teknologi Bandung, sebelum kunjungan ke RU IV Cilacap. Peninjauan tersebut menjadi bagian dari bukti witness tahap FAT/FIT.</w:t>
      </w:r>
    </w:p>
    <w:p>
      <w:pPr>
        <w:pStyle w:val="Heading1"/>
      </w:pPr>
      <w:r>
        <w:t>Hasil Pemeriksaan Deliverable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53"/>
        <w:gridCol w:w="2353"/>
        <w:gridCol w:w="2353"/>
        <w:gridCol w:w="2353"/>
      </w:tblGrid>
      <w:tr>
        <w:trPr>
          <w:tblHeader w:val="true"/>
        </w:trPr>
        <w:tc>
          <w:tcPr>
            <w:tcW w:type="dxa" w:w="567"/>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No</w:t>
            </w:r>
          </w:p>
        </w:tc>
        <w:tc>
          <w:tcPr>
            <w:tcW w:type="dxa" w:w="2268"/>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Deliverable</w:t>
            </w:r>
          </w:p>
        </w:tc>
        <w:tc>
          <w:tcPr>
            <w:tcW w:type="dxa" w:w="1928"/>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Hasil</w:t>
            </w:r>
          </w:p>
        </w:tc>
        <w:tc>
          <w:tcPr>
            <w:tcW w:type="dxa" w:w="4309"/>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Keterangan</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1</w:t>
            </w:r>
          </w:p>
        </w:tc>
        <w:tc>
          <w:tcPr>
            <w:tcW w:type="dxa" w:w="2268"/>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Detail engineering dan desain</w:t>
            </w:r>
          </w:p>
        </w:tc>
        <w:tc>
          <w:tcPr>
            <w:tcW w:type="dxa" w:w="1928"/>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Memenuhi</w:t>
            </w:r>
          </w:p>
        </w:tc>
        <w:tc>
          <w:tcPr>
            <w:tcW w:type="dxa" w:w="4309"/>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Arsitektur, datasheet, TDS, desain mounting, dan dokumen instalasi tersedia</w:t>
            </w:r>
          </w:p>
        </w:tc>
      </w:tr>
      <w:tr>
        <w:tc>
          <w:tcPr>
            <w:tcW w:type="dxa" w:w="567"/>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2</w:t>
            </w:r>
          </w:p>
        </w:tc>
        <w:tc>
          <w:tcPr>
            <w:tcW w:type="dxa" w:w="2268"/>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Persiapan komponen</w:t>
            </w:r>
          </w:p>
        </w:tc>
        <w:tc>
          <w:tcPr>
            <w:tcW w:type="dxa" w:w="1928"/>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Memenuhi</w:t>
            </w:r>
          </w:p>
        </w:tc>
        <w:tc>
          <w:tcPr>
            <w:tcW w:type="dxa" w:w="4309"/>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Perangkat inti tersedia untuk integrasi dan pengujian laboratorium</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3</w:t>
            </w:r>
          </w:p>
        </w:tc>
        <w:tc>
          <w:tcPr>
            <w:tcW w:type="dxa" w:w="2268"/>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Konfigurasi firmware</w:t>
            </w:r>
          </w:p>
        </w:tc>
        <w:tc>
          <w:tcPr>
            <w:tcW w:type="dxa" w:w="1928"/>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Memenuhi</w:t>
            </w:r>
          </w:p>
        </w:tc>
        <w:tc>
          <w:tcPr>
            <w:tcW w:type="dxa" w:w="4309"/>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Akuisisi sensor, inferensi lokal, komunikasi LoRa, alarm, dan integrasi terdokumentasi</w:t>
            </w:r>
          </w:p>
        </w:tc>
      </w:tr>
      <w:tr>
        <w:tc>
          <w:tcPr>
            <w:tcW w:type="dxa" w:w="567"/>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4</w:t>
            </w:r>
          </w:p>
        </w:tc>
        <w:tc>
          <w:tcPr>
            <w:tcW w:type="dxa" w:w="2268"/>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Factory integration test</w:t>
            </w:r>
          </w:p>
        </w:tc>
        <w:tc>
          <w:tcPr>
            <w:tcW w:type="dxa" w:w="1928"/>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Memenuhi dengan pengesahan</w:t>
            </w:r>
          </w:p>
        </w:tc>
        <w:tc>
          <w:tcPr>
            <w:tcW w:type="dxa" w:w="4309"/>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Integrasi end-to-end, mesh, failover, dan alarm push telah diuji pada tahap laboratorium</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5</w:t>
            </w:r>
          </w:p>
        </w:tc>
        <w:tc>
          <w:tcPr>
            <w:tcW w:type="dxa" w:w="2268"/>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Dokumen instalasi dan as-built</w:t>
            </w:r>
          </w:p>
        </w:tc>
        <w:tc>
          <w:tcPr>
            <w:tcW w:type="dxa" w:w="1928"/>
            <w:vAlign w:val="center"/>
            <w:tcMar>
              <w:top w:w="100" w:type="dxa"/>
              <w:start w:w="120" w:type="dxa"/>
              <w:bottom w:w="100" w:type="dxa"/>
              <w:end w:w="120" w:type="dxa"/>
            </w:tcMar>
          </w:tcPr>
          <w:p>
            <w:pPr>
              <w:spacing w:before="0" w:after="0" w:line="252" w:lineRule="auto"/>
              <w:jc w:val="center"/>
            </w:pPr>
            <w:r>
              <w:rPr>
                <w:rFonts w:ascii="Arial" w:hAnsi="Arial"/>
                <w:b w:val="0"/>
                <w:color w:val="20262B"/>
                <w:sz w:val="16"/>
              </w:rPr>
            </w:r>
            <w:r>
              <w:rPr>
                <w:rFonts w:ascii="Arial" w:hAnsi="Arial"/>
                <w:b w:val="0"/>
                <w:color w:val="20262B"/>
                <w:sz w:val="16"/>
              </w:rPr>
              <w:t>Memenuhi sesuai tahap</w:t>
            </w:r>
          </w:p>
        </w:tc>
        <w:tc>
          <w:tcPr>
            <w:tcW w:type="dxa" w:w="4309"/>
            <w:vAlign w:val="center"/>
            <w:tcMar>
              <w:top w:w="100" w:type="dxa"/>
              <w:start w:w="120" w:type="dxa"/>
              <w:bottom w:w="100" w:type="dxa"/>
              <w:end w:w="120" w:type="dxa"/>
            </w:tcMar>
          </w:tcPr>
          <w:p>
            <w:pPr>
              <w:spacing w:before="0" w:after="0" w:line="252" w:lineRule="auto"/>
              <w:jc w:val="left"/>
            </w:pPr>
            <w:r>
              <w:rPr>
                <w:rFonts w:ascii="Arial" w:hAnsi="Arial"/>
                <w:b w:val="0"/>
                <w:color w:val="20262B"/>
                <w:sz w:val="16"/>
              </w:rPr>
            </w:r>
            <w:r>
              <w:rPr>
                <w:rFonts w:ascii="Arial" w:hAnsi="Arial"/>
                <w:b w:val="0"/>
                <w:color w:val="20262B"/>
                <w:sz w:val="16"/>
              </w:rPr>
              <w:t>Baseline prototipe atau laboratorium tersedia; as-built lokasi diterbitkan setelah instalasi lapangan</w:t>
            </w:r>
          </w:p>
        </w:tc>
      </w:tr>
    </w:tbl>
    <w:p>
      <w:pPr>
        <w:pStyle w:val="Heading1"/>
      </w:pPr>
      <w:r>
        <w:t>Batas Penerimaan</w:t>
      </w:r>
    </w:p>
    <w:p>
      <w:pPr>
        <w:spacing w:after="120" w:line="269" w:lineRule="auto"/>
      </w:pPr>
      <w:r>
        <w:rPr>
          <w:rFonts w:ascii="Arial" w:hAnsi="Arial"/>
          <w:i w:val="0"/>
          <w:color w:val="20262B"/>
          <w:sz w:val="21"/>
        </w:rPr>
        <w:t>Serah terima Termin 1 ini terbatas pada hasil detail engineering, persiapan komponen, konfigurasi firmware, factory integration test, serta baseline dokumentasi prototipe atau laboratorium. Berita acara ini tidak menyatakan bahwa instalasi, commissioning, site acceptance test, as-built lokasi RU IV Cilacap, atau sertifikasi hazardous area telah selesai.</w:t>
      </w:r>
    </w:p>
    <w:p>
      <w:pPr>
        <w:pStyle w:val="Heading1"/>
      </w:pPr>
      <w:r>
        <w:t>Nilai Pekerjaan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06"/>
        <w:gridCol w:w="4706"/>
      </w:tblGrid>
      <w:tr>
        <w:tc>
          <w:tcPr>
            <w:tcW w:type="dxa" w:w="2835"/>
            <w:shd w:fill="E8F7F4"/>
            <w:vAlign w:val="center"/>
            <w:tcMar>
              <w:top w:w="100" w:type="dxa"/>
              <w:start w:w="120" w:type="dxa"/>
              <w:bottom w:w="100" w:type="dxa"/>
              <w:end w:w="120" w:type="dxa"/>
            </w:tcMar>
          </w:tcPr>
          <w:p>
            <w:pPr>
              <w:spacing w:before="0" w:after="0" w:line="252" w:lineRule="auto"/>
              <w:jc w:val="left"/>
            </w:pPr>
            <w:r>
              <w:rPr>
                <w:rFonts w:ascii="Arial" w:hAnsi="Arial"/>
                <w:b/>
                <w:color w:val="20262B"/>
                <w:sz w:val="18"/>
              </w:rPr>
            </w:r>
            <w:r>
              <w:rPr>
                <w:rFonts w:ascii="Arial" w:hAnsi="Arial"/>
                <w:b/>
                <w:color w:val="20262B"/>
                <w:sz w:val="18"/>
              </w:rPr>
              <w:t>Nilai SPK</w:t>
            </w:r>
          </w:p>
        </w:tc>
        <w:tc>
          <w:tcPr>
            <w:tcW w:type="dxa" w:w="6237"/>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Rp ........................................................</w:t>
            </w:r>
          </w:p>
        </w:tc>
      </w:tr>
      <w:tr>
        <w:tc>
          <w:tcPr>
            <w:tcW w:type="dxa" w:w="2835"/>
            <w:shd w:fill="E8F7F4"/>
            <w:vAlign w:val="center"/>
            <w:tcMar>
              <w:top w:w="100" w:type="dxa"/>
              <w:start w:w="120" w:type="dxa"/>
              <w:bottom w:w="100" w:type="dxa"/>
              <w:end w:w="120" w:type="dxa"/>
            </w:tcMar>
          </w:tcPr>
          <w:p>
            <w:pPr>
              <w:spacing w:before="0" w:after="0" w:line="252" w:lineRule="auto"/>
              <w:jc w:val="left"/>
            </w:pPr>
            <w:r>
              <w:rPr>
                <w:rFonts w:ascii="Arial" w:hAnsi="Arial"/>
                <w:b/>
                <w:color w:val="20262B"/>
                <w:sz w:val="18"/>
              </w:rPr>
            </w:r>
            <w:r>
              <w:rPr>
                <w:rFonts w:ascii="Arial" w:hAnsi="Arial"/>
                <w:b/>
                <w:color w:val="20262B"/>
                <w:sz w:val="18"/>
              </w:rPr>
              <w:t>Nilai Termin 1</w:t>
            </w:r>
          </w:p>
        </w:tc>
        <w:tc>
          <w:tcPr>
            <w:tcW w:type="dxa" w:w="6237"/>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20 persen x nilai SPK = Rp ........................................................</w:t>
            </w:r>
          </w:p>
        </w:tc>
      </w:tr>
      <w:tr>
        <w:tc>
          <w:tcPr>
            <w:tcW w:type="dxa" w:w="2835"/>
            <w:shd w:fill="E8F7F4"/>
            <w:vAlign w:val="center"/>
            <w:tcMar>
              <w:top w:w="100" w:type="dxa"/>
              <w:start w:w="120" w:type="dxa"/>
              <w:bottom w:w="100" w:type="dxa"/>
              <w:end w:w="120" w:type="dxa"/>
            </w:tcMar>
          </w:tcPr>
          <w:p>
            <w:pPr>
              <w:spacing w:before="0" w:after="0" w:line="252" w:lineRule="auto"/>
              <w:jc w:val="left"/>
            </w:pPr>
            <w:r>
              <w:rPr>
                <w:rFonts w:ascii="Arial" w:hAnsi="Arial"/>
                <w:b/>
                <w:color w:val="20262B"/>
                <w:sz w:val="18"/>
              </w:rPr>
            </w:r>
            <w:r>
              <w:rPr>
                <w:rFonts w:ascii="Arial" w:hAnsi="Arial"/>
                <w:b/>
                <w:color w:val="20262B"/>
                <w:sz w:val="18"/>
              </w:rPr>
              <w:t>Pajak dan potongan</w:t>
            </w:r>
          </w:p>
        </w:tc>
        <w:tc>
          <w:tcPr>
            <w:tcW w:type="dxa" w:w="6237"/>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Sesuai ketentuan SPK dan administrasi yang berlaku</w:t>
            </w:r>
          </w:p>
        </w:tc>
      </w:tr>
      <w:tr>
        <w:tc>
          <w:tcPr>
            <w:tcW w:type="dxa" w:w="2835"/>
            <w:shd w:fill="E8F7F4"/>
            <w:vAlign w:val="center"/>
            <w:tcMar>
              <w:top w:w="100" w:type="dxa"/>
              <w:start w:w="120" w:type="dxa"/>
              <w:bottom w:w="100" w:type="dxa"/>
              <w:end w:w="120" w:type="dxa"/>
            </w:tcMar>
          </w:tcPr>
          <w:p>
            <w:pPr>
              <w:spacing w:before="0" w:after="0" w:line="252" w:lineRule="auto"/>
              <w:jc w:val="left"/>
            </w:pPr>
            <w:r>
              <w:rPr>
                <w:rFonts w:ascii="Arial" w:hAnsi="Arial"/>
                <w:b/>
                <w:color w:val="20262B"/>
                <w:sz w:val="18"/>
              </w:rPr>
            </w:r>
            <w:r>
              <w:rPr>
                <w:rFonts w:ascii="Arial" w:hAnsi="Arial"/>
                <w:b/>
                <w:color w:val="20262B"/>
                <w:sz w:val="18"/>
              </w:rPr>
              <w:t>Nilai pembayaran bersih</w:t>
            </w:r>
          </w:p>
        </w:tc>
        <w:tc>
          <w:tcPr>
            <w:tcW w:type="dxa" w:w="6237"/>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Rp ........................................................</w:t>
            </w:r>
          </w:p>
        </w:tc>
      </w:tr>
    </w:tbl>
    <w:p>
      <w:pPr>
        <w:pStyle w:val="Heading1"/>
      </w:pPr>
      <w:r>
        <w:t>Lampiran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37"/>
        <w:gridCol w:w="3137"/>
        <w:gridCol w:w="3137"/>
      </w:tblGrid>
      <w:tr>
        <w:trPr>
          <w:tblHeader w:val="true"/>
        </w:trPr>
        <w:tc>
          <w:tcPr>
            <w:tcW w:type="dxa" w:w="567"/>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No</w:t>
            </w:r>
          </w:p>
        </w:tc>
        <w:tc>
          <w:tcPr>
            <w:tcW w:type="dxa" w:w="5386"/>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Lampiran</w:t>
            </w:r>
          </w:p>
        </w:tc>
        <w:tc>
          <w:tcPr>
            <w:tcW w:type="dxa" w:w="3118"/>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7"/>
              </w:rPr>
            </w:r>
            <w:r>
              <w:rPr>
                <w:rFonts w:ascii="Arial" w:hAnsi="Arial"/>
                <w:b/>
                <w:color w:val="FFFFFF"/>
                <w:sz w:val="17"/>
              </w:rPr>
              <w:t>Fungsi</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1</w:t>
            </w:r>
          </w:p>
        </w:tc>
        <w:tc>
          <w:tcPr>
            <w:tcW w:type="dxa" w:w="5386"/>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Laporan Pemenuhan Deliverable Termin 1 Field Testing GLD Revisi 0.2</w:t>
            </w:r>
          </w:p>
        </w:tc>
        <w:tc>
          <w:tcPr>
            <w:tcW w:type="dxa" w:w="3118"/>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Dokumen utama</w:t>
            </w:r>
          </w:p>
        </w:tc>
      </w:tr>
      <w:tr>
        <w:tc>
          <w:tcPr>
            <w:tcW w:type="dxa" w:w="567"/>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2</w:t>
            </w:r>
          </w:p>
        </w:tc>
        <w:tc>
          <w:tcPr>
            <w:tcW w:type="dxa" w:w="5386"/>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Klausul pembayaran dan proposal pekerjaan</w:t>
            </w:r>
          </w:p>
        </w:tc>
        <w:tc>
          <w:tcPr>
            <w:tcW w:type="dxa" w:w="3118"/>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Dasar kontraktual</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3</w:t>
            </w:r>
          </w:p>
        </w:tc>
        <w:tc>
          <w:tcPr>
            <w:tcW w:type="dxa" w:w="5386"/>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Notulen rapat 6 Agustus 2026</w:t>
            </w:r>
          </w:p>
        </w:tc>
        <w:tc>
          <w:tcPr>
            <w:tcW w:type="dxa" w:w="3118"/>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Witness dan pembahasan teknis</w:t>
            </w:r>
          </w:p>
        </w:tc>
      </w:tr>
      <w:tr>
        <w:tc>
          <w:tcPr>
            <w:tcW w:type="dxa" w:w="567"/>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4</w:t>
            </w:r>
          </w:p>
        </w:tc>
        <w:tc>
          <w:tcPr>
            <w:tcW w:type="dxa" w:w="5386"/>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Datasheet sistem, TDS perangkat, arsitektur, dan desain mounting</w:t>
            </w:r>
          </w:p>
        </w:tc>
        <w:tc>
          <w:tcPr>
            <w:tcW w:type="dxa" w:w="3118"/>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Detail engineering</w:t>
            </w:r>
          </w:p>
        </w:tc>
      </w:tr>
      <w:tr>
        <w:tc>
          <w:tcPr>
            <w:tcW w:type="dxa" w:w="567"/>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5</w:t>
            </w:r>
          </w:p>
        </w:tc>
        <w:tc>
          <w:tcPr>
            <w:tcW w:type="dxa" w:w="5386"/>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Bukti uji LoRa, log serial, presentasi AI, dan foto unit</w:t>
            </w:r>
          </w:p>
        </w:tc>
        <w:tc>
          <w:tcPr>
            <w:tcW w:type="dxa" w:w="3118"/>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Bukti teknis terkurasi</w:t>
            </w:r>
          </w:p>
        </w:tc>
      </w:tr>
      <w:tr>
        <w:tc>
          <w:tcPr>
            <w:tcW w:type="dxa" w:w="567"/>
            <w:shd w:fill="F3F3F4"/>
            <w:vAlign w:val="center"/>
            <w:tcMar>
              <w:top w:w="100" w:type="dxa"/>
              <w:start w:w="120" w:type="dxa"/>
              <w:bottom w:w="100" w:type="dxa"/>
              <w:end w:w="120" w:type="dxa"/>
            </w:tcMar>
          </w:tcPr>
          <w:p>
            <w:pPr>
              <w:spacing w:before="0" w:after="0" w:line="252" w:lineRule="auto"/>
              <w:jc w:val="center"/>
            </w:pPr>
            <w:r>
              <w:rPr>
                <w:rFonts w:ascii="Arial" w:hAnsi="Arial"/>
                <w:b w:val="0"/>
                <w:color w:val="20262B"/>
                <w:sz w:val="17"/>
              </w:rPr>
            </w:r>
            <w:r>
              <w:rPr>
                <w:rFonts w:ascii="Arial" w:hAnsi="Arial"/>
                <w:b w:val="0"/>
                <w:color w:val="20262B"/>
                <w:sz w:val="17"/>
              </w:rPr>
              <w:t>6</w:t>
            </w:r>
          </w:p>
        </w:tc>
        <w:tc>
          <w:tcPr>
            <w:tcW w:type="dxa" w:w="5386"/>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Laporan progres, JSA, checklist instalasi, dan notulen survey RU IV</w:t>
            </w:r>
          </w:p>
        </w:tc>
        <w:tc>
          <w:tcPr>
            <w:tcW w:type="dxa" w:w="3118"/>
            <w:shd w:fill="F3F3F4"/>
            <w:vAlign w:val="center"/>
            <w:tcMar>
              <w:top w:w="100" w:type="dxa"/>
              <w:start w:w="120" w:type="dxa"/>
              <w:bottom w:w="100" w:type="dxa"/>
              <w:end w:w="120" w:type="dxa"/>
            </w:tcMar>
          </w:tcPr>
          <w:p>
            <w:pPr>
              <w:spacing w:before="0" w:after="0" w:line="252" w:lineRule="auto"/>
              <w:jc w:val="left"/>
            </w:pPr>
            <w:r>
              <w:rPr>
                <w:rFonts w:ascii="Arial" w:hAnsi="Arial"/>
                <w:b w:val="0"/>
                <w:color w:val="20262B"/>
                <w:sz w:val="17"/>
              </w:rPr>
            </w:r>
            <w:r>
              <w:rPr>
                <w:rFonts w:ascii="Arial" w:hAnsi="Arial"/>
                <w:b w:val="0"/>
                <w:color w:val="20262B"/>
                <w:sz w:val="17"/>
              </w:rPr>
              <w:t>Tahap berikutnya</w:t>
            </w:r>
          </w:p>
        </w:tc>
      </w:tr>
    </w:tbl>
    <w:p>
      <w:pPr>
        <w:pStyle w:val="Heading1"/>
      </w:pPr>
      <w:r>
        <w:t>Kesepakatan</w:t>
      </w:r>
    </w:p>
    <w:p>
      <w:pPr>
        <w:pStyle w:val="ListBullet"/>
        <w:spacing w:after="80" w:line="259" w:lineRule="auto"/>
      </w:pPr>
      <w:r>
        <w:rPr>
          <w:rFonts w:ascii="Arial" w:hAnsi="Arial"/>
          <w:color w:val="20262B"/>
          <w:sz w:val="20"/>
        </w:rPr>
        <w:t>Pihak Pertama telah menerima dan memeriksa dokumen serta bukti pekerjaan Termin 1 sebagaimana tercantum dalam berita acara dan lampirannya.</w:t>
      </w:r>
    </w:p>
    <w:p>
      <w:pPr>
        <w:pStyle w:val="ListBullet"/>
        <w:spacing w:after="80" w:line="259" w:lineRule="auto"/>
      </w:pPr>
      <w:r>
        <w:rPr>
          <w:rFonts w:ascii="Arial" w:hAnsi="Arial"/>
          <w:color w:val="20262B"/>
          <w:sz w:val="20"/>
        </w:rPr>
        <w:t>Apabila terdapat catatan hasil pemeriksaan, catatan tersebut dituangkan pada bagian Catatan Pemeriksaan dan diselesaikan sesuai kesepakatan para pihak tanpa mengubah batas tahap yang dinyatakan dalam berita acara ini.</w:t>
      </w:r>
    </w:p>
    <w:p>
      <w:pPr>
        <w:pStyle w:val="ListBullet"/>
        <w:spacing w:after="80" w:line="259" w:lineRule="auto"/>
      </w:pPr>
      <w:r>
        <w:rPr>
          <w:rFonts w:ascii="Arial" w:hAnsi="Arial"/>
          <w:color w:val="20262B"/>
          <w:sz w:val="20"/>
        </w:rPr>
        <w:t>Setelah berita acara ini ditandatangani oleh pihak yang berwenang, dokumen dapat digunakan sebagai dasar proses administrasi pembayaran Termin 1 sebesar 20 persen sesuai ketentuan SPK.</w:t>
      </w:r>
    </w:p>
    <w:p>
      <w:pPr>
        <w:pStyle w:val="ListBullet"/>
        <w:spacing w:after="80" w:line="259" w:lineRule="auto"/>
      </w:pPr>
      <w:r>
        <w:rPr>
          <w:rFonts w:ascii="Arial" w:hAnsi="Arial"/>
          <w:color w:val="20262B"/>
          <w:sz w:val="20"/>
        </w:rPr>
        <w:t>Berita acara dibuat dalam rangkap yang diperlukan dan mempunyai kekuatan administrasi yang sama setelah ditandatangani.</w:t>
      </w:r>
    </w:p>
    <w:p>
      <w:pPr>
        <w:pStyle w:val="Heading1"/>
      </w:pPr>
      <w:r>
        <w:t>Catatan Pemeriksaan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412"/>
      </w:tblGrid>
      <w:tr>
        <w:tc>
          <w:tcPr>
            <w:tcW w:type="dxa" w:w="9072"/>
            <w:shd w:fill="F3F3F4"/>
            <w:vAlign w:val="center"/>
            <w:tcMar>
              <w:top w:w="100" w:type="dxa"/>
              <w:start w:w="120" w:type="dxa"/>
              <w:bottom w:w="100" w:type="dxa"/>
              <w:end w:w="120" w:type="dxa"/>
            </w:tcMar>
          </w:tcPr>
          <w:p>
            <w:pPr>
              <w:spacing w:before="0" w:after="0" w:line="252" w:lineRule="auto"/>
              <w:jc w:val="left"/>
            </w:pPr>
            <w:r>
              <w:rPr>
                <w:rFonts w:ascii="Arial" w:hAnsi="Arial"/>
                <w:b/>
                <w:color w:val="20262B"/>
                <w:sz w:val="18"/>
              </w:rPr>
            </w:r>
            <w:r>
              <w:rPr>
                <w:rFonts w:ascii="Arial" w:hAnsi="Arial"/>
                <w:b/>
                <w:color w:val="20262B"/>
                <w:sz w:val="18"/>
              </w:rPr>
              <w:t>Diisi bila terdapat catatan atau tindak lanjut sebelum pengesahan</w:t>
            </w:r>
          </w:p>
        </w:tc>
      </w:tr>
      <w:tr>
        <w:tc>
          <w:tcPr>
            <w:tcW w:type="dxa" w:w="9412"/>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w:t>
            </w:r>
          </w:p>
        </w:tc>
      </w:tr>
      <w:tr>
        <w:tc>
          <w:tcPr>
            <w:tcW w:type="dxa" w:w="9412"/>
            <w:vAlign w:val="center"/>
            <w:tcMar>
              <w:top w:w="100" w:type="dxa"/>
              <w:start w:w="120" w:type="dxa"/>
              <w:bottom w:w="100" w:type="dxa"/>
              <w:end w:w="120" w:type="dxa"/>
            </w:tcMar>
          </w:tcPr>
          <w:p>
            <w:pPr>
              <w:spacing w:before="0" w:after="0" w:line="252" w:lineRule="auto"/>
              <w:jc w:val="left"/>
            </w:pPr>
            <w:r>
              <w:rPr>
                <w:rFonts w:ascii="Arial" w:hAnsi="Arial"/>
                <w:b w:val="0"/>
                <w:color w:val="20262B"/>
                <w:sz w:val="18"/>
              </w:rPr>
            </w:r>
            <w:r>
              <w:rPr>
                <w:rFonts w:ascii="Arial" w:hAnsi="Arial"/>
                <w:b w:val="0"/>
                <w:color w:val="20262B"/>
                <w:sz w:val="18"/>
              </w:rPr>
              <w:t>................................................................................................................................................</w:t>
            </w:r>
          </w:p>
        </w:tc>
      </w:tr>
    </w:tbl>
    <w:p>
      <w:pPr>
        <w:pStyle w:val="Heading1"/>
      </w:pPr>
      <w:r>
        <w:t>Pengesahan</w:t>
      </w:r>
    </w:p>
    <w:p>
      <w:pPr>
        <w:spacing w:after="120" w:line="269" w:lineRule="auto"/>
      </w:pPr>
      <w:r>
        <w:rPr>
          <w:rFonts w:ascii="Arial" w:hAnsi="Arial"/>
          <w:i w:val="0"/>
          <w:color w:val="20262B"/>
          <w:sz w:val="21"/>
        </w:rPr>
        <w:t>Para pihak menyatakan bahwa informasi dalam berita acara ini telah diperiksa dan disetujui sesuai kewenangan masing-masing.</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706"/>
        <w:gridCol w:w="4706"/>
      </w:tblGrid>
      <w:tr>
        <w:tc>
          <w:tcPr>
            <w:tcW w:type="dxa" w:w="4536"/>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9"/>
              </w:rPr>
            </w:r>
            <w:r>
              <w:rPr>
                <w:rFonts w:ascii="Arial" w:hAnsi="Arial"/>
                <w:b/>
                <w:color w:val="FFFFFF"/>
                <w:sz w:val="19"/>
              </w:rPr>
              <w:t>PIHAK PERTAMA</w:t>
            </w:r>
          </w:p>
        </w:tc>
        <w:tc>
          <w:tcPr>
            <w:tcW w:type="dxa" w:w="4536"/>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9"/>
              </w:rPr>
            </w:r>
            <w:r>
              <w:rPr>
                <w:rFonts w:ascii="Arial" w:hAnsi="Arial"/>
                <w:b/>
                <w:color w:val="FFFFFF"/>
                <w:sz w:val="19"/>
              </w:rPr>
              <w:t>PIHAK KEDUA</w:t>
            </w:r>
          </w:p>
        </w:tc>
      </w:tr>
      <w:tr>
        <w:tc>
          <w:tcPr>
            <w:tcW w:type="dxa" w:w="4536"/>
            <w:vAlign w:val="center"/>
            <w:tcMar>
              <w:top w:w="100" w:type="dxa"/>
              <w:start w:w="120" w:type="dxa"/>
              <w:bottom w:w="100" w:type="dxa"/>
              <w:end w:w="120" w:type="dxa"/>
            </w:tcMar>
          </w:tcPr>
          <w:p>
            <w:pPr>
              <w:spacing w:before="0" w:after="0" w:line="252" w:lineRule="auto"/>
              <w:jc w:val="center"/>
            </w:pPr>
            <w:r>
              <w:rPr>
                <w:rFonts w:ascii="Arial" w:hAnsi="Arial"/>
                <w:b/>
                <w:color w:val="20262B"/>
                <w:sz w:val="19"/>
              </w:rPr>
            </w:r>
            <w:r>
              <w:rPr>
                <w:rFonts w:ascii="Arial" w:hAnsi="Arial"/>
                <w:b/>
                <w:color w:val="20262B"/>
                <w:sz w:val="19"/>
              </w:rPr>
              <w:t>PT Pertamina Patra Niaga</w:t>
            </w:r>
          </w:p>
        </w:tc>
        <w:tc>
          <w:tcPr>
            <w:tcW w:type="dxa" w:w="4536"/>
            <w:vAlign w:val="center"/>
            <w:tcMar>
              <w:top w:w="100" w:type="dxa"/>
              <w:start w:w="120" w:type="dxa"/>
              <w:bottom w:w="100" w:type="dxa"/>
              <w:end w:w="120" w:type="dxa"/>
            </w:tcMar>
          </w:tcPr>
          <w:p>
            <w:pPr>
              <w:spacing w:before="0" w:after="0" w:line="252" w:lineRule="auto"/>
              <w:jc w:val="center"/>
            </w:pPr>
            <w:r>
              <w:rPr>
                <w:rFonts w:ascii="Arial" w:hAnsi="Arial"/>
                <w:b/>
                <w:color w:val="20262B"/>
                <w:sz w:val="19"/>
              </w:rPr>
            </w:r>
            <w:r>
              <w:rPr>
                <w:rFonts w:ascii="Arial" w:hAnsi="Arial"/>
                <w:b/>
                <w:color w:val="20262B"/>
                <w:sz w:val="19"/>
              </w:rPr>
              <w:t>LAPI Ganesha Utama</w:t>
            </w:r>
          </w:p>
        </w:tc>
      </w:tr>
      <w:tr>
        <w:tc>
          <w:tcPr>
            <w:tcW w:type="dxa" w:w="4536"/>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br/>
              <w:br/>
              <w:br/>
              <w:br/>
            </w:r>
          </w:p>
        </w:tc>
        <w:tc>
          <w:tcPr>
            <w:tcW w:type="dxa" w:w="4536"/>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br/>
              <w:br/>
              <w:br/>
              <w:br/>
            </w:r>
          </w:p>
        </w:tc>
      </w:tr>
      <w:tr>
        <w:tc>
          <w:tcPr>
            <w:tcW w:type="dxa" w:w="4536"/>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t>Nama: ........................................</w:t>
              <w:br/>
              <w:t>Jabatan: .....................................</w:t>
              <w:br/>
              <w:t>Tanggal: ......................................</w:t>
            </w:r>
          </w:p>
        </w:tc>
        <w:tc>
          <w:tcPr>
            <w:tcW w:type="dxa" w:w="4536"/>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t>Nama: ........................................</w:t>
              <w:br/>
              <w:t>Jabatan: .....................................</w:t>
              <w:br/>
              <w:t>Tanggal: ......................................</w:t>
            </w:r>
          </w:p>
        </w:tc>
      </w:tr>
    </w:tbl>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412"/>
      </w:tblGrid>
      <w:tr>
        <w:tc>
          <w:tcPr>
            <w:tcW w:type="dxa" w:w="9072"/>
            <w:shd w:fill="2F4050"/>
            <w:vAlign w:val="center"/>
            <w:tcMar>
              <w:top w:w="100" w:type="dxa"/>
              <w:start w:w="120" w:type="dxa"/>
              <w:bottom w:w="100" w:type="dxa"/>
              <w:end w:w="120" w:type="dxa"/>
            </w:tcMar>
          </w:tcPr>
          <w:p>
            <w:pPr>
              <w:spacing w:before="0" w:after="0" w:line="252" w:lineRule="auto"/>
              <w:jc w:val="center"/>
            </w:pPr>
            <w:r>
              <w:rPr>
                <w:rFonts w:ascii="Arial" w:hAnsi="Arial"/>
                <w:b/>
                <w:color w:val="FFFFFF"/>
                <w:sz w:val="19"/>
              </w:rPr>
            </w:r>
            <w:r>
              <w:rPr>
                <w:rFonts w:ascii="Arial" w:hAnsi="Arial"/>
                <w:b/>
                <w:color w:val="FFFFFF"/>
                <w:sz w:val="19"/>
              </w:rPr>
              <w:t>SAKSI TEKNIS</w:t>
            </w:r>
          </w:p>
        </w:tc>
      </w:tr>
      <w:tr>
        <w:tc>
          <w:tcPr>
            <w:tcW w:type="dxa" w:w="9412"/>
            <w:vAlign w:val="center"/>
            <w:tcMar>
              <w:top w:w="100" w:type="dxa"/>
              <w:start w:w="120" w:type="dxa"/>
              <w:bottom w:w="100" w:type="dxa"/>
              <w:end w:w="120" w:type="dxa"/>
            </w:tcMar>
          </w:tcPr>
          <w:p>
            <w:pPr>
              <w:spacing w:before="0" w:after="0" w:line="252" w:lineRule="auto"/>
              <w:jc w:val="center"/>
            </w:pPr>
            <w:r>
              <w:rPr>
                <w:rFonts w:ascii="Arial" w:hAnsi="Arial"/>
                <w:b/>
                <w:color w:val="20262B"/>
                <w:sz w:val="19"/>
              </w:rPr>
            </w:r>
            <w:r>
              <w:rPr>
                <w:rFonts w:ascii="Arial" w:hAnsi="Arial"/>
                <w:b/>
                <w:color w:val="20262B"/>
                <w:sz w:val="19"/>
              </w:rPr>
              <w:t>Lab IoT/Instrumentation and Computation ITB</w:t>
            </w:r>
          </w:p>
        </w:tc>
      </w:tr>
      <w:tr>
        <w:tc>
          <w:tcPr>
            <w:tcW w:type="dxa" w:w="9412"/>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br/>
              <w:br/>
              <w:br/>
            </w:r>
          </w:p>
        </w:tc>
      </w:tr>
      <w:tr>
        <w:tc>
          <w:tcPr>
            <w:tcW w:type="dxa" w:w="9412"/>
            <w:vAlign w:val="center"/>
            <w:tcMar>
              <w:top w:w="100" w:type="dxa"/>
              <w:start w:w="120" w:type="dxa"/>
              <w:bottom w:w="100" w:type="dxa"/>
              <w:end w:w="120" w:type="dxa"/>
            </w:tcMar>
          </w:tcPr>
          <w:p>
            <w:pPr>
              <w:spacing w:before="0" w:after="0" w:line="252" w:lineRule="auto"/>
              <w:jc w:val="center"/>
            </w:pPr>
            <w:r>
              <w:rPr>
                <w:rFonts w:ascii="Arial" w:hAnsi="Arial"/>
                <w:b w:val="0"/>
                <w:color w:val="20262B"/>
                <w:sz w:val="18"/>
              </w:rPr>
            </w:r>
            <w:r>
              <w:rPr>
                <w:rFonts w:ascii="Arial" w:hAnsi="Arial"/>
                <w:b w:val="0"/>
                <w:color w:val="20262B"/>
                <w:sz w:val="18"/>
              </w:rPr>
              <w:t>Nama: ........................................    Jabatan: ........................................    Tanggal: ........................................</w:t>
            </w:r>
          </w:p>
        </w:tc>
      </w:tr>
    </w:tbl>
    <w:p>
      <w:pPr>
        <w:pStyle w:val="Heading1"/>
      </w:pPr>
      <w:r>
        <w:t>Daftar Isian Wajib Sebelum Penandatanganan</w:t>
      </w:r>
    </w:p>
    <w:p>
      <w:pPr>
        <w:pStyle w:val="ListBullet"/>
        <w:spacing w:after="80" w:line="259" w:lineRule="auto"/>
      </w:pPr>
      <w:r>
        <w:rPr>
          <w:rFonts w:ascii="Arial" w:hAnsi="Arial"/>
          <w:color w:val="20262B"/>
          <w:sz w:val="20"/>
        </w:rPr>
        <w:t>[  ] Nomor dan tanggal SPK telah diisi.</w:t>
      </w:r>
    </w:p>
    <w:p>
      <w:pPr>
        <w:pStyle w:val="ListBullet"/>
        <w:spacing w:after="80" w:line="259" w:lineRule="auto"/>
      </w:pPr>
      <w:r>
        <w:rPr>
          <w:rFonts w:ascii="Arial" w:hAnsi="Arial"/>
          <w:color w:val="20262B"/>
          <w:sz w:val="20"/>
        </w:rPr>
        <w:t>[  ] Nilai SPK, nilai Termin 1, pajak, potongan, dan nilai bersih telah diverifikasi.</w:t>
      </w:r>
    </w:p>
    <w:p>
      <w:pPr>
        <w:pStyle w:val="ListBullet"/>
        <w:spacing w:after="80" w:line="259" w:lineRule="auto"/>
      </w:pPr>
      <w:r>
        <w:rPr>
          <w:rFonts w:ascii="Arial" w:hAnsi="Arial"/>
          <w:color w:val="20262B"/>
          <w:sz w:val="20"/>
        </w:rPr>
        <w:t>[  ] Nomor BAST dan tanggal serah terima telah diisi.</w:t>
      </w:r>
    </w:p>
    <w:p>
      <w:pPr>
        <w:pStyle w:val="ListBullet"/>
        <w:spacing w:after="80" w:line="259" w:lineRule="auto"/>
      </w:pPr>
      <w:r>
        <w:rPr>
          <w:rFonts w:ascii="Arial" w:hAnsi="Arial"/>
          <w:color w:val="20262B"/>
          <w:sz w:val="20"/>
        </w:rPr>
        <w:t>[  ] Nama serta jabatan seluruh penandatangan telah sesuai kewenangan.</w:t>
      </w:r>
    </w:p>
    <w:p>
      <w:pPr>
        <w:pStyle w:val="ListBullet"/>
        <w:spacing w:after="80" w:line="259" w:lineRule="auto"/>
      </w:pPr>
      <w:r>
        <w:rPr>
          <w:rFonts w:ascii="Arial" w:hAnsi="Arial"/>
          <w:color w:val="20262B"/>
          <w:sz w:val="20"/>
        </w:rPr>
        <w:t>[  ] Catatan pemeriksaan telah ditutup atau disepakati para pihak.</w:t>
      </w:r>
    </w:p>
    <w:p>
      <w:pPr>
        <w:pStyle w:val="ListBullet"/>
        <w:spacing w:after="80" w:line="259" w:lineRule="auto"/>
      </w:pPr>
      <w:r>
        <w:rPr>
          <w:rFonts w:ascii="Arial" w:hAnsi="Arial"/>
          <w:color w:val="20262B"/>
          <w:sz w:val="20"/>
        </w:rPr>
        <w:t>[  ] Lampiran yang disebutkan telah disertakan pada paket pengajuan.</w:t>
      </w:r>
    </w:p>
    <w:sectPr w:rsidR="00FC693F" w:rsidRPr="0006063C" w:rsidSect="00034616">
      <w:headerReference w:type="default" r:id="rId9"/>
      <w:footerReference w:type="default" r:id="rId10"/>
      <w:pgSz w:w="11906" w:h="16838"/>
      <w:pgMar w:top="1020" w:right="1247" w:bottom="96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B6670"/>
        <w:sz w:val="16"/>
      </w:rPr>
      <w:t>GLD TAHAP 2  |  BERITA ACARA SERAH TERIMA PEKERJAAN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