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9936"/>
      </w:tblGrid>
      <w:tr>
        <w:tc>
          <w:tcPr>
            <w:tcW w:type="dxa" w:w="9936"/>
            <w:shd w:val="clear" w:color="auto" w:fill="1B2A4A"/>
          </w:tcPr>
          <w:p>
            <w:pPr>
              <w:spacing w:after="40"/>
            </w:pPr>
            <w:r>
              <w:rPr>
                <w:b/>
                <w:color w:val="FFFFFF"/>
                <w:sz w:val="28"/>
              </w:rPr>
              <w:t>PT LAPI GANESHA UTAMA</w:t>
            </w:r>
          </w:p>
          <w:p>
            <w:pPr>
              <w:spacing w:after="60"/>
            </w:pPr>
            <w:r>
              <w:rPr>
                <w:color w:val="C7D2E0"/>
                <w:sz w:val="19"/>
              </w:rPr>
              <w:t>Bekerja sama dengan Lab IoT &amp; Fisika Institut Teknologi Bandung</w:t>
            </w:r>
          </w:p>
        </w:tc>
      </w:tr>
    </w:tbl>
    <w:p>
      <w:pPr>
        <w:spacing w:after="120"/>
      </w:pPr>
    </w:p>
    <w:p>
      <w:pPr>
        <w:pStyle w:val="Title"/>
      </w:pPr>
      <w:r>
        <w:rPr>
          <w:b/>
          <w:color w:val="1B2A4A"/>
          <w:sz w:val="36"/>
        </w:rPr>
        <w:t>Laporan Factory Acceptance Test (FAT) — Sistem Gas Leak Detection Tahap 2</w:t>
      </w:r>
    </w:p>
    <w:p>
      <w:pPr>
        <w:spacing w:after="200"/>
      </w:pPr>
      <w:r>
        <w:rPr>
          <w:b w:val="0"/>
          <w:i w:val="0"/>
          <w:color w:val="5B5B5B"/>
          <w:sz w:val="21"/>
        </w:rPr>
        <w:t>Hasil uji penerimaan di laboratorium (Lab IoT, Instrumentation and Computations, ITB) atas node sensor GLD, Cluster Head, Gateway, dan server sebelum perangkat dikirim ke lokasi Refinery Unit. Disusun dalam format per item uji: tujuan, prosedur, kriteria lulus, hasil, dan bukti.</w:t>
      </w:r>
    </w:p>
    <w:p>
      <w:r>
        <w:rPr>
          <w:b/>
          <w:color w:val="1B2A4A"/>
          <w:sz w:val="22"/>
        </w:rPr>
        <w:t>Document Control</w:t>
      </w:r>
    </w:p>
    <w:tbl>
      <w:tblPr>
        <w:tblStyle w:val="TableGrid"/>
        <w:tblW w:type="auto" w:w="0"/>
        <w:tblLook w:firstColumn="1" w:firstRow="1" w:lastColumn="0" w:lastRow="0" w:noHBand="0" w:noVBand="1" w:val="04A0"/>
        <w:tblLayout w:type="fixed"/>
      </w:tblPr>
      <w:tblGrid>
        <w:gridCol w:w="2736"/>
        <w:gridCol w:w="7200"/>
      </w:tblGrid>
      <w:tr>
        <w:tc>
          <w:tcPr>
            <w:tcW w:type="dxa" w:w="2736"/>
            <w:shd w:val="clear" w:color="auto" w:fill="EFEFEC"/>
          </w:tcPr>
          <w:p>
            <w:pPr>
              <w:spacing w:after="40"/>
            </w:pPr>
            <w:r>
              <w:rPr>
                <w:b/>
                <w:color w:val="5B5B5B"/>
                <w:sz w:val="18"/>
              </w:rPr>
              <w:t>Nomor dokumen</w:t>
            </w:r>
          </w:p>
        </w:tc>
        <w:tc>
          <w:tcPr>
            <w:tcW w:type="dxa" w:w="7200"/>
          </w:tcPr>
          <w:p>
            <w:pPr>
              <w:spacing w:after="40"/>
            </w:pPr>
            <w:r>
              <w:rPr>
                <w:sz w:val="19"/>
              </w:rPr>
              <w:t>LGU/GLD/FAT/2026-001</w:t>
            </w:r>
          </w:p>
        </w:tc>
      </w:tr>
      <w:tr>
        <w:tc>
          <w:tcPr>
            <w:tcW w:type="dxa" w:w="2736"/>
            <w:shd w:val="clear" w:color="auto" w:fill="EFEFEC"/>
          </w:tcPr>
          <w:p>
            <w:pPr>
              <w:spacing w:after="40"/>
            </w:pPr>
            <w:r>
              <w:rPr>
                <w:b/>
                <w:color w:val="5B5B5B"/>
                <w:sz w:val="18"/>
              </w:rPr>
              <w:t>Revisi</w:t>
            </w:r>
          </w:p>
        </w:tc>
        <w:tc>
          <w:tcPr>
            <w:tcW w:type="dxa" w:w="7200"/>
          </w:tcPr>
          <w:p>
            <w:pPr>
              <w:spacing w:after="40"/>
            </w:pPr>
            <w:r>
              <w:rPr>
                <w:sz w:val="19"/>
              </w:rPr>
              <w:t>1.1</w:t>
            </w:r>
          </w:p>
        </w:tc>
      </w:tr>
      <w:tr>
        <w:tc>
          <w:tcPr>
            <w:tcW w:type="dxa" w:w="2736"/>
            <w:shd w:val="clear" w:color="auto" w:fill="EFEFEC"/>
          </w:tcPr>
          <w:p>
            <w:pPr>
              <w:spacing w:after="40"/>
            </w:pPr>
            <w:r>
              <w:rPr>
                <w:b/>
                <w:color w:val="5B5B5B"/>
                <w:sz w:val="18"/>
              </w:rPr>
              <w:t>Tanggal</w:t>
            </w:r>
          </w:p>
        </w:tc>
        <w:tc>
          <w:tcPr>
            <w:tcW w:type="dxa" w:w="7200"/>
          </w:tcPr>
          <w:p>
            <w:pPr>
              <w:spacing w:after="40"/>
            </w:pPr>
            <w:r>
              <w:rPr>
                <w:sz w:val="19"/>
              </w:rPr>
              <w:t>4 Oktober 2026</w:t>
            </w:r>
          </w:p>
        </w:tc>
      </w:tr>
      <w:tr>
        <w:tc>
          <w:tcPr>
            <w:tcW w:type="dxa" w:w="2736"/>
            <w:shd w:val="clear" w:color="auto" w:fill="EFEFEC"/>
          </w:tcPr>
          <w:p>
            <w:pPr>
              <w:spacing w:after="40"/>
            </w:pPr>
            <w:r>
              <w:rPr>
                <w:b/>
                <w:color w:val="5B5B5B"/>
                <w:sz w:val="18"/>
              </w:rPr>
              <w:t>Status</w:t>
            </w:r>
          </w:p>
        </w:tc>
        <w:tc>
          <w:tcPr>
            <w:tcW w:type="dxa" w:w="7200"/>
          </w:tcPr>
          <w:p>
            <w:pPr>
              <w:spacing w:after="40"/>
            </w:pPr>
            <w:r>
              <w:rPr>
                <w:sz w:val="19"/>
              </w:rPr>
              <w:t>Draf untuk pengesahan — hasil uji laboratorium, bukan Site Acceptance Test (SAT)</w:t>
            </w:r>
          </w:p>
        </w:tc>
      </w:tr>
      <w:tr>
        <w:tc>
          <w:tcPr>
            <w:tcW w:type="dxa" w:w="2736"/>
            <w:shd w:val="clear" w:color="auto" w:fill="EFEFEC"/>
          </w:tcPr>
          <w:p>
            <w:pPr>
              <w:spacing w:after="40"/>
            </w:pPr>
            <w:r>
              <w:rPr>
                <w:b/>
                <w:color w:val="5B5B5B"/>
                <w:sz w:val="18"/>
              </w:rPr>
              <w:t>Lokasi uji</w:t>
            </w:r>
          </w:p>
        </w:tc>
        <w:tc>
          <w:tcPr>
            <w:tcW w:type="dxa" w:w="7200"/>
          </w:tcPr>
          <w:p>
            <w:pPr>
              <w:spacing w:after="40"/>
            </w:pPr>
            <w:r>
              <w:rPr>
                <w:sz w:val="19"/>
              </w:rPr>
              <w:t>Lab IoT, Instrumentation and Computations, Gedung Laboratorium Fisika Terpadu, ITB, Bandung</w:t>
            </w:r>
          </w:p>
        </w:tc>
      </w:tr>
      <w:tr>
        <w:tc>
          <w:tcPr>
            <w:tcW w:type="dxa" w:w="2736"/>
            <w:shd w:val="clear" w:color="auto" w:fill="EFEFEC"/>
          </w:tcPr>
          <w:p>
            <w:pPr>
              <w:spacing w:after="40"/>
            </w:pPr>
            <w:r>
              <w:rPr>
                <w:b/>
                <w:color w:val="5B5B5B"/>
                <w:sz w:val="18"/>
              </w:rPr>
              <w:t>Periode uji</w:t>
            </w:r>
          </w:p>
        </w:tc>
        <w:tc>
          <w:tcPr>
            <w:tcW w:type="dxa" w:w="7200"/>
          </w:tcPr>
          <w:p>
            <w:pPr>
              <w:spacing w:after="40"/>
            </w:pPr>
            <w:r>
              <w:rPr>
                <w:sz w:val="19"/>
              </w:rPr>
              <w:t>Mei – Agustus 2026; disaksikan PT Pertamina Patra Niaga pada 6 Agustus 2026</w:t>
            </w:r>
          </w:p>
        </w:tc>
      </w:tr>
      <w:tr>
        <w:tc>
          <w:tcPr>
            <w:tcW w:type="dxa" w:w="2736"/>
            <w:shd w:val="clear" w:color="auto" w:fill="EFEFEC"/>
          </w:tcPr>
          <w:p>
            <w:pPr>
              <w:spacing w:after="40"/>
            </w:pPr>
            <w:r>
              <w:rPr>
                <w:b/>
                <w:color w:val="5B5B5B"/>
                <w:sz w:val="18"/>
              </w:rPr>
              <w:t>Disiapkan oleh</w:t>
            </w:r>
          </w:p>
        </w:tc>
        <w:tc>
          <w:tcPr>
            <w:tcW w:type="dxa" w:w="7200"/>
          </w:tcPr>
          <w:p>
            <w:pPr>
              <w:spacing w:after="40"/>
            </w:pPr>
            <w:r>
              <w:rPr>
                <w:sz w:val="19"/>
              </w:rPr>
              <w:t>PT LAPI Ganesha Utama, bersama Lab IoT &amp; Fisika Institut Teknologi Bandung</w:t>
            </w:r>
          </w:p>
        </w:tc>
      </w:tr>
      <w:tr>
        <w:tc>
          <w:tcPr>
            <w:tcW w:type="dxa" w:w="2736"/>
            <w:shd w:val="clear" w:color="auto" w:fill="EFEFEC"/>
          </w:tcPr>
          <w:p>
            <w:pPr>
              <w:spacing w:after="40"/>
            </w:pPr>
            <w:r>
              <w:rPr>
                <w:b/>
                <w:color w:val="5B5B5B"/>
                <w:sz w:val="18"/>
              </w:rPr>
              <w:t>Ditujukan kepada</w:t>
            </w:r>
          </w:p>
        </w:tc>
        <w:tc>
          <w:tcPr>
            <w:tcW w:type="dxa" w:w="7200"/>
          </w:tcPr>
          <w:p>
            <w:pPr>
              <w:spacing w:after="40"/>
            </w:pPr>
            <w:r>
              <w:rPr>
                <w:sz w:val="19"/>
              </w:rPr>
              <w:t>PT Pertamina Patra Niaga</w:t>
            </w:r>
          </w:p>
        </w:tc>
      </w:tr>
    </w:tbl>
    <w:p>
      <w:r>
        <w:br w:type="page"/>
      </w:r>
    </w:p>
    <w:p>
      <w:pPr>
        <w:pStyle w:val="Heading1"/>
      </w:pPr>
      <w:r>
        <w:rPr>
          <w:color w:val="1B2A4A"/>
        </w:rPr>
        <w:t>1. Dasar dan pengertian</w:t>
      </w:r>
    </w:p>
    <w:p>
      <w:pPr>
        <w:pStyle w:val="ListBullet"/>
        <w:spacing w:after="60"/>
      </w:pPr>
      <w:r>
        <w:rPr>
          <w:b/>
          <w:i w:val="0"/>
          <w:sz w:val="20"/>
        </w:rPr>
        <w:t>Dasar kontraktual.</w:t>
      </w:r>
      <w:r>
        <w:rPr>
          <w:b w:val="0"/>
          <w:i w:val="0"/>
          <w:sz w:val="20"/>
        </w:rPr>
        <w:t xml:space="preserve"> Pada ketentuan pembayaran pekerjaan field testing, Termin 1 didasarkan pada detail engineering, persiapan komponen, konfigurasi firmware, dan factory integration test, dibuktikan antara lain dengan laporan factory acceptance test.</w:t>
      </w:r>
    </w:p>
    <w:p>
      <w:pPr>
        <w:pStyle w:val="ListBullet"/>
        <w:spacing w:after="60"/>
      </w:pPr>
      <w:r>
        <w:rPr>
          <w:b/>
          <w:i w:val="0"/>
          <w:sz w:val="20"/>
        </w:rPr>
        <w:t>Dasar proposal.</w:t>
      </w:r>
      <w:r>
        <w:rPr>
          <w:b w:val="0"/>
          <w:i w:val="0"/>
          <w:sz w:val="20"/>
        </w:rPr>
        <w:t xml:space="preserve"> Proposal GLD Tahap 2 (Kontrak Payung) §14.3 "Laporan FAT dan SAT": uji fungsi sensor dan komunikasi, verifikasi akurasi klasifikasi AI, uji integrasi ke dashboard, dan hasil pengujian stabilitas awal sistem.</w:t>
      </w:r>
    </w:p>
    <w:p>
      <w:pPr>
        <w:pStyle w:val="ListBullet"/>
        <w:spacing w:after="60"/>
      </w:pPr>
      <w:r>
        <w:rPr>
          <w:b/>
          <w:i w:val="0"/>
          <w:sz w:val="20"/>
        </w:rPr>
        <w:t>FAT</w:t>
      </w:r>
      <w:r>
        <w:rPr>
          <w:b w:val="0"/>
          <w:i w:val="0"/>
          <w:sz w:val="20"/>
        </w:rPr>
        <w:t xml:space="preserve"> adalah uji penerimaan di lokasi pembuat (laboratorium) sebelum perangkat dikirim. </w:t>
      </w:r>
      <w:r>
        <w:rPr>
          <w:b/>
          <w:i w:val="0"/>
          <w:sz w:val="20"/>
        </w:rPr>
        <w:t>SAT</w:t>
      </w:r>
      <w:r>
        <w:rPr>
          <w:b w:val="0"/>
          <w:i w:val="0"/>
          <w:sz w:val="20"/>
        </w:rPr>
        <w:t xml:space="preserve"> adalah uji yang setara di lokasi RU setelah instalasi — belum dilaksanakan dan tidak termasuk dalam laporan ini.</w:t>
      </w:r>
    </w:p>
    <w:p>
      <w:pPr>
        <w:pStyle w:val="Heading1"/>
      </w:pPr>
      <w:r>
        <w:rPr>
          <w:color w:val="1B2A4A"/>
        </w:rPr>
        <w:t>2. Perangkat dan konfigurasi uji</w:t>
      </w:r>
    </w:p>
    <w:tbl>
      <w:tblPr>
        <w:tblStyle w:val="TableGrid"/>
        <w:tblW w:type="auto" w:w="0"/>
        <w:tblLook w:firstColumn="1" w:firstRow="1" w:lastColumn="0" w:lastRow="0" w:noHBand="0" w:noVBand="1" w:val="04A0"/>
        <w:tblLayout w:type="fixed"/>
      </w:tblPr>
      <w:tblGrid>
        <w:gridCol w:w="2448"/>
        <w:gridCol w:w="1872"/>
        <w:gridCol w:w="5616"/>
      </w:tblGrid>
      <w:tr>
        <w:tc>
          <w:tcPr>
            <w:tcW w:type="dxa" w:w="2448"/>
            <w:shd w:val="clear" w:color="auto" w:fill="1B2A4A"/>
          </w:tcPr>
          <w:p>
            <w:pPr>
              <w:spacing w:after="20"/>
            </w:pPr>
            <w:r>
              <w:rPr>
                <w:b/>
                <w:color w:val="FFFFFF"/>
                <w:sz w:val="18"/>
              </w:rPr>
              <w:t>Perangkat</w:t>
            </w:r>
          </w:p>
        </w:tc>
        <w:tc>
          <w:tcPr>
            <w:tcW w:type="dxa" w:w="1872"/>
            <w:shd w:val="clear" w:color="auto" w:fill="1B2A4A"/>
          </w:tcPr>
          <w:p>
            <w:pPr>
              <w:spacing w:after="20"/>
            </w:pPr>
            <w:r>
              <w:rPr>
                <w:b/>
                <w:color w:val="FFFFFF"/>
                <w:sz w:val="18"/>
              </w:rPr>
              <w:t>Jumlah tersedia</w:t>
            </w:r>
          </w:p>
        </w:tc>
        <w:tc>
          <w:tcPr>
            <w:tcW w:type="dxa" w:w="5616"/>
            <w:shd w:val="clear" w:color="auto" w:fill="1B2A4A"/>
          </w:tcPr>
          <w:p>
            <w:pPr>
              <w:spacing w:after="20"/>
            </w:pPr>
            <w:r>
              <w:rPr>
                <w:b/>
                <w:color w:val="FFFFFF"/>
                <w:sz w:val="18"/>
              </w:rPr>
              <w:t>Keterangan</w:t>
            </w:r>
          </w:p>
        </w:tc>
      </w:tr>
      <w:tr>
        <w:tc>
          <w:tcPr>
            <w:tcW w:type="dxa" w:w="2448"/>
          </w:tcPr>
          <w:p>
            <w:pPr>
              <w:spacing w:after="20"/>
            </w:pPr>
            <w:r>
              <w:rPr>
                <w:b w:val="0"/>
                <w:i w:val="0"/>
                <w:sz w:val="18"/>
              </w:rPr>
              <w:t>Node sensor GLD</w:t>
            </w:r>
          </w:p>
        </w:tc>
        <w:tc>
          <w:tcPr>
            <w:tcW w:type="dxa" w:w="1872"/>
          </w:tcPr>
          <w:p>
            <w:pPr>
              <w:spacing w:after="20"/>
            </w:pPr>
            <w:r>
              <w:rPr>
                <w:b w:val="0"/>
                <w:i w:val="0"/>
                <w:sz w:val="18"/>
              </w:rPr>
              <w:t>4 unit</w:t>
            </w:r>
          </w:p>
        </w:tc>
        <w:tc>
          <w:tcPr>
            <w:tcW w:type="dxa" w:w="5616"/>
          </w:tcPr>
          <w:p>
            <w:pPr>
              <w:spacing w:after="20"/>
            </w:pPr>
            <w:r>
              <w:rPr>
                <w:b w:val="0"/>
                <w:i w:val="0"/>
                <w:sz w:val="18"/>
              </w:rPr>
              <w:t>8 sensor MQ, ESP32-S3, LoRa; 3 unit untuk RU IV + 1 cadangan</w:t>
            </w:r>
          </w:p>
        </w:tc>
      </w:tr>
      <w:tr>
        <w:tc>
          <w:tcPr>
            <w:tcW w:type="dxa" w:w="2448"/>
            <w:shd w:val="clear" w:color="auto" w:fill="FAFAF8"/>
          </w:tcPr>
          <w:p>
            <w:pPr>
              <w:spacing w:after="20"/>
            </w:pPr>
            <w:r>
              <w:rPr>
                <w:b w:val="0"/>
                <w:i w:val="0"/>
                <w:sz w:val="18"/>
              </w:rPr>
              <w:t>Cluster Head (CH)</w:t>
            </w:r>
          </w:p>
        </w:tc>
        <w:tc>
          <w:tcPr>
            <w:tcW w:type="dxa" w:w="1872"/>
            <w:shd w:val="clear" w:color="auto" w:fill="FAFAF8"/>
          </w:tcPr>
          <w:p>
            <w:pPr>
              <w:spacing w:after="20"/>
            </w:pPr>
            <w:r>
              <w:rPr>
                <w:b w:val="0"/>
                <w:i w:val="0"/>
                <w:sz w:val="18"/>
              </w:rPr>
              <w:t>16 unit</w:t>
            </w:r>
          </w:p>
        </w:tc>
        <w:tc>
          <w:tcPr>
            <w:tcW w:type="dxa" w:w="5616"/>
            <w:shd w:val="clear" w:color="auto" w:fill="FAFAF8"/>
          </w:tcPr>
          <w:p>
            <w:pPr>
              <w:spacing w:after="20"/>
            </w:pPr>
            <w:r>
              <w:rPr>
                <w:b w:val="0"/>
                <w:i w:val="0"/>
                <w:sz w:val="18"/>
              </w:rPr>
              <w:t>9 unit besar + 7 unit kecil; panel surya + baterai</w:t>
            </w:r>
          </w:p>
        </w:tc>
      </w:tr>
      <w:tr>
        <w:tc>
          <w:tcPr>
            <w:tcW w:type="dxa" w:w="2448"/>
          </w:tcPr>
          <w:p>
            <w:pPr>
              <w:spacing w:after="20"/>
            </w:pPr>
            <w:r>
              <w:rPr>
                <w:b w:val="0"/>
                <w:i w:val="0"/>
                <w:sz w:val="18"/>
              </w:rPr>
              <w:t>Gateway</w:t>
            </w:r>
          </w:p>
        </w:tc>
        <w:tc>
          <w:tcPr>
            <w:tcW w:type="dxa" w:w="1872"/>
          </w:tcPr>
          <w:p>
            <w:pPr>
              <w:spacing w:after="20"/>
            </w:pPr>
            <w:r>
              <w:rPr>
                <w:b w:val="0"/>
                <w:i w:val="0"/>
                <w:sz w:val="18"/>
              </w:rPr>
              <w:t>1 unit</w:t>
            </w:r>
          </w:p>
        </w:tc>
        <w:tc>
          <w:tcPr>
            <w:tcW w:type="dxa" w:w="5616"/>
          </w:tcPr>
          <w:p>
            <w:pPr>
              <w:spacing w:after="20"/>
            </w:pPr>
            <w:r>
              <w:rPr>
                <w:b w:val="0"/>
                <w:i w:val="0"/>
                <w:sz w:val="18"/>
              </w:rPr>
              <w:t>Radio mesh LoRa → Wi-Fi → MQTT</w:t>
            </w:r>
          </w:p>
        </w:tc>
      </w:tr>
      <w:tr>
        <w:tc>
          <w:tcPr>
            <w:tcW w:type="dxa" w:w="2448"/>
            <w:shd w:val="clear" w:color="auto" w:fill="FAFAF8"/>
          </w:tcPr>
          <w:p>
            <w:pPr>
              <w:spacing w:after="20"/>
            </w:pPr>
            <w:r>
              <w:rPr>
                <w:b w:val="0"/>
                <w:i w:val="0"/>
                <w:sz w:val="18"/>
              </w:rPr>
              <w:t>Server laboratorium</w:t>
            </w:r>
          </w:p>
        </w:tc>
        <w:tc>
          <w:tcPr>
            <w:tcW w:type="dxa" w:w="1872"/>
            <w:shd w:val="clear" w:color="auto" w:fill="FAFAF8"/>
          </w:tcPr>
          <w:p>
            <w:pPr>
              <w:spacing w:after="20"/>
            </w:pPr>
            <w:r>
              <w:rPr>
                <w:b w:val="0"/>
                <w:i w:val="0"/>
                <w:sz w:val="18"/>
              </w:rPr>
              <w:t>1 set</w:t>
            </w:r>
          </w:p>
        </w:tc>
        <w:tc>
          <w:tcPr>
            <w:tcW w:type="dxa" w:w="5616"/>
            <w:shd w:val="clear" w:color="auto" w:fill="FAFAF8"/>
          </w:tcPr>
          <w:p>
            <w:pPr>
              <w:spacing w:after="20"/>
            </w:pPr>
            <w:r>
              <w:rPr>
                <w:b w:val="0"/>
                <w:i w:val="0"/>
                <w:sz w:val="18"/>
              </w:rPr>
              <w:t>MQTT broker, backend, dan dashboard</w:t>
            </w:r>
          </w:p>
        </w:tc>
      </w:tr>
    </w:tbl>
    <w:p>
      <w:pPr>
        <w:spacing w:after="40"/>
      </w:pPr>
    </w:p>
    <w:p>
      <w:pPr>
        <w:spacing w:after="120"/>
      </w:pPr>
      <w:r>
        <w:rPr>
          <w:b w:val="0"/>
          <w:i w:val="0"/>
          <w:sz w:val="19"/>
        </w:rPr>
        <w:t>Konfigurasi firmware dan parameter radio mengacu pada Technical Datasheet Rev 4.0 Lab IoT ITB (Whole System, Gas Leak Detector, Cluster Head, Gateway, Server).</w:t>
      </w:r>
    </w:p>
    <w:p>
      <w:pPr>
        <w:pStyle w:val="Heading1"/>
      </w:pPr>
      <w:r>
        <w:rPr>
          <w:color w:val="1B2A4A"/>
        </w:rPr>
        <w:t>3. Ringkasan hasil</w:t>
      </w:r>
    </w:p>
    <w:tbl>
      <w:tblPr>
        <w:tblStyle w:val="TableGrid"/>
        <w:tblW w:type="auto" w:w="0"/>
        <w:tblLook w:firstColumn="1" w:firstRow="1" w:lastColumn="0" w:lastRow="0" w:noHBand="0" w:noVBand="1" w:val="04A0"/>
        <w:tblLayout w:type="fixed"/>
      </w:tblPr>
      <w:tblGrid>
        <w:gridCol w:w="1007"/>
        <w:gridCol w:w="2736"/>
        <w:gridCol w:w="4608"/>
        <w:gridCol w:w="1584"/>
      </w:tblGrid>
      <w:tr>
        <w:tc>
          <w:tcPr>
            <w:tcW w:type="dxa" w:w="1008"/>
            <w:shd w:val="clear" w:color="auto" w:fill="1B2A4A"/>
          </w:tcPr>
          <w:p>
            <w:pPr>
              <w:spacing w:after="20"/>
            </w:pPr>
            <w:r>
              <w:rPr>
                <w:b/>
                <w:color w:val="FFFFFF"/>
                <w:sz w:val="17"/>
              </w:rPr>
              <w:t>No</w:t>
            </w:r>
          </w:p>
        </w:tc>
        <w:tc>
          <w:tcPr>
            <w:tcW w:type="dxa" w:w="2736"/>
            <w:shd w:val="clear" w:color="auto" w:fill="1B2A4A"/>
          </w:tcPr>
          <w:p>
            <w:pPr>
              <w:spacing w:after="20"/>
            </w:pPr>
            <w:r>
              <w:rPr>
                <w:b/>
                <w:color w:val="FFFFFF"/>
                <w:sz w:val="17"/>
              </w:rPr>
              <w:t>Item uji</w:t>
            </w:r>
          </w:p>
        </w:tc>
        <w:tc>
          <w:tcPr>
            <w:tcW w:type="dxa" w:w="4608"/>
            <w:shd w:val="clear" w:color="auto" w:fill="1B2A4A"/>
          </w:tcPr>
          <w:p>
            <w:pPr>
              <w:spacing w:after="20"/>
            </w:pPr>
            <w:r>
              <w:rPr>
                <w:b/>
                <w:color w:val="FFFFFF"/>
                <w:sz w:val="17"/>
              </w:rPr>
              <w:t>Hasil utama</w:t>
            </w:r>
          </w:p>
        </w:tc>
        <w:tc>
          <w:tcPr>
            <w:tcW w:type="dxa" w:w="1584"/>
            <w:shd w:val="clear" w:color="auto" w:fill="1B2A4A"/>
          </w:tcPr>
          <w:p>
            <w:pPr>
              <w:spacing w:after="20"/>
            </w:pPr>
            <w:r>
              <w:rPr>
                <w:b/>
                <w:color w:val="FFFFFF"/>
                <w:sz w:val="17"/>
              </w:rPr>
              <w:t>Status</w:t>
            </w:r>
          </w:p>
        </w:tc>
      </w:tr>
      <w:tr>
        <w:tc>
          <w:tcPr>
            <w:tcW w:type="dxa" w:w="1008"/>
          </w:tcPr>
          <w:p>
            <w:pPr>
              <w:spacing w:after="20"/>
            </w:pPr>
            <w:r>
              <w:rPr>
                <w:b w:val="0"/>
                <w:i w:val="0"/>
                <w:sz w:val="17"/>
              </w:rPr>
              <w:t>FAT-01</w:t>
            </w:r>
          </w:p>
        </w:tc>
        <w:tc>
          <w:tcPr>
            <w:tcW w:type="dxa" w:w="2736"/>
          </w:tcPr>
          <w:p>
            <w:pPr>
              <w:spacing w:after="20"/>
            </w:pPr>
            <w:r>
              <w:rPr>
                <w:b w:val="0"/>
                <w:i w:val="0"/>
                <w:sz w:val="17"/>
              </w:rPr>
              <w:t>Akuisisi 8 sensor gas dan perekaman data</w:t>
            </w:r>
          </w:p>
        </w:tc>
        <w:tc>
          <w:tcPr>
            <w:tcW w:type="dxa" w:w="4608"/>
          </w:tcPr>
          <w:p>
            <w:pPr>
              <w:spacing w:after="20"/>
            </w:pPr>
            <w:r>
              <w:rPr>
                <w:b w:val="0"/>
                <w:i w:val="0"/>
                <w:sz w:val="17"/>
              </w:rPr>
              <w:t>8/8 sensor terbaca; dataset 1.870 pembacaan unik</w:t>
            </w:r>
          </w:p>
        </w:tc>
        <w:tc>
          <w:tcPr>
            <w:tcW w:type="dxa" w:w="1584"/>
            <w:shd w:val="clear" w:color="auto" w:fill="EAF4EC"/>
          </w:tcPr>
          <w:p>
            <w:pPr>
              <w:spacing w:after="20"/>
            </w:pPr>
            <w:r>
              <w:rPr>
                <w:b/>
                <w:color w:val="2C6B33"/>
                <w:sz w:val="16"/>
              </w:rPr>
              <w:t>LULUS (LAB)</w:t>
            </w:r>
          </w:p>
        </w:tc>
      </w:tr>
      <w:tr>
        <w:tc>
          <w:tcPr>
            <w:tcW w:type="dxa" w:w="1008"/>
            <w:shd w:val="clear" w:color="auto" w:fill="FAFAF8"/>
          </w:tcPr>
          <w:p>
            <w:pPr>
              <w:spacing w:after="20"/>
            </w:pPr>
            <w:r>
              <w:rPr>
                <w:b w:val="0"/>
                <w:i w:val="0"/>
                <w:sz w:val="17"/>
              </w:rPr>
              <w:t>FAT-02</w:t>
            </w:r>
          </w:p>
        </w:tc>
        <w:tc>
          <w:tcPr>
            <w:tcW w:type="dxa" w:w="2736"/>
            <w:shd w:val="clear" w:color="auto" w:fill="FAFAF8"/>
          </w:tcPr>
          <w:p>
            <w:pPr>
              <w:spacing w:after="20"/>
            </w:pPr>
            <w:r>
              <w:rPr>
                <w:b w:val="0"/>
                <w:i w:val="0"/>
                <w:sz w:val="17"/>
              </w:rPr>
              <w:t>Klasifikasi gas oleh AI di dalam perangkat (on-device)</w:t>
            </w:r>
          </w:p>
        </w:tc>
        <w:tc>
          <w:tcPr>
            <w:tcW w:type="dxa" w:w="4608"/>
            <w:shd w:val="clear" w:color="auto" w:fill="FAFAF8"/>
          </w:tcPr>
          <w:p>
            <w:pPr>
              <w:spacing w:after="20"/>
            </w:pPr>
            <w:r>
              <w:rPr>
                <w:b w:val="0"/>
                <w:i w:val="0"/>
                <w:sz w:val="17"/>
              </w:rPr>
              <w:t>Akurasi uji 99,73%; INT8 di chip 99,20%; real-time di perangkat 97,65%</w:t>
            </w:r>
          </w:p>
        </w:tc>
        <w:tc>
          <w:tcPr>
            <w:tcW w:type="dxa" w:w="1584"/>
            <w:shd w:val="clear" w:color="auto" w:fill="EAF4EC"/>
          </w:tcPr>
          <w:p>
            <w:pPr>
              <w:spacing w:after="20"/>
            </w:pPr>
            <w:r>
              <w:rPr>
                <w:b/>
                <w:color w:val="2C6B33"/>
                <w:sz w:val="16"/>
              </w:rPr>
              <w:t>LULUS (LAB)</w:t>
            </w:r>
          </w:p>
        </w:tc>
      </w:tr>
      <w:tr>
        <w:tc>
          <w:tcPr>
            <w:tcW w:type="dxa" w:w="1008"/>
          </w:tcPr>
          <w:p>
            <w:pPr>
              <w:spacing w:after="20"/>
            </w:pPr>
            <w:r>
              <w:rPr>
                <w:b w:val="0"/>
                <w:i w:val="0"/>
                <w:sz w:val="17"/>
              </w:rPr>
              <w:t>FAT-03</w:t>
            </w:r>
          </w:p>
        </w:tc>
        <w:tc>
          <w:tcPr>
            <w:tcW w:type="dxa" w:w="2736"/>
          </w:tcPr>
          <w:p>
            <w:pPr>
              <w:spacing w:after="20"/>
            </w:pPr>
            <w:r>
              <w:rPr>
                <w:b w:val="0"/>
                <w:i w:val="0"/>
                <w:sz w:val="17"/>
              </w:rPr>
              <w:t>Komunikasi radio LoRa GLD ke Cluster Head</w:t>
            </w:r>
          </w:p>
        </w:tc>
        <w:tc>
          <w:tcPr>
            <w:tcW w:type="dxa" w:w="4608"/>
          </w:tcPr>
          <w:p>
            <w:pPr>
              <w:spacing w:after="20"/>
            </w:pPr>
            <w:r>
              <w:rPr>
                <w:b w:val="0"/>
                <w:i w:val="0"/>
                <w:sz w:val="17"/>
              </w:rPr>
              <w:t>PDR 100% pada 177 m dan 243 m; 87% pada 200 m terhalang gedung</w:t>
            </w:r>
          </w:p>
        </w:tc>
        <w:tc>
          <w:tcPr>
            <w:tcW w:type="dxa" w:w="1584"/>
            <w:shd w:val="clear" w:color="auto" w:fill="EAF4EC"/>
          </w:tcPr>
          <w:p>
            <w:pPr>
              <w:spacing w:after="20"/>
            </w:pPr>
            <w:r>
              <w:rPr>
                <w:b/>
                <w:color w:val="2C6B33"/>
                <w:sz w:val="16"/>
              </w:rPr>
              <w:t>LULUS (LAB)</w:t>
            </w:r>
          </w:p>
        </w:tc>
      </w:tr>
      <w:tr>
        <w:tc>
          <w:tcPr>
            <w:tcW w:type="dxa" w:w="1008"/>
            <w:shd w:val="clear" w:color="auto" w:fill="FAFAF8"/>
          </w:tcPr>
          <w:p>
            <w:pPr>
              <w:spacing w:after="20"/>
            </w:pPr>
            <w:r>
              <w:rPr>
                <w:b w:val="0"/>
                <w:i w:val="0"/>
                <w:sz w:val="17"/>
              </w:rPr>
              <w:t>FAT-04</w:t>
            </w:r>
          </w:p>
        </w:tc>
        <w:tc>
          <w:tcPr>
            <w:tcW w:type="dxa" w:w="2736"/>
            <w:shd w:val="clear" w:color="auto" w:fill="FAFAF8"/>
          </w:tcPr>
          <w:p>
            <w:pPr>
              <w:spacing w:after="20"/>
            </w:pPr>
            <w:r>
              <w:rPr>
                <w:b w:val="0"/>
                <w:i w:val="0"/>
                <w:sz w:val="17"/>
              </w:rPr>
              <w:t>Jaringan mesh multi-hop dan failover Cluster Head</w:t>
            </w:r>
          </w:p>
        </w:tc>
        <w:tc>
          <w:tcPr>
            <w:tcW w:type="dxa" w:w="4608"/>
            <w:shd w:val="clear" w:color="auto" w:fill="FAFAF8"/>
          </w:tcPr>
          <w:p>
            <w:pPr>
              <w:spacing w:after="20"/>
            </w:pPr>
            <w:r>
              <w:rPr>
                <w:b w:val="0"/>
                <w:i w:val="0"/>
                <w:sz w:val="17"/>
              </w:rPr>
              <w:t>Mesh 8 CH, 3 lapis; failover tanpa kehilangan data; downlink berhasil</w:t>
            </w:r>
          </w:p>
        </w:tc>
        <w:tc>
          <w:tcPr>
            <w:tcW w:type="dxa" w:w="1584"/>
            <w:shd w:val="clear" w:color="auto" w:fill="EAF4EC"/>
          </w:tcPr>
          <w:p>
            <w:pPr>
              <w:spacing w:after="20"/>
            </w:pPr>
            <w:r>
              <w:rPr>
                <w:b/>
                <w:color w:val="2C6B33"/>
                <w:sz w:val="16"/>
              </w:rPr>
              <w:t>LULUS (LAB)</w:t>
            </w:r>
          </w:p>
        </w:tc>
      </w:tr>
      <w:tr>
        <w:tc>
          <w:tcPr>
            <w:tcW w:type="dxa" w:w="1008"/>
          </w:tcPr>
          <w:p>
            <w:pPr>
              <w:spacing w:after="20"/>
            </w:pPr>
            <w:r>
              <w:rPr>
                <w:b w:val="0"/>
                <w:i w:val="0"/>
                <w:sz w:val="17"/>
              </w:rPr>
              <w:t>FAT-05</w:t>
            </w:r>
          </w:p>
        </w:tc>
        <w:tc>
          <w:tcPr>
            <w:tcW w:type="dxa" w:w="2736"/>
          </w:tcPr>
          <w:p>
            <w:pPr>
              <w:spacing w:after="20"/>
            </w:pPr>
            <w:r>
              <w:rPr>
                <w:b w:val="0"/>
                <w:i w:val="0"/>
                <w:sz w:val="17"/>
              </w:rPr>
              <w:t>Integrasi end-to-end GLD – CH – Gateway – Server</w:t>
            </w:r>
          </w:p>
        </w:tc>
        <w:tc>
          <w:tcPr>
            <w:tcW w:type="dxa" w:w="4608"/>
          </w:tcPr>
          <w:p>
            <w:pPr>
              <w:spacing w:after="20"/>
            </w:pPr>
            <w:r>
              <w:rPr>
                <w:b w:val="0"/>
                <w:i w:val="0"/>
                <w:sz w:val="17"/>
              </w:rPr>
              <w:t>Data mengalir end-to-end GLD–CH–Gateway–Server</w:t>
            </w:r>
          </w:p>
        </w:tc>
        <w:tc>
          <w:tcPr>
            <w:tcW w:type="dxa" w:w="1584"/>
            <w:shd w:val="clear" w:color="auto" w:fill="EAF4EC"/>
          </w:tcPr>
          <w:p>
            <w:pPr>
              <w:spacing w:after="20"/>
            </w:pPr>
            <w:r>
              <w:rPr>
                <w:b/>
                <w:color w:val="2C6B33"/>
                <w:sz w:val="16"/>
              </w:rPr>
              <w:t>LULUS (LAB)</w:t>
            </w:r>
          </w:p>
        </w:tc>
      </w:tr>
      <w:tr>
        <w:tc>
          <w:tcPr>
            <w:tcW w:type="dxa" w:w="1008"/>
            <w:shd w:val="clear" w:color="auto" w:fill="FAFAF8"/>
          </w:tcPr>
          <w:p>
            <w:pPr>
              <w:spacing w:after="20"/>
            </w:pPr>
            <w:r>
              <w:rPr>
                <w:b w:val="0"/>
                <w:i w:val="0"/>
                <w:sz w:val="17"/>
              </w:rPr>
              <w:t>FAT-06</w:t>
            </w:r>
          </w:p>
        </w:tc>
        <w:tc>
          <w:tcPr>
            <w:tcW w:type="dxa" w:w="2736"/>
            <w:shd w:val="clear" w:color="auto" w:fill="FAFAF8"/>
          </w:tcPr>
          <w:p>
            <w:pPr>
              <w:spacing w:after="20"/>
            </w:pPr>
            <w:r>
              <w:rPr>
                <w:b w:val="0"/>
                <w:i w:val="0"/>
                <w:sz w:val="17"/>
              </w:rPr>
              <w:t>Alarm otomatis (push alarm)</w:t>
            </w:r>
          </w:p>
        </w:tc>
        <w:tc>
          <w:tcPr>
            <w:tcW w:type="dxa" w:w="4608"/>
            <w:shd w:val="clear" w:color="auto" w:fill="FAFAF8"/>
          </w:tcPr>
          <w:p>
            <w:pPr>
              <w:spacing w:after="20"/>
            </w:pPr>
            <w:r>
              <w:rPr>
                <w:b w:val="0"/>
                <w:i w:val="0"/>
                <w:sz w:val="17"/>
              </w:rPr>
              <w:t>Alarm otomatis saat GLD disemprot LPG; diterima server di bawah 30 detik</w:t>
            </w:r>
          </w:p>
        </w:tc>
        <w:tc>
          <w:tcPr>
            <w:tcW w:type="dxa" w:w="1584"/>
            <w:shd w:val="clear" w:color="auto" w:fill="EAF4EC"/>
          </w:tcPr>
          <w:p>
            <w:pPr>
              <w:spacing w:after="20"/>
            </w:pPr>
            <w:r>
              <w:rPr>
                <w:b/>
                <w:color w:val="2C6B33"/>
                <w:sz w:val="16"/>
              </w:rPr>
              <w:t>LULUS (LAB)</w:t>
            </w:r>
          </w:p>
        </w:tc>
      </w:tr>
      <w:tr>
        <w:tc>
          <w:tcPr>
            <w:tcW w:type="dxa" w:w="1008"/>
          </w:tcPr>
          <w:p>
            <w:pPr>
              <w:spacing w:after="20"/>
            </w:pPr>
            <w:r>
              <w:rPr>
                <w:b w:val="0"/>
                <w:i w:val="0"/>
                <w:sz w:val="17"/>
              </w:rPr>
              <w:t>FAT-07</w:t>
            </w:r>
          </w:p>
        </w:tc>
        <w:tc>
          <w:tcPr>
            <w:tcW w:type="dxa" w:w="2736"/>
          </w:tcPr>
          <w:p>
            <w:pPr>
              <w:spacing w:after="20"/>
            </w:pPr>
            <w:r>
              <w:rPr>
                <w:b w:val="0"/>
                <w:i w:val="0"/>
                <w:sz w:val="17"/>
              </w:rPr>
              <w:t>Monitoring data dan alarm di dashboard</w:t>
            </w:r>
          </w:p>
        </w:tc>
        <w:tc>
          <w:tcPr>
            <w:tcW w:type="dxa" w:w="4608"/>
          </w:tcPr>
          <w:p>
            <w:pPr>
              <w:spacing w:after="20"/>
            </w:pPr>
            <w:r>
              <w:rPr>
                <w:b w:val="0"/>
                <w:i w:val="0"/>
                <w:sz w:val="17"/>
              </w:rPr>
              <w:t>Data dan alarm tampil di dashboard laboratorium</w:t>
            </w:r>
          </w:p>
        </w:tc>
        <w:tc>
          <w:tcPr>
            <w:tcW w:type="dxa" w:w="1584"/>
            <w:shd w:val="clear" w:color="auto" w:fill="EAF4EC"/>
          </w:tcPr>
          <w:p>
            <w:pPr>
              <w:spacing w:after="20"/>
            </w:pPr>
            <w:r>
              <w:rPr>
                <w:b/>
                <w:color w:val="2C6B33"/>
                <w:sz w:val="16"/>
              </w:rPr>
              <w:t>LULUS (LAB)</w:t>
            </w:r>
          </w:p>
        </w:tc>
      </w:tr>
    </w:tbl>
    <w:p>
      <w:pPr>
        <w:spacing w:after="40"/>
      </w:pPr>
    </w:p>
    <w:p>
      <w:pPr>
        <w:spacing w:after="120"/>
      </w:pPr>
      <w:r>
        <w:rPr>
          <w:b w:val="0"/>
          <w:i w:val="0"/>
          <w:color w:val="5B5B5B"/>
          <w:sz w:val="18"/>
        </w:rPr>
        <w:t>LULUS (LAB) = kriteria lulus terpenuhi pada pengujian laboratorium. Ketujuh item lulus. Penerimaan resmi ditetapkan melalui lembar pengesahan (Bagian 6).</w:t>
      </w:r>
    </w:p>
    <w:p>
      <w:pPr>
        <w:pStyle w:val="Heading1"/>
      </w:pPr>
      <w:r>
        <w:rPr>
          <w:color w:val="1B2A4A"/>
        </w:rPr>
        <w:t>4. Rincian per item uji</w:t>
      </w:r>
    </w:p>
    <w:p>
      <w:pPr>
        <w:pStyle w:val="Heading2"/>
      </w:pPr>
      <w:r>
        <w:rPr>
          <w:color w:val="1B2A4A"/>
        </w:rPr>
        <w:t>FAT-01 — Akuisisi 8 sensor gas dan perekaman data</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kedelapan sensor MQ pada node GLD terbaca valid dan datanya dapat direkam.</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Node GLD dinyalakan pada kondisi udara bersih dan paparan gas uji; pembacaan 8 kanal (MQ2, MQ3, MQ4, MQ5, MQ6, MQ7, MQ8, MQ135) direkam untuk penyusunan dataset.</w:t>
            </w:r>
          </w:p>
        </w:tc>
      </w:tr>
      <w:tr>
        <w:tc>
          <w:tcPr>
            <w:tcW w:type="dxa" w:w="2016"/>
          </w:tcPr>
          <w:p>
            <w:pPr>
              <w:spacing w:after="20"/>
            </w:pPr>
            <w:r>
              <w:rPr>
                <w:b w:val="0"/>
                <w:i w:val="0"/>
                <w:sz w:val="18"/>
              </w:rPr>
              <w:t>Kriteria lulus</w:t>
            </w:r>
          </w:p>
        </w:tc>
        <w:tc>
          <w:tcPr>
            <w:tcW w:type="dxa" w:w="7920"/>
          </w:tcPr>
          <w:p>
            <w:pPr>
              <w:spacing w:after="20"/>
            </w:pPr>
            <w:r>
              <w:rPr>
                <w:b w:val="0"/>
                <w:i w:val="0"/>
                <w:sz w:val="18"/>
              </w:rPr>
              <w:t>8 dari 8 kanal sensor menghasilkan pembacaan valid dan konsisten; data tersimpan.</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Dataset 1.870 pembacaan unik dari 8 sensor pada 3 kondisi gas berhasil disusun (80% latih / 20% uji).</w:t>
            </w:r>
          </w:p>
        </w:tc>
      </w:tr>
      <w:tr>
        <w:tc>
          <w:tcPr>
            <w:tcW w:type="dxa" w:w="2016"/>
          </w:tcPr>
          <w:p>
            <w:pPr>
              <w:spacing w:after="20"/>
            </w:pPr>
            <w:r>
              <w:rPr>
                <w:b w:val="0"/>
                <w:i w:val="0"/>
                <w:sz w:val="18"/>
              </w:rPr>
              <w:t>Bukti</w:t>
            </w:r>
          </w:p>
        </w:tc>
        <w:tc>
          <w:tcPr>
            <w:tcW w:type="dxa" w:w="7920"/>
          </w:tcPr>
          <w:p>
            <w:pPr>
              <w:spacing w:after="20"/>
            </w:pPr>
            <w:r>
              <w:rPr>
                <w:b w:val="0"/>
                <w:i w:val="0"/>
                <w:sz w:val="18"/>
              </w:rPr>
              <w:t>Presentasi hasil model CNN Dual-Branch (slide 4: data yang digunakan); dataset Lab IoT ITB.</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2"/>
      </w:pPr>
      <w:r>
        <w:rPr>
          <w:color w:val="1B2A4A"/>
        </w:rPr>
        <w:t>FAT-02 — Klasifikasi gas oleh AI di dalam perangkat (on-device)</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model AI berjalan langsung di ESP32-S3 dan mengklasifikasikan kondisi gas dengan akurat.</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Model dilatih dan diuji pada data yang belum pernah dilihat, dikuantisasi INT8, ditanam di firmware, lalu diuji real-time di board ESP32-S3 (device 1001) terhadap gas sebenarnya.</w:t>
            </w:r>
          </w:p>
        </w:tc>
      </w:tr>
      <w:tr>
        <w:tc>
          <w:tcPr>
            <w:tcW w:type="dxa" w:w="2016"/>
          </w:tcPr>
          <w:p>
            <w:pPr>
              <w:spacing w:after="20"/>
            </w:pPr>
            <w:r>
              <w:rPr>
                <w:b w:val="0"/>
                <w:i w:val="0"/>
                <w:sz w:val="18"/>
              </w:rPr>
              <w:t>Kriteria lulus</w:t>
            </w:r>
          </w:p>
        </w:tc>
        <w:tc>
          <w:tcPr>
            <w:tcW w:type="dxa" w:w="7920"/>
          </w:tcPr>
          <w:p>
            <w:pPr>
              <w:spacing w:after="20"/>
            </w:pPr>
            <w:r>
              <w:rPr>
                <w:b w:val="0"/>
                <w:i w:val="0"/>
                <w:sz w:val="18"/>
              </w:rPr>
              <w:t>Model muat di memori ESP32-S3 dan menghasilkan klasifikasi benar pada uji real-time (KPI proposal: Classification Accuracy).</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Akurasi data uji 99,73% (374 data, F1 rata-rata 99,56%); model INT8 9,14 KB akurasi 99,20%; uji real-time di perangkat ±11,7 menit nonstop, 1.176 pembacaan, akurasi 97,65% (H2 presisi 98,4%; udara bersih 96,9%).</w:t>
            </w:r>
          </w:p>
        </w:tc>
      </w:tr>
      <w:tr>
        <w:tc>
          <w:tcPr>
            <w:tcW w:type="dxa" w:w="2016"/>
          </w:tcPr>
          <w:p>
            <w:pPr>
              <w:spacing w:after="20"/>
            </w:pPr>
            <w:r>
              <w:rPr>
                <w:b w:val="0"/>
                <w:i w:val="0"/>
                <w:sz w:val="18"/>
              </w:rPr>
              <w:t>Bukti</w:t>
            </w:r>
          </w:p>
        </w:tc>
        <w:tc>
          <w:tcPr>
            <w:tcW w:type="dxa" w:w="7920"/>
          </w:tcPr>
          <w:p>
            <w:pPr>
              <w:spacing w:after="20"/>
            </w:pPr>
            <w:r>
              <w:rPr>
                <w:b w:val="0"/>
                <w:i w:val="0"/>
                <w:sz w:val="18"/>
              </w:rPr>
              <w:t>Presentasi hasil model CNN Dual-Branch (slide 8–10: hasil uji, uji real-time, kuantisasi).</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2"/>
      </w:pPr>
      <w:r>
        <w:rPr>
          <w:color w:val="1B2A4A"/>
        </w:rPr>
        <w:t>FAT-03 — Komunikasi radio LoRa GLD ke Cluster Head</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data GLD terkirim ke Cluster Head (CH) pada jarak dan kondisi lingkungan nyata.</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Pengirim ditempatkan di beberapa titik kampus ITB dengan jarak berbeda; RSSI, SNR, dan packet delivery ratio (PDR) dicatat per titik (100 paket per titik).</w:t>
            </w:r>
          </w:p>
        </w:tc>
      </w:tr>
      <w:tr>
        <w:tc>
          <w:tcPr>
            <w:tcW w:type="dxa" w:w="2016"/>
          </w:tcPr>
          <w:p>
            <w:pPr>
              <w:spacing w:after="20"/>
            </w:pPr>
            <w:r>
              <w:rPr>
                <w:b w:val="0"/>
                <w:i w:val="0"/>
                <w:sz w:val="18"/>
              </w:rPr>
              <w:t>Kriteria lulus</w:t>
            </w:r>
          </w:p>
        </w:tc>
        <w:tc>
          <w:tcPr>
            <w:tcW w:type="dxa" w:w="7920"/>
          </w:tcPr>
          <w:p>
            <w:pPr>
              <w:spacing w:after="20"/>
            </w:pPr>
            <w:r>
              <w:rPr>
                <w:b w:val="0"/>
                <w:i w:val="0"/>
                <w:sz w:val="18"/>
              </w:rPr>
              <w:t>PDR 100% pada jarak operasional yang direncanakan antar-hop.</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PDR 100% pada 177 m (depan LFT) dan 243 m (Gerbang Utara); PDR 87% pada 200 m terhalang gedung (STEI Lt.2); di atas ±340 m atau terhalang berat link putus. Keterbatasan jarak per-hop diatasi dengan jaringan mesh multi-hop (FAT-04).</w:t>
            </w:r>
          </w:p>
        </w:tc>
      </w:tr>
      <w:tr>
        <w:tc>
          <w:tcPr>
            <w:tcW w:type="dxa" w:w="2016"/>
          </w:tcPr>
          <w:p>
            <w:pPr>
              <w:spacing w:after="20"/>
            </w:pPr>
            <w:r>
              <w:rPr>
                <w:b w:val="0"/>
                <w:i w:val="0"/>
                <w:sz w:val="18"/>
              </w:rPr>
              <w:t>Bukti</w:t>
            </w:r>
          </w:p>
        </w:tc>
        <w:tc>
          <w:tcPr>
            <w:tcW w:type="dxa" w:w="7920"/>
          </w:tcPr>
          <w:p>
            <w:pPr>
              <w:spacing w:after="20"/>
            </w:pPr>
            <w:r>
              <w:rPr>
                <w:b w:val="0"/>
                <w:i w:val="0"/>
                <w:sz w:val="18"/>
              </w:rPr>
              <w:t>Lembar kerja uji sinyal LoRa (Test Sinyal LoRa.xlsx).</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2"/>
      </w:pPr>
      <w:r>
        <w:rPr>
          <w:color w:val="1B2A4A"/>
        </w:rPr>
        <w:t>FAT-04 — Jaringan mesh multi-hop dan failover Cluster Head</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CH dapat saling meneruskan data (multi-hop) dan jaringan pulih saat satu CH mati.</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8 CH dipasang se-kampus ITB dalam 3 lapis menuju Gateway; satu CH dimatikan untuk menguji pengalihan jalur; perintah downlink dikirim dari Gateway ke GLD melalui mesh.</w:t>
            </w:r>
          </w:p>
        </w:tc>
      </w:tr>
      <w:tr>
        <w:tc>
          <w:tcPr>
            <w:tcW w:type="dxa" w:w="2016"/>
          </w:tcPr>
          <w:p>
            <w:pPr>
              <w:spacing w:after="20"/>
            </w:pPr>
            <w:r>
              <w:rPr>
                <w:b w:val="0"/>
                <w:i w:val="0"/>
                <w:sz w:val="18"/>
              </w:rPr>
              <w:t>Kriteria lulus</w:t>
            </w:r>
          </w:p>
        </w:tc>
        <w:tc>
          <w:tcPr>
            <w:tcW w:type="dxa" w:w="7920"/>
          </w:tcPr>
          <w:p>
            <w:pPr>
              <w:spacing w:after="20"/>
            </w:pPr>
            <w:r>
              <w:rPr>
                <w:b w:val="0"/>
                <w:i w:val="0"/>
                <w:sz w:val="18"/>
              </w:rPr>
              <w:t>Semua CH terhubung ke Gateway; saat satu CH mati, node berpindah jalur tanpa kehilangan data; downlink sampai ke GLD.</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Topologi 3 lapis terbentuk (kedalaman rute 1–3); saat CH2 dimatikan, CH1 berpindah langsung ke Gateway tanpa kehilangan data; downlink Gateway→CH→GLD berhasil melalui mesh.</w:t>
            </w:r>
          </w:p>
        </w:tc>
      </w:tr>
      <w:tr>
        <w:tc>
          <w:tcPr>
            <w:tcW w:type="dxa" w:w="2016"/>
          </w:tcPr>
          <w:p>
            <w:pPr>
              <w:spacing w:after="20"/>
            </w:pPr>
            <w:r>
              <w:rPr>
                <w:b w:val="0"/>
                <w:i w:val="0"/>
                <w:sz w:val="18"/>
              </w:rPr>
              <w:t>Bukti</w:t>
            </w:r>
          </w:p>
        </w:tc>
        <w:tc>
          <w:tcPr>
            <w:tcW w:type="dxa" w:w="7920"/>
          </w:tcPr>
          <w:p>
            <w:pPr>
              <w:spacing w:after="20"/>
            </w:pPr>
            <w:r>
              <w:rPr>
                <w:b w:val="0"/>
                <w:i w:val="0"/>
                <w:sz w:val="18"/>
              </w:rPr>
              <w:t>Catatan uji CH (Mei 2026) dan uji mesh 8 CH (16 Juli 2026), Lab IoT ITB.</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2"/>
      </w:pPr>
      <w:r>
        <w:rPr>
          <w:color w:val="1B2A4A"/>
        </w:rPr>
        <w:t>FAT-05 — Integrasi end-to-end GLD – CH – Gateway – Server</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data mengalir utuh dari node sensor sampai server.</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Rangkaian lengkap GLD, CH, Gateway, dan server (MQTT broker + backend) dijalankan bersama.</w:t>
            </w:r>
          </w:p>
        </w:tc>
      </w:tr>
      <w:tr>
        <w:tc>
          <w:tcPr>
            <w:tcW w:type="dxa" w:w="2016"/>
          </w:tcPr>
          <w:p>
            <w:pPr>
              <w:spacing w:after="20"/>
            </w:pPr>
            <w:r>
              <w:rPr>
                <w:b w:val="0"/>
                <w:i w:val="0"/>
                <w:sz w:val="18"/>
              </w:rPr>
              <w:t>Kriteria lulus</w:t>
            </w:r>
          </w:p>
        </w:tc>
        <w:tc>
          <w:tcPr>
            <w:tcW w:type="dxa" w:w="7920"/>
          </w:tcPr>
          <w:p>
            <w:pPr>
              <w:spacing w:after="20"/>
            </w:pPr>
            <w:r>
              <w:rPr>
                <w:b w:val="0"/>
                <w:i w:val="0"/>
                <w:sz w:val="18"/>
              </w:rPr>
              <w:t>Data node diterima server melalui seluruh rantai tanpa intervensi manual.</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Rantai GLD–CH–Gateway–Server berjalan end-to-end di laboratorium (uji fungsional 16 Juli 2026).</w:t>
            </w:r>
          </w:p>
        </w:tc>
      </w:tr>
      <w:tr>
        <w:tc>
          <w:tcPr>
            <w:tcW w:type="dxa" w:w="2016"/>
          </w:tcPr>
          <w:p>
            <w:pPr>
              <w:spacing w:after="20"/>
            </w:pPr>
            <w:r>
              <w:rPr>
                <w:b w:val="0"/>
                <w:i w:val="0"/>
                <w:sz w:val="18"/>
              </w:rPr>
              <w:t>Bukti</w:t>
            </w:r>
          </w:p>
        </w:tc>
        <w:tc>
          <w:tcPr>
            <w:tcW w:type="dxa" w:w="7920"/>
          </w:tcPr>
          <w:p>
            <w:pPr>
              <w:spacing w:after="20"/>
            </w:pPr>
            <w:r>
              <w:rPr>
                <w:b w:val="0"/>
                <w:i w:val="0"/>
                <w:sz w:val="18"/>
              </w:rPr>
              <w:t>Catatan uji fungsional 16 Juli 2026; Technical Datasheet Rev 4.0 (Whole System, Gateway, Server).</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2"/>
      </w:pPr>
      <w:r>
        <w:rPr>
          <w:color w:val="1B2A4A"/>
        </w:rPr>
        <w:t>FAT-06 — Alarm otomatis (push alarm)</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kebocoran gas memicu alarm di server secara otomatis, tanpa menunggu permintaan data.</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Pada konfigurasi Gateway + 3 CH, GLD disemprot gas LPG; status di server diamati.</w:t>
            </w:r>
          </w:p>
        </w:tc>
      </w:tr>
      <w:tr>
        <w:tc>
          <w:tcPr>
            <w:tcW w:type="dxa" w:w="2016"/>
          </w:tcPr>
          <w:p>
            <w:pPr>
              <w:spacing w:after="20"/>
            </w:pPr>
            <w:r>
              <w:rPr>
                <w:b w:val="0"/>
                <w:i w:val="0"/>
                <w:sz w:val="18"/>
              </w:rPr>
              <w:t>Kriteria lulus</w:t>
            </w:r>
          </w:p>
        </w:tc>
        <w:tc>
          <w:tcPr>
            <w:tcW w:type="dxa" w:w="7920"/>
          </w:tcPr>
          <w:p>
            <w:pPr>
              <w:spacing w:after="20"/>
            </w:pPr>
            <w:r>
              <w:rPr>
                <w:b w:val="0"/>
                <w:i w:val="0"/>
                <w:sz w:val="18"/>
              </w:rPr>
              <w:t>Status server berubah menjadi alarm secara otomatis (KPI proposal: Response Time ≤30 detik).</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Status server berubah menjadi alarm otomatis tanpa pull request (uji 6–8 Agustus 2026). Inferensi AI berjalan langsung di perangkat sehingga keputusan alarm diambil di node tanpa menunggu server; alarm diterima server di bawah target ≤30 detik (dikonfirmasi tim Lab IoT ITB; desain sistem mengirim alarm ±10 detik).</w:t>
            </w:r>
          </w:p>
        </w:tc>
      </w:tr>
      <w:tr>
        <w:tc>
          <w:tcPr>
            <w:tcW w:type="dxa" w:w="2016"/>
          </w:tcPr>
          <w:p>
            <w:pPr>
              <w:spacing w:after="20"/>
            </w:pPr>
            <w:r>
              <w:rPr>
                <w:b w:val="0"/>
                <w:i w:val="0"/>
                <w:sz w:val="18"/>
              </w:rPr>
              <w:t>Bukti</w:t>
            </w:r>
          </w:p>
        </w:tc>
        <w:tc>
          <w:tcPr>
            <w:tcW w:type="dxa" w:w="7920"/>
          </w:tcPr>
          <w:p>
            <w:pPr>
              <w:spacing w:after="20"/>
            </w:pPr>
            <w:r>
              <w:rPr>
                <w:b w:val="0"/>
                <w:i w:val="0"/>
                <w:sz w:val="18"/>
              </w:rPr>
              <w:t>Demo uji mesh kampus 6–8 Agustus 2026, disaksikan saat kunjungan Pertamina 6 Agustus 2026.</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2"/>
      </w:pPr>
      <w:r>
        <w:rPr>
          <w:color w:val="1B2A4A"/>
        </w:rPr>
        <w:t>FAT-07 — Monitoring data dan alarm di dashboard</w:t>
      </w:r>
    </w:p>
    <w:tbl>
      <w:tblPr>
        <w:tblStyle w:val="TableGrid"/>
        <w:tblW w:type="auto" w:w="0"/>
        <w:tblLook w:firstColumn="1" w:firstRow="1" w:lastColumn="0" w:lastRow="0" w:noHBand="0" w:noVBand="1" w:val="04A0"/>
        <w:tblLayout w:type="fixed"/>
      </w:tblPr>
      <w:tblGrid>
        <w:gridCol w:w="2015"/>
        <w:gridCol w:w="7920"/>
      </w:tblGrid>
      <w:tr>
        <w:tc>
          <w:tcPr>
            <w:tcW w:type="dxa" w:w="2016"/>
            <w:shd w:val="clear" w:color="auto" w:fill="1B2A4A"/>
          </w:tcPr>
          <w:p>
            <w:pPr>
              <w:spacing w:after="20"/>
            </w:pPr>
            <w:r>
              <w:rPr>
                <w:b/>
                <w:color w:val="FFFFFF"/>
                <w:sz w:val="18"/>
              </w:rPr>
              <w:t>Aspek</w:t>
            </w:r>
          </w:p>
        </w:tc>
        <w:tc>
          <w:tcPr>
            <w:tcW w:type="dxa" w:w="7920"/>
            <w:shd w:val="clear" w:color="auto" w:fill="1B2A4A"/>
          </w:tcPr>
          <w:p>
            <w:pPr>
              <w:spacing w:after="20"/>
            </w:pPr>
            <w:r>
              <w:rPr>
                <w:b/>
                <w:color w:val="FFFFFF"/>
                <w:sz w:val="18"/>
              </w:rPr>
              <w:t>Uraian</w:t>
            </w:r>
          </w:p>
        </w:tc>
      </w:tr>
      <w:tr>
        <w:tc>
          <w:tcPr>
            <w:tcW w:type="dxa" w:w="2016"/>
          </w:tcPr>
          <w:p>
            <w:pPr>
              <w:spacing w:after="20"/>
            </w:pPr>
            <w:r>
              <w:rPr>
                <w:b w:val="0"/>
                <w:i w:val="0"/>
                <w:sz w:val="18"/>
              </w:rPr>
              <w:t>Tujuan</w:t>
            </w:r>
          </w:p>
        </w:tc>
        <w:tc>
          <w:tcPr>
            <w:tcW w:type="dxa" w:w="7920"/>
          </w:tcPr>
          <w:p>
            <w:pPr>
              <w:spacing w:after="20"/>
            </w:pPr>
            <w:r>
              <w:rPr>
                <w:b w:val="0"/>
                <w:i w:val="0"/>
                <w:sz w:val="18"/>
              </w:rPr>
              <w:t>Memastikan data sensor dan alarm dapat dipantau pada aplikasi.</w:t>
            </w:r>
          </w:p>
        </w:tc>
      </w:tr>
      <w:tr>
        <w:tc>
          <w:tcPr>
            <w:tcW w:type="dxa" w:w="2016"/>
            <w:shd w:val="clear" w:color="auto" w:fill="FAFAF8"/>
          </w:tcPr>
          <w:p>
            <w:pPr>
              <w:spacing w:after="20"/>
            </w:pPr>
            <w:r>
              <w:rPr>
                <w:b w:val="0"/>
                <w:i w:val="0"/>
                <w:sz w:val="18"/>
              </w:rPr>
              <w:t>Prosedur</w:t>
            </w:r>
          </w:p>
        </w:tc>
        <w:tc>
          <w:tcPr>
            <w:tcW w:type="dxa" w:w="7920"/>
            <w:shd w:val="clear" w:color="auto" w:fill="FAFAF8"/>
          </w:tcPr>
          <w:p>
            <w:pPr>
              <w:spacing w:after="20"/>
            </w:pPr>
            <w:r>
              <w:rPr>
                <w:b w:val="0"/>
                <w:i w:val="0"/>
                <w:sz w:val="18"/>
              </w:rPr>
              <w:t>Data dan alarm dari rangkaian uji ditampilkan di server/dashboard laboratorium.</w:t>
            </w:r>
          </w:p>
        </w:tc>
      </w:tr>
      <w:tr>
        <w:tc>
          <w:tcPr>
            <w:tcW w:type="dxa" w:w="2016"/>
          </w:tcPr>
          <w:p>
            <w:pPr>
              <w:spacing w:after="20"/>
            </w:pPr>
            <w:r>
              <w:rPr>
                <w:b w:val="0"/>
                <w:i w:val="0"/>
                <w:sz w:val="18"/>
              </w:rPr>
              <w:t>Kriteria lulus</w:t>
            </w:r>
          </w:p>
        </w:tc>
        <w:tc>
          <w:tcPr>
            <w:tcW w:type="dxa" w:w="7920"/>
          </w:tcPr>
          <w:p>
            <w:pPr>
              <w:spacing w:after="20"/>
            </w:pPr>
            <w:r>
              <w:rPr>
                <w:b w:val="0"/>
                <w:i w:val="0"/>
                <w:sz w:val="18"/>
              </w:rPr>
              <w:t>Data dan status alarm tiap node tampil di dashboard.</w:t>
            </w:r>
          </w:p>
        </w:tc>
      </w:tr>
      <w:tr>
        <w:tc>
          <w:tcPr>
            <w:tcW w:type="dxa" w:w="2016"/>
            <w:shd w:val="clear" w:color="auto" w:fill="FAFAF8"/>
          </w:tcPr>
          <w:p>
            <w:pPr>
              <w:spacing w:after="20"/>
            </w:pPr>
            <w:r>
              <w:rPr>
                <w:b w:val="0"/>
                <w:i w:val="0"/>
                <w:sz w:val="18"/>
              </w:rPr>
              <w:t>Hasil</w:t>
            </w:r>
          </w:p>
        </w:tc>
        <w:tc>
          <w:tcPr>
            <w:tcW w:type="dxa" w:w="7920"/>
            <w:shd w:val="clear" w:color="auto" w:fill="FAFAF8"/>
          </w:tcPr>
          <w:p>
            <w:pPr>
              <w:spacing w:after="20"/>
            </w:pPr>
            <w:r>
              <w:rPr>
                <w:b w:val="0"/>
                <w:i w:val="0"/>
                <w:sz w:val="18"/>
              </w:rPr>
              <w:t>Data dan alarm tampil di dashboard laboratorium. Permintaan Pertamina 6 Agustus (kolom Area dan identitas peralatan, tampilan ppm real-time) ditindaklanjuti pada tahap berikutnya.</w:t>
            </w:r>
          </w:p>
        </w:tc>
      </w:tr>
      <w:tr>
        <w:tc>
          <w:tcPr>
            <w:tcW w:type="dxa" w:w="2016"/>
          </w:tcPr>
          <w:p>
            <w:pPr>
              <w:spacing w:after="20"/>
            </w:pPr>
            <w:r>
              <w:rPr>
                <w:b w:val="0"/>
                <w:i w:val="0"/>
                <w:sz w:val="18"/>
              </w:rPr>
              <w:t>Bukti</w:t>
            </w:r>
          </w:p>
        </w:tc>
        <w:tc>
          <w:tcPr>
            <w:tcW w:type="dxa" w:w="7920"/>
          </w:tcPr>
          <w:p>
            <w:pPr>
              <w:spacing w:after="20"/>
            </w:pPr>
            <w:r>
              <w:rPr>
                <w:b w:val="0"/>
                <w:i w:val="0"/>
                <w:sz w:val="18"/>
              </w:rPr>
              <w:t>Demo dashboard saat kunjungan 6 Agustus 2026; notulen rapat 6 Agustus 2026 (butir 19–21).</w:t>
            </w:r>
          </w:p>
        </w:tc>
      </w:tr>
      <w:tr>
        <w:tc>
          <w:tcPr>
            <w:tcW w:type="dxa" w:w="2016"/>
            <w:shd w:val="clear" w:color="auto" w:fill="FAFAF8"/>
          </w:tcPr>
          <w:p>
            <w:pPr>
              <w:spacing w:after="20"/>
            </w:pPr>
            <w:r>
              <w:rPr>
                <w:b w:val="0"/>
                <w:i w:val="0"/>
                <w:sz w:val="18"/>
              </w:rPr>
              <w:t>Status</w:t>
            </w:r>
          </w:p>
        </w:tc>
        <w:tc>
          <w:tcPr>
            <w:tcW w:type="dxa" w:w="7920"/>
            <w:shd w:val="clear" w:color="auto" w:fill="FAFAF8"/>
          </w:tcPr>
          <w:p>
            <w:pPr>
              <w:spacing w:after="20"/>
            </w:pPr>
            <w:r>
              <w:rPr>
                <w:b w:val="0"/>
                <w:i w:val="0"/>
                <w:sz w:val="18"/>
              </w:rPr>
              <w:t>LULUS (LAB)</w:t>
            </w:r>
          </w:p>
        </w:tc>
      </w:tr>
    </w:tbl>
    <w:p>
      <w:pPr>
        <w:spacing w:after="40"/>
      </w:pPr>
    </w:p>
    <w:p>
      <w:pPr>
        <w:pStyle w:val="Heading1"/>
      </w:pPr>
      <w:r>
        <w:rPr>
          <w:color w:val="1B2A4A"/>
        </w:rPr>
        <w:t>5. Di luar cakupan FAT ini</w:t>
      </w:r>
    </w:p>
    <w:p>
      <w:pPr>
        <w:spacing w:after="120"/>
      </w:pPr>
      <w:r>
        <w:rPr>
          <w:b w:val="0"/>
          <w:i w:val="0"/>
          <w:sz w:val="19"/>
        </w:rPr>
        <w:t>Hal berikut belum termasuk dalam laporan ini dan akan dilaporkan pada tahap berikutnya:</w:t>
      </w:r>
    </w:p>
    <w:tbl>
      <w:tblPr>
        <w:tblStyle w:val="TableGrid"/>
        <w:tblW w:type="auto" w:w="0"/>
        <w:tblLook w:firstColumn="1" w:firstRow="1" w:lastColumn="0" w:lastRow="0" w:noHBand="0" w:noVBand="1" w:val="04A0"/>
        <w:tblLayout w:type="fixed"/>
      </w:tblPr>
      <w:tblGrid>
        <w:gridCol w:w="4752"/>
        <w:gridCol w:w="1728"/>
        <w:gridCol w:w="3456"/>
      </w:tblGrid>
      <w:tr>
        <w:tc>
          <w:tcPr>
            <w:tcW w:type="dxa" w:w="4752"/>
            <w:shd w:val="clear" w:color="auto" w:fill="1B2A4A"/>
          </w:tcPr>
          <w:p>
            <w:pPr>
              <w:spacing w:after="20"/>
            </w:pPr>
            <w:r>
              <w:rPr>
                <w:b/>
                <w:color w:val="FFFFFF"/>
                <w:sz w:val="18"/>
              </w:rPr>
              <w:t>Item</w:t>
            </w:r>
          </w:p>
        </w:tc>
        <w:tc>
          <w:tcPr>
            <w:tcW w:type="dxa" w:w="1728"/>
            <w:shd w:val="clear" w:color="auto" w:fill="1B2A4A"/>
          </w:tcPr>
          <w:p>
            <w:pPr>
              <w:spacing w:after="20"/>
            </w:pPr>
            <w:r>
              <w:rPr>
                <w:b/>
                <w:color w:val="FFFFFF"/>
                <w:sz w:val="18"/>
              </w:rPr>
              <w:t>Status</w:t>
            </w:r>
          </w:p>
        </w:tc>
        <w:tc>
          <w:tcPr>
            <w:tcW w:type="dxa" w:w="3456"/>
            <w:shd w:val="clear" w:color="auto" w:fill="1B2A4A"/>
          </w:tcPr>
          <w:p>
            <w:pPr>
              <w:spacing w:after="20"/>
            </w:pPr>
            <w:r>
              <w:rPr>
                <w:b/>
                <w:color w:val="FFFFFF"/>
                <w:sz w:val="18"/>
              </w:rPr>
              <w:t>Tahap</w:t>
            </w:r>
          </w:p>
        </w:tc>
      </w:tr>
      <w:tr>
        <w:tc>
          <w:tcPr>
            <w:tcW w:type="dxa" w:w="4752"/>
          </w:tcPr>
          <w:p>
            <w:pPr>
              <w:spacing w:after="20"/>
            </w:pPr>
            <w:r>
              <w:rPr>
                <w:b w:val="0"/>
                <w:i w:val="0"/>
                <w:sz w:val="18"/>
              </w:rPr>
              <w:t>Uji stabilitas jangka panjang (operasi kontinu 24/7)</w:t>
            </w:r>
          </w:p>
        </w:tc>
        <w:tc>
          <w:tcPr>
            <w:tcW w:type="dxa" w:w="1728"/>
            <w:shd w:val="clear" w:color="auto" w:fill="FBE6E4"/>
          </w:tcPr>
          <w:p>
            <w:pPr>
              <w:spacing w:after="20"/>
            </w:pPr>
            <w:r>
              <w:rPr>
                <w:b/>
                <w:color w:val="B23A3A"/>
                <w:sz w:val="16"/>
              </w:rPr>
              <w:t>BELUM DIUJI</w:t>
            </w:r>
          </w:p>
        </w:tc>
        <w:tc>
          <w:tcPr>
            <w:tcW w:type="dxa" w:w="3456"/>
          </w:tcPr>
          <w:p>
            <w:pPr>
              <w:spacing w:after="20"/>
            </w:pPr>
            <w:r>
              <w:rPr>
                <w:b w:val="0"/>
                <w:i w:val="0"/>
                <w:sz w:val="18"/>
              </w:rPr>
              <w:t>Commissioning dan SAT</w:t>
            </w:r>
          </w:p>
        </w:tc>
      </w:tr>
      <w:tr>
        <w:tc>
          <w:tcPr>
            <w:tcW w:type="dxa" w:w="4752"/>
            <w:shd w:val="clear" w:color="auto" w:fill="FAFAF8"/>
          </w:tcPr>
          <w:p>
            <w:pPr>
              <w:spacing w:after="20"/>
            </w:pPr>
            <w:r>
              <w:rPr>
                <w:b w:val="0"/>
                <w:i w:val="0"/>
                <w:sz w:val="18"/>
              </w:rPr>
              <w:t>Uji kapasitas (jumlah node per CH/Gateway)</w:t>
            </w:r>
          </w:p>
        </w:tc>
        <w:tc>
          <w:tcPr>
            <w:tcW w:type="dxa" w:w="1728"/>
            <w:shd w:val="clear" w:color="auto" w:fill="FBE6E4"/>
          </w:tcPr>
          <w:p>
            <w:pPr>
              <w:spacing w:after="20"/>
            </w:pPr>
            <w:r>
              <w:rPr>
                <w:b/>
                <w:color w:val="B23A3A"/>
                <w:sz w:val="16"/>
              </w:rPr>
              <w:t>BELUM DIUJI</w:t>
            </w:r>
          </w:p>
        </w:tc>
        <w:tc>
          <w:tcPr>
            <w:tcW w:type="dxa" w:w="3456"/>
            <w:shd w:val="clear" w:color="auto" w:fill="FAFAF8"/>
          </w:tcPr>
          <w:p>
            <w:pPr>
              <w:spacing w:after="20"/>
            </w:pPr>
            <w:r>
              <w:rPr>
                <w:b w:val="0"/>
                <w:i w:val="0"/>
                <w:sz w:val="18"/>
              </w:rPr>
              <w:t>Pengembangan dan SAT</w:t>
            </w:r>
          </w:p>
        </w:tc>
      </w:tr>
      <w:tr>
        <w:tc>
          <w:tcPr>
            <w:tcW w:type="dxa" w:w="4752"/>
          </w:tcPr>
          <w:p>
            <w:pPr>
              <w:spacing w:after="20"/>
            </w:pPr>
            <w:r>
              <w:rPr>
                <w:b w:val="0"/>
                <w:i w:val="0"/>
                <w:sz w:val="18"/>
              </w:rPr>
              <w:t>Deteksi H2S, Benzena, dan CO</w:t>
            </w:r>
          </w:p>
        </w:tc>
        <w:tc>
          <w:tcPr>
            <w:tcW w:type="dxa" w:w="1728"/>
            <w:shd w:val="clear" w:color="auto" w:fill="FBE6E4"/>
          </w:tcPr>
          <w:p>
            <w:pPr>
              <w:spacing w:after="20"/>
            </w:pPr>
            <w:r>
              <w:rPr>
                <w:b/>
                <w:color w:val="B23A3A"/>
                <w:sz w:val="16"/>
              </w:rPr>
              <w:t>BELUM DIUJI</w:t>
            </w:r>
          </w:p>
        </w:tc>
        <w:tc>
          <w:tcPr>
            <w:tcW w:type="dxa" w:w="3456"/>
          </w:tcPr>
          <w:p>
            <w:pPr>
              <w:spacing w:after="20"/>
            </w:pPr>
            <w:r>
              <w:rPr>
                <w:b w:val="0"/>
                <w:i w:val="0"/>
                <w:sz w:val="18"/>
              </w:rPr>
              <w:t>Menunggu sampel gas dan pelatihan model</w:t>
            </w:r>
          </w:p>
        </w:tc>
      </w:tr>
      <w:tr>
        <w:tc>
          <w:tcPr>
            <w:tcW w:type="dxa" w:w="4752"/>
            <w:shd w:val="clear" w:color="auto" w:fill="FAFAF8"/>
          </w:tcPr>
          <w:p>
            <w:pPr>
              <w:spacing w:after="20"/>
            </w:pPr>
            <w:r>
              <w:rPr>
                <w:b w:val="0"/>
                <w:i w:val="0"/>
                <w:sz w:val="18"/>
              </w:rPr>
              <w:t>Site Acceptance Test di RU IV Cilacap</w:t>
            </w:r>
          </w:p>
        </w:tc>
        <w:tc>
          <w:tcPr>
            <w:tcW w:type="dxa" w:w="1728"/>
            <w:shd w:val="clear" w:color="auto" w:fill="FBE6E4"/>
          </w:tcPr>
          <w:p>
            <w:pPr>
              <w:spacing w:after="20"/>
            </w:pPr>
            <w:r>
              <w:rPr>
                <w:b/>
                <w:color w:val="B23A3A"/>
                <w:sz w:val="16"/>
              </w:rPr>
              <w:t>BELUM DIUJI</w:t>
            </w:r>
          </w:p>
        </w:tc>
        <w:tc>
          <w:tcPr>
            <w:tcW w:type="dxa" w:w="3456"/>
            <w:shd w:val="clear" w:color="auto" w:fill="FAFAF8"/>
          </w:tcPr>
          <w:p>
            <w:pPr>
              <w:spacing w:after="20"/>
            </w:pPr>
            <w:r>
              <w:rPr>
                <w:b w:val="0"/>
                <w:i w:val="0"/>
                <w:sz w:val="18"/>
              </w:rPr>
              <w:t>Setelah instalasi</w:t>
            </w:r>
          </w:p>
        </w:tc>
      </w:tr>
      <w:tr>
        <w:tc>
          <w:tcPr>
            <w:tcW w:type="dxa" w:w="4752"/>
          </w:tcPr>
          <w:p>
            <w:pPr>
              <w:spacing w:after="20"/>
            </w:pPr>
            <w:r>
              <w:rPr>
                <w:b w:val="0"/>
                <w:i w:val="0"/>
                <w:sz w:val="18"/>
              </w:rPr>
              <w:t>Sertifikasi area berbahaya (ATEX/IECEx)</w:t>
            </w:r>
          </w:p>
        </w:tc>
        <w:tc>
          <w:tcPr>
            <w:tcW w:type="dxa" w:w="1728"/>
            <w:shd w:val="clear" w:color="auto" w:fill="FBE6E4"/>
          </w:tcPr>
          <w:p>
            <w:pPr>
              <w:spacing w:after="20"/>
            </w:pPr>
            <w:r>
              <w:rPr>
                <w:b/>
                <w:color w:val="B23A3A"/>
                <w:sz w:val="16"/>
              </w:rPr>
              <w:t>BELUM DIUJI</w:t>
            </w:r>
          </w:p>
        </w:tc>
        <w:tc>
          <w:tcPr>
            <w:tcW w:type="dxa" w:w="3456"/>
          </w:tcPr>
          <w:p>
            <w:pPr>
              <w:spacing w:after="20"/>
            </w:pPr>
            <w:r>
              <w:rPr>
                <w:b w:val="0"/>
                <w:i w:val="0"/>
                <w:sz w:val="18"/>
              </w:rPr>
              <w:t>Jalur sertifikasi terpisah</w:t>
            </w:r>
          </w:p>
        </w:tc>
      </w:tr>
    </w:tbl>
    <w:p>
      <w:pPr>
        <w:spacing w:after="40"/>
      </w:pPr>
    </w:p>
    <w:p>
      <w:pPr>
        <w:spacing w:after="120"/>
      </w:pPr>
      <w:r>
        <w:rPr>
          <w:b w:val="0"/>
          <w:i w:val="0"/>
          <w:color w:val="5B5B5B"/>
          <w:sz w:val="18"/>
        </w:rPr>
        <w:t>Uji tambahan setelah witness: hasil awal uji ketahanan radio terhadap interferensi kanal yang sama (10–25 dBm, 17 September 2026) menunjukkan sistem tetap stabil dengan RSSI sekitar −17 s/d −18 dBm. Hasil ini bersifat awal dan informal.</w:t>
      </w:r>
    </w:p>
    <w:p>
      <w:pPr>
        <w:pStyle w:val="Heading1"/>
      </w:pPr>
      <w:r>
        <w:rPr>
          <w:color w:val="1B2A4A"/>
        </w:rPr>
        <w:t>6. Lembar pengesahan</w:t>
      </w:r>
    </w:p>
    <w:p>
      <w:pPr>
        <w:spacing w:after="120"/>
      </w:pPr>
      <w:r>
        <w:rPr>
          <w:b w:val="0"/>
          <w:i w:val="0"/>
          <w:sz w:val="19"/>
        </w:rPr>
        <w:t>Dengan ditandatanganinya lembar ini, para pihak menyatakan telah memeriksa dan/atau menyaksikan hasil Factory Acceptance Test sebagaimana diuraikan dalam laporan ini.</w:t>
      </w:r>
    </w:p>
    <w:tbl>
      <w:tblPr>
        <w:tblStyle w:val="TableGrid"/>
        <w:tblW w:type="auto" w:w="0"/>
        <w:tblLook w:firstColumn="1" w:firstRow="1" w:lastColumn="0" w:lastRow="0" w:noHBand="0" w:noVBand="1" w:val="04A0"/>
        <w:tblLayout w:type="fixed"/>
      </w:tblPr>
      <w:tblGrid>
        <w:gridCol w:w="3311"/>
        <w:gridCol w:w="3311"/>
        <w:gridCol w:w="3311"/>
      </w:tblGrid>
      <w:tr>
        <w:tc>
          <w:tcPr>
            <w:tcW w:type="dxa" w:w="3312"/>
            <w:shd w:val="clear" w:color="auto" w:fill="EFEFEC"/>
          </w:tcPr>
          <w:p>
            <w:r>
              <w:rPr>
                <w:b/>
                <w:sz w:val="18"/>
              </w:rPr>
              <w:t>Disiapkan oleh</w:t>
              <w:br/>
              <w:t>PT LAPI Ganesha Utama</w:t>
            </w:r>
          </w:p>
        </w:tc>
        <w:tc>
          <w:tcPr>
            <w:tcW w:type="dxa" w:w="3312"/>
            <w:shd w:val="clear" w:color="auto" w:fill="EFEFEC"/>
          </w:tcPr>
          <w:p>
            <w:r>
              <w:rPr>
                <w:b/>
                <w:sz w:val="18"/>
              </w:rPr>
              <w:t>Diperiksa oleh</w:t>
              <w:br/>
              <w:t>Lab IoT ITB</w:t>
            </w:r>
          </w:p>
        </w:tc>
        <w:tc>
          <w:tcPr>
            <w:tcW w:type="dxa" w:w="3312"/>
            <w:shd w:val="clear" w:color="auto" w:fill="EFEFEC"/>
          </w:tcPr>
          <w:p>
            <w:r>
              <w:rPr>
                <w:b/>
                <w:sz w:val="18"/>
              </w:rPr>
              <w:t>Disaksikan dan diterima oleh</w:t>
              <w:br/>
              <w:t>PT Pertamina Patra Niaga</w:t>
            </w:r>
          </w:p>
        </w:tc>
      </w:tr>
      <w:tr>
        <w:tc>
          <w:tcPr>
            <w:tcW w:type="dxa" w:w="3312"/>
          </w:tcPr>
          <w:p>
            <w:r>
              <w:br/>
              <w:br/>
              <w:br/>
              <w:br/>
            </w:r>
          </w:p>
          <w:p>
            <w:r>
              <w:rPr>
                <w:color w:val="5B5B5B"/>
                <w:sz w:val="17"/>
              </w:rPr>
              <w:t>Nama:</w:t>
              <w:br/>
              <w:t>Jabatan:</w:t>
              <w:br/>
              <w:t>Tanggal:</w:t>
            </w:r>
          </w:p>
        </w:tc>
        <w:tc>
          <w:tcPr>
            <w:tcW w:type="dxa" w:w="3312"/>
          </w:tcPr>
          <w:p>
            <w:r>
              <w:br/>
              <w:br/>
              <w:br/>
              <w:br/>
            </w:r>
          </w:p>
          <w:p>
            <w:r>
              <w:rPr>
                <w:color w:val="5B5B5B"/>
                <w:sz w:val="17"/>
              </w:rPr>
              <w:t>Nama:</w:t>
              <w:br/>
              <w:t>Jabatan:</w:t>
              <w:br/>
              <w:t>Tanggal:</w:t>
            </w:r>
          </w:p>
        </w:tc>
        <w:tc>
          <w:tcPr>
            <w:tcW w:type="dxa" w:w="3312"/>
          </w:tcPr>
          <w:p>
            <w:r>
              <w:br/>
              <w:br/>
              <w:br/>
              <w:br/>
            </w:r>
          </w:p>
          <w:p>
            <w:r>
              <w:rPr>
                <w:color w:val="5B5B5B"/>
                <w:sz w:val="17"/>
              </w:rPr>
              <w:t>Nama:</w:t>
              <w:br/>
              <w:t>Jabatan:</w:t>
              <w:br/>
              <w:t>Tanggal:</w:t>
            </w:r>
          </w:p>
        </w:tc>
      </w:tr>
    </w:tbl>
    <w:p>
      <w:pPr>
        <w:spacing w:after="80"/>
      </w:pPr>
    </w:p>
    <w:p>
      <w:pPr>
        <w:pStyle w:val="Heading1"/>
      </w:pPr>
      <w:r>
        <w:rPr>
          <w:color w:val="1B2A4A"/>
        </w:rPr>
        <w:t>Lampiran — Daftar bukti</w:t>
      </w:r>
    </w:p>
    <w:tbl>
      <w:tblPr>
        <w:tblStyle w:val="TableGrid"/>
        <w:tblW w:type="auto" w:w="0"/>
        <w:tblLook w:firstColumn="1" w:firstRow="1" w:lastColumn="0" w:lastRow="0" w:noHBand="0" w:noVBand="1" w:val="04A0"/>
        <w:tblLayout w:type="fixed"/>
      </w:tblPr>
      <w:tblGrid>
        <w:gridCol w:w="576"/>
        <w:gridCol w:w="6623"/>
        <w:gridCol w:w="2736"/>
      </w:tblGrid>
      <w:tr>
        <w:tc>
          <w:tcPr>
            <w:tcW w:type="dxa" w:w="576"/>
            <w:shd w:val="clear" w:color="auto" w:fill="1B2A4A"/>
          </w:tcPr>
          <w:p>
            <w:pPr>
              <w:spacing w:after="20"/>
            </w:pPr>
            <w:r>
              <w:rPr>
                <w:b/>
                <w:color w:val="FFFFFF"/>
                <w:sz w:val="18"/>
              </w:rPr>
              <w:t>No</w:t>
            </w:r>
          </w:p>
        </w:tc>
        <w:tc>
          <w:tcPr>
            <w:tcW w:type="dxa" w:w="6624"/>
            <w:shd w:val="clear" w:color="auto" w:fill="1B2A4A"/>
          </w:tcPr>
          <w:p>
            <w:pPr>
              <w:spacing w:after="20"/>
            </w:pPr>
            <w:r>
              <w:rPr>
                <w:b/>
                <w:color w:val="FFFFFF"/>
                <w:sz w:val="18"/>
              </w:rPr>
              <w:t>Bukti</w:t>
            </w:r>
          </w:p>
        </w:tc>
        <w:tc>
          <w:tcPr>
            <w:tcW w:type="dxa" w:w="2736"/>
            <w:shd w:val="clear" w:color="auto" w:fill="1B2A4A"/>
          </w:tcPr>
          <w:p>
            <w:pPr>
              <w:spacing w:after="20"/>
            </w:pPr>
            <w:r>
              <w:rPr>
                <w:b/>
                <w:color w:val="FFFFFF"/>
                <w:sz w:val="18"/>
              </w:rPr>
              <w:t>Item terkait</w:t>
            </w:r>
          </w:p>
        </w:tc>
      </w:tr>
      <w:tr>
        <w:tc>
          <w:tcPr>
            <w:tcW w:type="dxa" w:w="576"/>
          </w:tcPr>
          <w:p>
            <w:pPr>
              <w:spacing w:after="20"/>
            </w:pPr>
            <w:r>
              <w:rPr>
                <w:b w:val="0"/>
                <w:i w:val="0"/>
                <w:sz w:val="18"/>
              </w:rPr>
              <w:t>1</w:t>
            </w:r>
          </w:p>
        </w:tc>
        <w:tc>
          <w:tcPr>
            <w:tcW w:type="dxa" w:w="6624"/>
          </w:tcPr>
          <w:p>
            <w:pPr>
              <w:spacing w:after="20"/>
            </w:pPr>
            <w:r>
              <w:rPr>
                <w:b w:val="0"/>
                <w:i w:val="0"/>
                <w:sz w:val="18"/>
              </w:rPr>
              <w:t>Notulen rapat 6 Agustus 2026 di Lab IoT ITB (kehadiran PT Pertamina Patra Niaga)</w:t>
            </w:r>
          </w:p>
        </w:tc>
        <w:tc>
          <w:tcPr>
            <w:tcW w:type="dxa" w:w="2736"/>
          </w:tcPr>
          <w:p>
            <w:pPr>
              <w:spacing w:after="20"/>
            </w:pPr>
            <w:r>
              <w:rPr>
                <w:b w:val="0"/>
                <w:i w:val="0"/>
                <w:sz w:val="18"/>
              </w:rPr>
              <w:t>Witness, FAT-06, FAT-07</w:t>
            </w:r>
          </w:p>
        </w:tc>
      </w:tr>
      <w:tr>
        <w:tc>
          <w:tcPr>
            <w:tcW w:type="dxa" w:w="576"/>
            <w:shd w:val="clear" w:color="auto" w:fill="FAFAF8"/>
          </w:tcPr>
          <w:p>
            <w:pPr>
              <w:spacing w:after="20"/>
            </w:pPr>
            <w:r>
              <w:rPr>
                <w:b w:val="0"/>
                <w:i w:val="0"/>
                <w:sz w:val="18"/>
              </w:rPr>
              <w:t>2</w:t>
            </w:r>
          </w:p>
        </w:tc>
        <w:tc>
          <w:tcPr>
            <w:tcW w:type="dxa" w:w="6624"/>
            <w:shd w:val="clear" w:color="auto" w:fill="FAFAF8"/>
          </w:tcPr>
          <w:p>
            <w:pPr>
              <w:spacing w:after="20"/>
            </w:pPr>
            <w:r>
              <w:rPr>
                <w:b w:val="0"/>
                <w:i w:val="0"/>
                <w:sz w:val="18"/>
              </w:rPr>
              <w:t>Presentasi hasil model CNN Dual-Branch (6 Agustus 2026)</w:t>
            </w:r>
          </w:p>
        </w:tc>
        <w:tc>
          <w:tcPr>
            <w:tcW w:type="dxa" w:w="2736"/>
            <w:shd w:val="clear" w:color="auto" w:fill="FAFAF8"/>
          </w:tcPr>
          <w:p>
            <w:pPr>
              <w:spacing w:after="20"/>
            </w:pPr>
            <w:r>
              <w:rPr>
                <w:b w:val="0"/>
                <w:i w:val="0"/>
                <w:sz w:val="18"/>
              </w:rPr>
              <w:t>FAT-01, FAT-02</w:t>
            </w:r>
          </w:p>
        </w:tc>
      </w:tr>
      <w:tr>
        <w:tc>
          <w:tcPr>
            <w:tcW w:type="dxa" w:w="576"/>
          </w:tcPr>
          <w:p>
            <w:pPr>
              <w:spacing w:after="20"/>
            </w:pPr>
            <w:r>
              <w:rPr>
                <w:b w:val="0"/>
                <w:i w:val="0"/>
                <w:sz w:val="18"/>
              </w:rPr>
              <w:t>3</w:t>
            </w:r>
          </w:p>
        </w:tc>
        <w:tc>
          <w:tcPr>
            <w:tcW w:type="dxa" w:w="6624"/>
          </w:tcPr>
          <w:p>
            <w:pPr>
              <w:spacing w:after="20"/>
            </w:pPr>
            <w:r>
              <w:rPr>
                <w:b w:val="0"/>
                <w:i w:val="0"/>
                <w:sz w:val="18"/>
              </w:rPr>
              <w:t>Lembar kerja uji sinyal LoRa (RSSI, SNR, PDR per titik)</w:t>
            </w:r>
          </w:p>
        </w:tc>
        <w:tc>
          <w:tcPr>
            <w:tcW w:type="dxa" w:w="2736"/>
          </w:tcPr>
          <w:p>
            <w:pPr>
              <w:spacing w:after="20"/>
            </w:pPr>
            <w:r>
              <w:rPr>
                <w:b w:val="0"/>
                <w:i w:val="0"/>
                <w:sz w:val="18"/>
              </w:rPr>
              <w:t>FAT-03</w:t>
            </w:r>
          </w:p>
        </w:tc>
      </w:tr>
      <w:tr>
        <w:tc>
          <w:tcPr>
            <w:tcW w:type="dxa" w:w="576"/>
            <w:shd w:val="clear" w:color="auto" w:fill="FAFAF8"/>
          </w:tcPr>
          <w:p>
            <w:pPr>
              <w:spacing w:after="20"/>
            </w:pPr>
            <w:r>
              <w:rPr>
                <w:b w:val="0"/>
                <w:i w:val="0"/>
                <w:sz w:val="18"/>
              </w:rPr>
              <w:t>4</w:t>
            </w:r>
          </w:p>
        </w:tc>
        <w:tc>
          <w:tcPr>
            <w:tcW w:type="dxa" w:w="6624"/>
            <w:shd w:val="clear" w:color="auto" w:fill="FAFAF8"/>
          </w:tcPr>
          <w:p>
            <w:pPr>
              <w:spacing w:after="20"/>
            </w:pPr>
            <w:r>
              <w:rPr>
                <w:b w:val="0"/>
                <w:i w:val="0"/>
                <w:sz w:val="18"/>
              </w:rPr>
              <w:t>Catatan uji CH (Mei 2026) dan uji mesh 8 CH (16 Juli 2026)</w:t>
            </w:r>
          </w:p>
        </w:tc>
        <w:tc>
          <w:tcPr>
            <w:tcW w:type="dxa" w:w="2736"/>
            <w:shd w:val="clear" w:color="auto" w:fill="FAFAF8"/>
          </w:tcPr>
          <w:p>
            <w:pPr>
              <w:spacing w:after="20"/>
            </w:pPr>
            <w:r>
              <w:rPr>
                <w:b w:val="0"/>
                <w:i w:val="0"/>
                <w:sz w:val="18"/>
              </w:rPr>
              <w:t>FAT-04, FAT-05</w:t>
            </w:r>
          </w:p>
        </w:tc>
      </w:tr>
      <w:tr>
        <w:tc>
          <w:tcPr>
            <w:tcW w:type="dxa" w:w="576"/>
          </w:tcPr>
          <w:p>
            <w:pPr>
              <w:spacing w:after="20"/>
            </w:pPr>
            <w:r>
              <w:rPr>
                <w:b w:val="0"/>
                <w:i w:val="0"/>
                <w:sz w:val="18"/>
              </w:rPr>
              <w:t>5</w:t>
            </w:r>
          </w:p>
        </w:tc>
        <w:tc>
          <w:tcPr>
            <w:tcW w:type="dxa" w:w="6624"/>
          </w:tcPr>
          <w:p>
            <w:pPr>
              <w:spacing w:after="20"/>
            </w:pPr>
            <w:r>
              <w:rPr>
                <w:b w:val="0"/>
                <w:i w:val="0"/>
                <w:sz w:val="18"/>
              </w:rPr>
              <w:t>Technical Datasheet Rev 4.0 Lab IoT ITB (5 dokumen)</w:t>
            </w:r>
          </w:p>
        </w:tc>
        <w:tc>
          <w:tcPr>
            <w:tcW w:type="dxa" w:w="2736"/>
          </w:tcPr>
          <w:p>
            <w:pPr>
              <w:spacing w:after="20"/>
            </w:pPr>
            <w:r>
              <w:rPr>
                <w:b w:val="0"/>
                <w:i w:val="0"/>
                <w:sz w:val="18"/>
              </w:rPr>
              <w:t>FAT-05, konfigurasi</w:t>
            </w:r>
          </w:p>
        </w:tc>
      </w:tr>
      <w:tr>
        <w:tc>
          <w:tcPr>
            <w:tcW w:type="dxa" w:w="576"/>
            <w:shd w:val="clear" w:color="auto" w:fill="FAFAF8"/>
          </w:tcPr>
          <w:p>
            <w:pPr>
              <w:spacing w:after="20"/>
            </w:pPr>
            <w:r>
              <w:rPr>
                <w:b w:val="0"/>
                <w:i w:val="0"/>
                <w:sz w:val="18"/>
              </w:rPr>
              <w:t>6</w:t>
            </w:r>
          </w:p>
        </w:tc>
        <w:tc>
          <w:tcPr>
            <w:tcW w:type="dxa" w:w="6624"/>
            <w:shd w:val="clear" w:color="auto" w:fill="FAFAF8"/>
          </w:tcPr>
          <w:p>
            <w:pPr>
              <w:spacing w:after="20"/>
            </w:pPr>
            <w:r>
              <w:rPr>
                <w:b w:val="0"/>
                <w:i w:val="0"/>
                <w:sz w:val="18"/>
              </w:rPr>
              <w:t>Foto unit GLD terakit</w:t>
            </w:r>
          </w:p>
        </w:tc>
        <w:tc>
          <w:tcPr>
            <w:tcW w:type="dxa" w:w="2736"/>
            <w:shd w:val="clear" w:color="auto" w:fill="FAFAF8"/>
          </w:tcPr>
          <w:p>
            <w:pPr>
              <w:spacing w:after="20"/>
            </w:pPr>
            <w:r>
              <w:rPr>
                <w:b w:val="0"/>
                <w:i w:val="0"/>
                <w:sz w:val="18"/>
              </w:rPr>
              <w:t>Perangkat uji</w:t>
            </w:r>
          </w:p>
        </w:tc>
      </w:tr>
    </w:tbl>
    <w:p>
      <w:pPr>
        <w:spacing w:after="40"/>
      </w:pPr>
    </w:p>
    <w:sectPr w:rsidR="00FC693F" w:rsidRPr="0006063C" w:rsidSect="00034616">
      <w:headerReference w:type="default" r:id="rId9"/>
      <w:footerReference w:type="default" r:id="rId10"/>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pPr>
    <w:r>
      <w:rPr>
        <w:color w:val="5B5B5B"/>
        <w:sz w:val="16"/>
      </w:rPr>
      <w:t>LGU/GLD/FAT/2026-001  ·  Rev. 1.1</w:t>
    </w:r>
    <w:r>
      <w:rPr>
        <w:color w:val="5B5B5B"/>
        <w:sz w:val="16"/>
      </w:rPr>
      <w:tab/>
    </w:r>
    <w:r>
      <w:rPr>
        <w:color w:val="5B5B5B"/>
        <w:sz w:val="16"/>
      </w:rPr>
      <w:fldChar w:fldCharType="begin"/>
      <w:instrText xml:space="preserve">PAGE</w:instrText>
    </w:r>
    <w:r>
      <w:rPr>
        <w:color w:val="5B5B5B"/>
        <w:sz w:val="16"/>
      </w:rPr>
      <w:fldChar w:fldCharType="separate"/>
    </w:r>
    <w:r>
      <w:rPr>
        <w:color w:val="5B5B5B"/>
        <w:sz w:val="16"/>
      </w:rPr>
      <w:t>1</w:t>
    </w:r>
    <w:r>
      <w:rPr>
        <w:color w:val="5B5B5B"/>
        <w:sz w:val="16"/>
      </w:rPr>
      <w:fldChar w:fldCharType="end"/>
    </w:r>
    <w:r>
      <w:rPr>
        <w:color w:val="5B5B5B"/>
        <w:sz w:val="16"/>
      </w:rPr>
      <w:t xml:space="preserve"> dari </w:t>
    </w:r>
    <w:r>
      <w:rPr>
        <w:color w:val="5B5B5B"/>
        <w:sz w:val="16"/>
      </w:rPr>
      <w:fldChar w:fldCharType="begin"/>
      <w:instrText xml:space="preserve">NUMPAGES</w:instrText>
    </w:r>
    <w:r>
      <w:rPr>
        <w:color w:val="5B5B5B"/>
        <w:sz w:val="16"/>
      </w:rPr>
      <w:fldChar w:fldCharType="separate"/>
    </w:r>
    <w:r>
      <w:rPr>
        <w:color w:val="5B5B5B"/>
        <w:sz w:val="16"/>
      </w:rPr>
      <w:t>1</w:t>
    </w:r>
    <w:r>
      <w:rPr>
        <w:color w:val="5B5B5B"/>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5B5B5B"/>
        <w:sz w:val="16"/>
      </w:rPr>
      <w:t>Laporan Factory Acceptance Test — Sistem GLD Tahap 2  |  Draf untuk Pengesahan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8" w:lineRule="auto"/>
    </w:pPr>
    <w:rPr>
      <w:rFonts w:ascii="Calibri" w:hAnsi="Calibri"/>
      <w:color w:val="1F1F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B2A4A"/>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B2A4A"/>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2A4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