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>
            <w:pPr>
              <w:spacing w:after="60"/>
            </w:pPr>
            <w:r>
              <w:rPr>
                <w:color w:val="C7D2E0"/>
                <w:sz w:val="19"/>
              </w:rPr>
              <w:t>Bekerja sama dengan Lab IoT &amp; Fisika Institut Teknologi Bandung</w:t>
            </w:r>
          </w:p>
        </w:tc>
      </w:tr>
    </w:tbl>
    <w:p>
      <w:pPr>
        <w:spacing w:after="120"/>
      </w:pPr>
    </w:p>
    <w:p>
      <w:pPr>
        <w:pStyle w:val="Title"/>
      </w:pPr>
      <w:r>
        <w:rPr>
          <w:b/>
          <w:color w:val="1B2A4A"/>
          <w:sz w:val="36"/>
        </w:rPr>
        <w:t>Laporan Uji Laboratorium 02 — Komunikasi Radio LoRa</w:t>
      </w:r>
    </w:p>
    <w:p>
      <w:pPr>
        <w:spacing w:after="200"/>
      </w:pPr>
      <w:r>
        <w:rPr>
          <w:b w:val="0"/>
          <w:i w:val="0"/>
          <w:color w:val="5B5B5B"/>
          <w:sz w:val="21"/>
        </w:rPr>
        <w:t>Pengujian jarak dan keandalan komunikasi LoRa antara node GLD dan Cluster Head di lingkungan kampus ITB: kuat sinyal (RSSI), SNR, dan persentase paket sampai (PDR) pada berbagai jarak dan halangan.</w:t>
      </w:r>
    </w:p>
    <w:p>
      <w:r>
        <w:rPr>
          <w:b/>
          <w:color w:val="1B2A4A"/>
          <w:sz w:val="2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736"/>
        <w:gridCol w:w="7200"/>
      </w:tblGrid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Nomor dokumen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LGU/GLD/UJI-LAB/2026-002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Revisi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Tanggal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4 Oktober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Periode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Mei – Juli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Item FAT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FAT-03 (komunikasi radio GLD ke Cluster Head)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Lokasi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Lab IoT, Instrumentation and Computations, Gedung Laboratorium Fisika Terpadu, ITB,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Disiapkan oleh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LAPI Ganesha Utama, bersama Lab IoT &amp; Fisika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Ditujukan kepada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Pertamina Patra Niaga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Dokumen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Laporan Factory Acceptance Test (FAT) Sistem GLD Tahap 2, LGU/GLD/FAT/2026-001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2A4A"/>
        </w:rPr>
        <w:t>1. Tujuan</w:t>
      </w:r>
    </w:p>
    <w:p>
      <w:pPr>
        <w:spacing w:after="120"/>
      </w:pPr>
      <w:r>
        <w:rPr>
          <w:b w:val="0"/>
          <w:i w:val="0"/>
          <w:sz w:val="19"/>
        </w:rPr>
        <w:t>Mencari jarak terjauh yang masih menjaga PDR 100% dengan RSSI/SNR yang punya margin aman, sambil mencatat halangan (gedung, pepohonan), sebagai dasar penempatan GLD dan Cluster Head di lokasi RU.</w:t>
      </w:r>
    </w:p>
    <w:p>
      <w:pPr>
        <w:pStyle w:val="Heading1"/>
      </w:pPr>
      <w:r>
        <w:rPr>
          <w:color w:val="1B2A4A"/>
        </w:rPr>
        <w:t>2. Perangkat dan konfigurasi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4"/>
        <w:gridCol w:w="7632"/>
      </w:tblGrid>
      <w:tr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Komponen</w:t>
            </w:r>
          </w:p>
        </w:tc>
        <w:tc>
          <w:tcPr>
            <w:tcW w:type="dxa" w:w="763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Pengirim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Node GLD / modul LoRa E22-900MM22S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Penerima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Cluster Head (receiver di Labtek XV untuk uji acak)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Frekuensi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920–923 MHz (STAR 920 MHz, MESH 921 MHz)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Antena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Omni 3 dBi; tinggi antena divariasikan 2–6 m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Parameter dicatat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Jarak, koordinat, RSSI (min/avg/maks), SNR (min/avg/maks), paket terkirim/diterima, PDR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B2A4A"/>
        </w:rPr>
        <w:t>3. Metode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Node GLD mengirim N paket per titik (100 paket pada uji acak) ke penerima.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Titik dipindah bertahap; jarak, koordinat GPS, dan halangan dicatat.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Batas link aman = jarak terjauh dengan PDR 100% dan RSSI/SNR masih punya margin.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1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ra_simulas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1. Skema pengujian simulasi komunikasi LoRa di sekitar ITB</w:t>
      </w:r>
    </w:p>
    <w:p>
      <w:pPr>
        <w:pStyle w:val="Heading1"/>
      </w:pPr>
      <w:r>
        <w:rPr>
          <w:color w:val="1B2A4A"/>
        </w:rPr>
        <w:t>4. Hasil</w:t>
      </w:r>
    </w:p>
    <w:p>
      <w:pPr>
        <w:pStyle w:val="Heading2"/>
      </w:pPr>
      <w:r>
        <w:rPr>
          <w:color w:val="1B2A4A"/>
        </w:rPr>
        <w:t>4.1 Uji baseline berdasarkan kondisi lingkungan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576"/>
        <w:gridCol w:w="3456"/>
        <w:gridCol w:w="1152"/>
        <w:gridCol w:w="1872"/>
        <w:gridCol w:w="1296"/>
        <w:gridCol w:w="1007"/>
      </w:tblGrid>
      <w:tr>
        <w:tc>
          <w:tcPr>
            <w:tcW w:type="dxa" w:w="57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345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Kondisi</w:t>
            </w:r>
          </w:p>
        </w:tc>
        <w:tc>
          <w:tcPr>
            <w:tcW w:type="dxa" w:w="115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Jarak (m)</w:t>
            </w:r>
          </w:p>
        </w:tc>
        <w:tc>
          <w:tcPr>
            <w:tcW w:type="dxa" w:w="187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Tinggi antena Tx / Rx (m)</w:t>
            </w:r>
          </w:p>
        </w:tc>
        <w:tc>
          <w:tcPr>
            <w:tcW w:type="dxa" w:w="129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RSSI (dBm)</w:t>
            </w:r>
          </w:p>
        </w:tc>
        <w:tc>
          <w:tcPr>
            <w:tcW w:type="dxa" w:w="1008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PDR</w:t>
            </w:r>
          </w:p>
        </w:tc>
      </w:tr>
      <w:tr>
        <w:tc>
          <w:tcPr>
            <w:tcW w:type="dxa" w:w="57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345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Area terbuka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 / 3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−47</w:t>
            </w:r>
          </w:p>
        </w:tc>
        <w:tc>
          <w:tcPr>
            <w:tcW w:type="dxa" w:w="100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345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Area terbuka</w:t>
            </w:r>
          </w:p>
        </w:tc>
        <w:tc>
          <w:tcPr>
            <w:tcW w:type="dxa" w:w="115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30</w:t>
            </w:r>
          </w:p>
        </w:tc>
        <w:tc>
          <w:tcPr>
            <w:tcW w:type="dxa" w:w="187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 / 3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−57</w:t>
            </w:r>
          </w:p>
        </w:tc>
        <w:tc>
          <w:tcPr>
            <w:tcW w:type="dxa" w:w="1008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345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Area terbuka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 / 3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−71</w:t>
            </w:r>
          </w:p>
        </w:tc>
        <w:tc>
          <w:tcPr>
            <w:tcW w:type="dxa" w:w="100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345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Bawah pepohonan</w:t>
            </w:r>
          </w:p>
        </w:tc>
        <w:tc>
          <w:tcPr>
            <w:tcW w:type="dxa" w:w="115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87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 / 3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−78</w:t>
            </w:r>
          </w:p>
        </w:tc>
        <w:tc>
          <w:tcPr>
            <w:tcW w:type="dxa" w:w="1008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345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Bawah pepohonan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4 / 4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−84</w:t>
            </w:r>
          </w:p>
        </w:tc>
        <w:tc>
          <w:tcPr>
            <w:tcW w:type="dxa" w:w="100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345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Belakang gedung + pepohonan</w:t>
            </w:r>
          </w:p>
        </w:tc>
        <w:tc>
          <w:tcPr>
            <w:tcW w:type="dxa" w:w="115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7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 / 3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−93</w:t>
            </w:r>
          </w:p>
        </w:tc>
        <w:tc>
          <w:tcPr>
            <w:tcW w:type="dxa" w:w="1008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98%</w:t>
            </w:r>
          </w:p>
        </w:tc>
      </w:tr>
      <w:tr>
        <w:tc>
          <w:tcPr>
            <w:tcW w:type="dxa" w:w="57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345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Belakang gedung + pepohonan (antena diubah)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 / 6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−81</w:t>
            </w:r>
          </w:p>
        </w:tc>
        <w:tc>
          <w:tcPr>
            <w:tcW w:type="dxa" w:w="100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345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Area Indomaret</w:t>
            </w:r>
          </w:p>
        </w:tc>
        <w:tc>
          <w:tcPr>
            <w:tcW w:type="dxa" w:w="115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7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 / 6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−104</w:t>
            </w:r>
          </w:p>
        </w:tc>
        <w:tc>
          <w:tcPr>
            <w:tcW w:type="dxa" w:w="1008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68%</w:t>
            </w:r>
          </w:p>
        </w:tc>
      </w:tr>
      <w:tr>
        <w:tc>
          <w:tcPr>
            <w:tcW w:type="dxa" w:w="57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345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Area Fisika (batas jangkauan)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 / 6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−112</w:t>
            </w:r>
          </w:p>
        </w:tc>
        <w:tc>
          <w:tcPr>
            <w:tcW w:type="dxa" w:w="100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26%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B2A4A"/>
        </w:rPr>
        <w:t>4.2 Uji acak di kampus (receiver di Labtek XV, 100 paket per titik)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720"/>
        <w:gridCol w:w="2304"/>
        <w:gridCol w:w="1152"/>
        <w:gridCol w:w="2304"/>
        <w:gridCol w:w="1440"/>
        <w:gridCol w:w="2015"/>
      </w:tblGrid>
      <w:tr>
        <w:tc>
          <w:tcPr>
            <w:tcW w:type="dxa" w:w="72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Titik</w:t>
            </w:r>
          </w:p>
        </w:tc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Lokasi</w:t>
            </w:r>
          </w:p>
        </w:tc>
        <w:tc>
          <w:tcPr>
            <w:tcW w:type="dxa" w:w="115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Jarak (m)</w:t>
            </w:r>
          </w:p>
        </w:tc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RSSI avg (dBm)</w:t>
            </w:r>
          </w:p>
        </w:tc>
        <w:tc>
          <w:tcPr>
            <w:tcW w:type="dxa" w:w="144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SNR avg (dB)</w:t>
            </w:r>
          </w:p>
        </w:tc>
        <w:tc>
          <w:tcPr>
            <w:tcW w:type="dxa" w:w="201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PDR</w:t>
            </w:r>
          </w:p>
        </w:tc>
      </w:tr>
      <w:tr>
        <w:tc>
          <w:tcPr>
            <w:tcW w:type="dxa" w:w="72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1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Depan Gedung Minyak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87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−94 (uji real-time singkat)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8,8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7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2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Gerbang Utara</w:t>
            </w:r>
          </w:p>
        </w:tc>
        <w:tc>
          <w:tcPr>
            <w:tcW w:type="dxa" w:w="115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243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−101</w:t>
            </w:r>
          </w:p>
        </w:tc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6,5</w:t>
            </w:r>
          </w:p>
        </w:tc>
        <w:tc>
          <w:tcPr>
            <w:tcW w:type="dxa" w:w="20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 (100/100)</w:t>
            </w:r>
          </w:p>
        </w:tc>
      </w:tr>
      <w:tr>
        <w:tc>
          <w:tcPr>
            <w:tcW w:type="dxa" w:w="72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3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Depan LFT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177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−94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9,3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 (100/100)</w:t>
            </w:r>
          </w:p>
        </w:tc>
      </w:tr>
      <w:tr>
        <w:tc>
          <w:tcPr>
            <w:tcW w:type="dxa" w:w="7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4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STEI Lt.2 (Labtek V)</w:t>
            </w:r>
          </w:p>
        </w:tc>
        <w:tc>
          <w:tcPr>
            <w:tcW w:type="dxa" w:w="115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201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−115</w:t>
            </w:r>
          </w:p>
        </w:tc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−5,2</w:t>
            </w:r>
          </w:p>
        </w:tc>
        <w:tc>
          <w:tcPr>
            <w:tcW w:type="dxa" w:w="20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87% (87/100)</w:t>
            </w:r>
          </w:p>
        </w:tc>
      </w:tr>
      <w:tr>
        <w:tc>
          <w:tcPr>
            <w:tcW w:type="dxa" w:w="72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5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Depan Gedung Fisika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342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−120 (sesaat)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−14,8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0%</w:t>
            </w:r>
          </w:p>
        </w:tc>
      </w:tr>
      <w:tr>
        <w:tc>
          <w:tcPr>
            <w:tcW w:type="dxa" w:w="7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6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SAPPK</w:t>
            </w:r>
          </w:p>
        </w:tc>
        <w:tc>
          <w:tcPr>
            <w:tcW w:type="dxa" w:w="115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141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20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Data tidak sampai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B2A4A"/>
        </w:rPr>
        <w:t>4.3 Uji orientasi antena 3 dBi (receiver arah selatan, 100 m)</w:t>
      </w:r>
    </w:p>
    <w:p>
      <w:pPr>
        <w:spacing w:after="120"/>
      </w:pPr>
      <w:r>
        <w:rPr>
          <w:b w:val="0"/>
          <w:i w:val="0"/>
          <w:sz w:val="19"/>
        </w:rPr>
        <w:t>Depan GKUT, arah selatan, 100 m: RSSI −89 / −72 / −60 dBm (min/avg/maks), SNR 9,2 / 10,4 / 11,5 dB, PDR 100%. Titik 200–300 m dan arah lain (barat daya, barat) mengalami timeout karena terhalang gedung. Uji orientasi dengan antena 8 dBi belum diisi datanya.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1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ra_bas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2. Rekap uji baseline komunikasi LoRa per kondisi lingkungan</w:t>
      </w:r>
    </w:p>
    <w:p>
      <w:pPr>
        <w:pStyle w:val="Heading1"/>
      </w:pPr>
      <w:r>
        <w:rPr>
          <w:color w:val="1B2A4A"/>
        </w:rPr>
        <w:t>5. Kesimpulan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Di area terbuka, PDR 100% tercapai hingga 100 m (RSSI −71 dBm); pada jalur pandang bebas di kampus, PDR 100% tercapai pada 177 m dan 243 m (FAT-03 lulus untuk jarak antar-hop yang direncanakan).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Gedung dan pepohonan menurunkan kualitas link (PDR 87% pada 201 m terhalang; putus di atas ±340 m).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Menaikkan antena penerima ke 6 m memperbaiki link di area gedung dan pepohonan (−93 dBm/98% menjadi −81 dBm/100%).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Keterbatasan jarak per hop diatasi dengan jaringan mesh multi-hop Cluster Head (lihat Laporan Uji Lab 03) dan penempatan antena Cluster Head/Gateway yang tinggi.</w:t>
      </w:r>
    </w:p>
    <w:p>
      <w:pPr>
        <w:pStyle w:val="Heading1"/>
      </w:pPr>
      <w:r>
        <w:rPr>
          <w:color w:val="1B2A4A"/>
        </w:rPr>
        <w:t>6. Lembar pengesahan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3311"/>
        <w:gridCol w:w="3311"/>
        <w:gridCol w:w="3311"/>
      </w:tblGrid>
      <w:tr>
        <w:trPr>
          <w:cantSplit/>
        </w:trPr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Dilaksanakan oleh</w:t>
              <w:br/>
              <w:t>Lab IoT ITB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Diperiksa oleh</w:t>
              <w:br/>
              <w:t>PT LAPI Ganesha Utama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Mengetahui</w:t>
              <w:br/>
              <w:t>PT Pertamina Patra Niaga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color w:val="5B5B5B"/>
        <w:sz w:val="16"/>
      </w:rPr>
      <w:t>LGU/GLD/UJI-LAB/2026-002  ·  Rev. 1.0</w:t>
    </w:r>
    <w:r>
      <w:rPr>
        <w:color w:val="5B5B5B"/>
        <w:sz w:val="16"/>
      </w:rPr>
      <w:tab/>
    </w:r>
    <w:r>
      <w:rPr>
        <w:color w:val="5B5B5B"/>
        <w:sz w:val="16"/>
      </w:rPr>
      <w:fldChar w:fldCharType="begin"/>
      <w:instrText xml:space="preserve">PAGE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  <w:r>
      <w:rPr>
        <w:color w:val="5B5B5B"/>
        <w:sz w:val="16"/>
      </w:rPr>
      <w:t xml:space="preserve"> dari </w:t>
    </w:r>
    <w:r>
      <w:rPr>
        <w:color w:val="5B5B5B"/>
        <w:sz w:val="16"/>
      </w:rPr>
      <w:fldChar w:fldCharType="begin"/>
      <w:instrText xml:space="preserve">NUMPAGES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B5B5B"/>
        <w:sz w:val="16"/>
      </w:rPr>
      <w:t>Laporan Uji Lab 02 — Komunikasi LoRa  |  Draf untuk Pengesahan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