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B2A4A"/>
          </w:tcPr>
          <w:p>
            <w:pPr>
              <w:spacing w:after="40"/>
            </w:pPr>
            <w:r>
              <w:rPr>
                <w:b/>
                <w:color w:val="FFFFFF"/>
                <w:sz w:val="28"/>
              </w:rPr>
              <w:t>PT LAPI GANESHA UTAMA</w:t>
            </w:r>
          </w:p>
          <w:p>
            <w:pPr>
              <w:spacing w:after="60"/>
            </w:pPr>
            <w:r>
              <w:rPr>
                <w:color w:val="C7D2E0"/>
                <w:sz w:val="19"/>
              </w:rPr>
              <w:t>Bekerja sama dengan Lab IoT &amp; Fisika Institut Teknologi Bandung</w:t>
            </w:r>
          </w:p>
        </w:tc>
      </w:tr>
    </w:tbl>
    <w:p>
      <w:pPr>
        <w:spacing w:after="200"/>
      </w:pPr>
    </w:p>
    <w:p>
      <w:pPr>
        <w:pStyle w:val="Title"/>
        <w:spacing w:after="80"/>
      </w:pPr>
      <w:r>
        <w:rPr>
          <w:b/>
          <w:color w:val="1B2A4A"/>
          <w:sz w:val="38"/>
        </w:rPr>
        <w:t>Daftar Persiapan untuk Vendor Instalasi RU IV Cilacap</w:t>
      </w:r>
    </w:p>
    <w:p>
      <w:pPr>
        <w:spacing w:after="240"/>
      </w:pPr>
      <w:r>
        <w:rPr>
          <w:b w:val="0"/>
          <w:color w:val="5B5B5B"/>
          <w:sz w:val="21"/>
        </w:rPr>
        <w:t>Dokumen yang diserahkan LAPI Ganesha Utama (LGU) kepada vendor yang ditunjuk Pertamina untuk fabrikasi, mobilisasi, dan pemasangan fisik perangkat GLD Tahap 2 di RU IV Cilacap. Memuat pembagian tanggung jawab, dokumen pendukung, dan checklist yang perlu disiapkan vendor sebelum mobilisasi.</w:t>
      </w:r>
    </w:p>
    <w:p>
      <w:pPr>
        <w:spacing w:after="40"/>
      </w:pPr>
    </w:p>
    <w:p>
      <w:pPr>
        <w:spacing w:after="80"/>
      </w:pPr>
      <w:r>
        <w:rPr>
          <w:b/>
          <w:color w:val="1B2A4A"/>
          <w:sz w:val="22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Nomor dokumen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9"/>
              </w:rPr>
              <w:t>LGU/GLD/INSTALASI-VENDOR/2026-001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Revisi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9"/>
              </w:rPr>
              <w:t>1.1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Tanggal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9"/>
              </w:rPr>
              <w:t>30 September 2026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Status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9"/>
              </w:rPr>
              <w:t>Draf kerja — untuk koordinasi PT Pertamina Patra Niaga, RU IV Cilacap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Disiapkan oleh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9"/>
              </w:rPr>
              <w:t>PT LAPI Ganesha Utama, bersama Lab IoT &amp; Fisika Institut Teknologi Bandung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Ditujukan kepada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9"/>
              </w:rPr>
              <w:t>PT Pertamina Patra Niaga — RU IV Cilacap</w:t>
            </w:r>
          </w:p>
        </w:tc>
      </w:tr>
    </w:tbl>
    <w:p>
      <w:pPr>
        <w:spacing w:after="2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5F5F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60"/>
            </w:pPr>
            <w:r>
              <w:rPr>
                <w:b/>
                <w:color w:val="1B2A4A"/>
                <w:sz w:val="19"/>
              </w:rPr>
              <w:t>Yang diserahkan LGU</w:t>
            </w:r>
          </w:p>
          <w:p>
            <w:r>
              <w:rPr>
                <w:b w:val="0"/>
                <w:sz w:val="17"/>
              </w:rPr>
              <w:t>Basis desain bracket (CAD), spesifikasi mounting &amp; catu daya, daftar unit, dan checklist acuan — lihat Bagian 2.</w:t>
            </w:r>
          </w:p>
        </w:tc>
        <w:tc>
          <w:tcPr>
            <w:tcW w:type="dxa" w:w="3324"/>
            <w:shd w:val="clear" w:color="auto" w:fill="F5F5F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60"/>
            </w:pPr>
            <w:r>
              <w:rPr>
                <w:b/>
                <w:color w:val="1B2A4A"/>
                <w:sz w:val="19"/>
              </w:rPr>
              <w:t>Yang harus disiapkan vendor</w:t>
            </w:r>
          </w:p>
          <w:p>
            <w:r>
              <w:rPr>
                <w:b w:val="0"/>
                <w:sz w:val="17"/>
              </w:rPr>
              <w:t>Izin kerja &amp; TRA/JSA disahkan, personel bersertifikat kerja di ketinggian, material fastener, dan verifikasi titik pasang — lihat Bagian 3.</w:t>
            </w:r>
          </w:p>
        </w:tc>
        <w:tc>
          <w:tcPr>
            <w:tcW w:type="dxa" w:w="3324"/>
            <w:shd w:val="clear" w:color="auto" w:fill="F5F5F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60"/>
            </w:pPr>
            <w:r>
              <w:rPr>
                <w:b/>
                <w:color w:val="1B2A4A"/>
                <w:sz w:val="19"/>
              </w:rPr>
              <w:t>Batas tanggung jawab &amp; keselamatan</w:t>
            </w:r>
          </w:p>
          <w:p>
            <w:r>
              <w:rPr>
                <w:b w:val="0"/>
                <w:sz w:val="17"/>
              </w:rPr>
              <w:t xml:space="preserve">Vendor mengeksekusi fisik </w:t>
            </w:r>
            <w:r>
              <w:rPr>
                <w:b/>
                <w:sz w:val="17"/>
              </w:rPr>
              <w:t>termasuk sertifikasi HSE ketinggian</w:t>
            </w:r>
            <w:r>
              <w:rPr>
                <w:b w:val="0"/>
                <w:sz w:val="17"/>
              </w:rPr>
              <w:t>; LGU tidak eksekusi fisik, hanya supervisi teknis/QA + elektrikal spesifik GLD — lihat Bagian 1 &amp; 5.</w:t>
            </w:r>
          </w:p>
        </w:tc>
      </w:tr>
    </w:tbl>
    <w:p>
      <w:pPr>
        <w:spacing w:after="120"/>
      </w:pPr>
    </w:p>
    <w:p>
      <w:pPr>
        <w:pStyle w:val="Heading1"/>
      </w:pPr>
      <w:r>
        <w:t>1. Pembagian tanggung jawab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4EC"/>
            <w:tcBorders>
              <w:top w:val="single" w:sz="6" w:color="3C7A44"/>
              <w:left w:val="single" w:sz="6" w:color="3C7A44"/>
              <w:bottom w:val="single" w:sz="6" w:color="3C7A44"/>
              <w:right w:val="single" w:sz="6" w:color="3C7A44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  <w:t>Prinsip pembagian kerja (dikonfirmasi LGU–Pertamina).</w:t>
            </w:r>
            <w:r>
              <w:rPr>
                <w:b w:val="0"/>
                <w:sz w:val="19"/>
              </w:rPr>
              <w:t xml:space="preserve"> Vendor Pertamina adalah pelaksana fisik di lapangan, termasuk kompetensi dan sertifikasi kerja di ketinggian. LGU tidak memasang unit secara fisik — perannya adalah basis desain, supervisi teknis/QA, dan pekerjaan elektrikal yang spesifik ke perangkat GLD.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Pihak</w:t>
            </w:r>
          </w:p>
        </w:tc>
        <w:tc>
          <w:tcPr>
            <w:tcW w:type="dxa" w:w="498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Tanggung jawab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/>
                <w:sz w:val="18"/>
              </w:rPr>
              <w:t>Vendor Pertamina</w:t>
            </w:r>
            <w:r>
              <w:br/>
            </w:r>
            <w:r>
              <w:rPr>
                <w:b w:val="0"/>
                <w:sz w:val="18"/>
              </w:rPr>
              <w:t>Pelaksana fisik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18"/>
              </w:rPr>
              <w:t>Verifikasi ukuran &amp; kondisi struktur di lapangan, shop drawing, fabrikasi bracket sesuai basis desain, mobilisasi, pemasangan fisik bracket/CH/sensor node, kompetensi &amp; sertifikasi HSE kerja di ketinggian, alat kerja &amp; APD, metode kerja, dan izin kerja lapangan.</w:t>
            </w:r>
          </w:p>
        </w:tc>
      </w:tr>
      <w:tr>
        <w:tc>
          <w:tcPr>
            <w:tcW w:type="dxa" w:w="4986"/>
            <w:shd w:val="clear" w:color="auto" w:fill="FAFAF8"/>
          </w:tcPr>
          <w:p>
            <w:pPr>
              <w:spacing w:after="40"/>
            </w:pPr>
            <w:r>
              <w:rPr>
                <w:b/>
                <w:sz w:val="18"/>
              </w:rPr>
              <w:t>LGU</w:t>
            </w:r>
            <w:r>
              <w:br/>
            </w:r>
            <w:r>
              <w:rPr>
                <w:b w:val="0"/>
                <w:sz w:val="18"/>
              </w:rPr>
              <w:t>Basis desain + supervisi</w:t>
            </w:r>
          </w:p>
        </w:tc>
        <w:tc>
          <w:tcPr>
            <w:tcW w:type="dxa" w:w="4986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Menyediakan basis desain &amp; file CAD, menjawab pertanyaan interface GLD, supervisi teknis/QA selama pemasangan, terminasi elektrikal spesifik GLD, energize, dan commissioning/uji fungsional bersama HSE/control room.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/>
                <w:sz w:val="18"/>
              </w:rPr>
              <w:t>Pertamina RU IV</w:t>
            </w:r>
            <w:r>
              <w:br/>
            </w:r>
            <w:r>
              <w:rPr>
                <w:b w:val="0"/>
                <w:sz w:val="18"/>
              </w:rPr>
              <w:t>Pemilik lokasi &amp; izin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18"/>
              </w:rPr>
              <w:t>Penetapan titik/area pasang, klasifikasi area (safe/hazardous), akses struktur, izin kerja &amp; persetujuan HSE/operasi, penugasan resmi vendor, penyediaan PC dedicated dekat Gateway, serta catu daya 24 VDC (kabel &amp; PSU) ke titik pasang.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color w:val="5B5B5B"/>
          <w:sz w:val="18"/>
        </w:rPr>
        <w:t>Penyerahan dokumen ini bukan izin kerja dan bukan bukti sertifikasi area berbahaya. Instalasi permanen di area berbahaya baru dapat dimulai setelah jalur kerja, izin/HSE, klasifikasi area, dan gate sertifikasi yang relevan disetujui Pertamina/RU IV (lihat Bagian 5).</w:t>
      </w:r>
    </w:p>
    <w:p>
      <w:pPr>
        <w:pStyle w:val="Heading1"/>
      </w:pPr>
      <w:r>
        <w:t>2. Dokumen &amp; lampiran yang diserahkan ke vendor</w:t>
      </w:r>
    </w:p>
    <w:p>
      <w:pPr>
        <w:pStyle w:val="ListBullet"/>
        <w:spacing w:after="60"/>
      </w:pPr>
      <w:r>
        <w:rPr>
          <w:b/>
          <w:sz w:val="19"/>
        </w:rPr>
        <w:t>Gambar/desain bracket mounting</w:t>
      </w:r>
      <w:r>
        <w:rPr>
          <w:b w:val="0"/>
          <w:sz w:val="19"/>
        </w:rPr>
        <w:t xml:space="preserve"> (pelat mounting U-bolt 2"/DN50, non-invasive): </w:t>
      </w:r>
      <w:r>
        <w:rPr>
          <w:color w:val="1B2A4A"/>
          <w:sz w:val="19"/>
          <w:u w:val="single"/>
        </w:rPr>
        <w:t>Desain_Bracket_L_UBolt_GLD_Mounting.html</w:t>
      </w:r>
      <w:r>
        <w:rPr>
          <w:b w:val="0"/>
          <w:sz w:val="19"/>
        </w:rPr>
        <w:t xml:space="preserve"> / </w:t>
      </w:r>
      <w:r>
        <w:rPr>
          <w:rFonts w:ascii="Consolas" w:hAnsi="Consolas"/>
          <w:color w:val="5B5B5B"/>
          <w:sz w:val="18"/>
        </w:rPr>
        <w:t>.pdf</w:t>
      </w:r>
      <w:r>
        <w:rPr>
          <w:b w:val="0"/>
          <w:sz w:val="19"/>
        </w:rPr>
        <w:t xml:space="preserve"> — spesifikasi, tampak 2D, dan viewer 3D interaktif.</w:t>
      </w:r>
    </w:p>
    <w:p>
      <w:pPr>
        <w:pStyle w:val="ListBullet"/>
        <w:spacing w:after="60"/>
      </w:pPr>
      <w:r>
        <w:rPr>
          <w:b/>
          <w:sz w:val="19"/>
        </w:rPr>
        <w:t>File CAD netral untuk fabrikasi/shop drawing</w:t>
      </w:r>
      <w:r>
        <w:rPr>
          <w:b w:val="0"/>
          <w:sz w:val="19"/>
        </w:rPr>
        <w:t xml:space="preserve">: </w:t>
      </w:r>
      <w:r>
        <w:rPr>
          <w:rFonts w:ascii="Consolas" w:hAnsi="Consolas"/>
          <w:color w:val="5B5B5B"/>
          <w:sz w:val="18"/>
        </w:rPr>
        <w:t>Sumber Dokumen/GLD U Bolt Bracket/ATEX CASING v2.step</w:t>
      </w:r>
      <w:r>
        <w:rPr>
          <w:b w:val="0"/>
          <w:sz w:val="19"/>
        </w:rPr>
        <w:t xml:space="preserve"> (STEP, satuan mm, bertoleransi) dan </w:t>
      </w:r>
      <w:r>
        <w:rPr>
          <w:rFonts w:ascii="Consolas" w:hAnsi="Consolas"/>
          <w:color w:val="5B5B5B"/>
          <w:sz w:val="18"/>
        </w:rPr>
        <w:t>ATEX CASING v2.obj/.mtl</w:t>
      </w:r>
      <w:r>
        <w:rPr>
          <w:b w:val="0"/>
          <w:sz w:val="19"/>
        </w:rPr>
        <w:t xml:space="preserve"> (model 3D pendukung visualisasi).</w:t>
      </w:r>
    </w:p>
    <w:p>
      <w:pPr>
        <w:pStyle w:val="ListBullet"/>
        <w:spacing w:after="60"/>
      </w:pPr>
      <w:r>
        <w:rPr>
          <w:b/>
          <w:sz w:val="19"/>
        </w:rPr>
        <w:t>Referensi visual cepat</w:t>
      </w:r>
      <w:r>
        <w:rPr>
          <w:b w:val="0"/>
          <w:sz w:val="19"/>
        </w:rPr>
        <w:t xml:space="preserve">: </w:t>
      </w:r>
      <w:r>
        <w:rPr>
          <w:rFonts w:ascii="Consolas" w:hAnsi="Consolas"/>
          <w:color w:val="5B5B5B"/>
          <w:sz w:val="18"/>
        </w:rPr>
        <w:t>Sumber Dokumen/GLD U Bolt Bracket/GLD U-Bolt Bracket V2.png</w:t>
      </w:r>
      <w:r>
        <w:rPr>
          <w:b w:val="0"/>
          <w:sz w:val="19"/>
        </w:rPr>
        <w:t>.</w:t>
      </w:r>
    </w:p>
    <w:p>
      <w:pPr>
        <w:pStyle w:val="ListBullet"/>
        <w:spacing w:after="60"/>
      </w:pPr>
      <w:r>
        <w:rPr>
          <w:b/>
          <w:sz w:val="19"/>
        </w:rPr>
        <w:t>Checklist kesiapan instalasi</w:t>
      </w:r>
      <w:r>
        <w:rPr>
          <w:b w:val="0"/>
          <w:sz w:val="19"/>
        </w:rPr>
        <w:t xml:space="preserve"> (izin, HSE, mekanik, daya, rencana commissioning bersama RU IV): </w:t>
      </w:r>
      <w:r>
        <w:rPr>
          <w:color w:val="1B2A4A"/>
          <w:sz w:val="19"/>
          <w:u w:val="single"/>
        </w:rPr>
        <w:t>Checklist_Kesiapan_Instalasi_RU-IV_Cilacap.html</w:t>
      </w:r>
      <w:r>
        <w:rPr>
          <w:b w:val="0"/>
          <w:sz w:val="19"/>
        </w:rPr>
        <w:t>.</w:t>
      </w:r>
    </w:p>
    <w:p>
      <w:pPr>
        <w:pStyle w:val="ListBullet"/>
        <w:spacing w:after="60"/>
      </w:pPr>
      <w:r>
        <w:rPr>
          <w:b/>
          <w:sz w:val="19"/>
        </w:rPr>
        <w:t>Draft JSA/HSE</w:t>
      </w:r>
      <w:r>
        <w:rPr>
          <w:b w:val="0"/>
          <w:sz w:val="19"/>
        </w:rPr>
        <w:t xml:space="preserve"> (belum disahkan — acuan awal, bukan pengganti TRA/JSA resmi RU IV): </w:t>
      </w:r>
      <w:r>
        <w:rPr>
          <w:color w:val="1B2A4A"/>
          <w:sz w:val="19"/>
          <w:u w:val="single"/>
        </w:rPr>
        <w:t>JSA_HSE_RU-IV_Cilacap_GLD.html</w:t>
      </w:r>
      <w:r>
        <w:rPr>
          <w:b w:val="0"/>
          <w:sz w:val="19"/>
        </w:rPr>
        <w:t>.</w:t>
      </w:r>
    </w:p>
    <w:p>
      <w:pPr>
        <w:pStyle w:val="ListBullet"/>
        <w:spacing w:after="60"/>
      </w:pPr>
      <w:r>
        <w:rPr>
          <w:b/>
          <w:sz w:val="19"/>
        </w:rPr>
        <w:t>Datasheet sistem</w:t>
      </w:r>
      <w:r>
        <w:rPr>
          <w:b w:val="0"/>
          <w:sz w:val="19"/>
        </w:rPr>
        <w:t xml:space="preserve"> (arsitektur, hardware, catu daya, status gate/sertifikasi): </w:t>
      </w:r>
      <w:r>
        <w:rPr>
          <w:color w:val="1B2A4A"/>
          <w:sz w:val="19"/>
          <w:u w:val="single"/>
        </w:rPr>
        <w:t>Datasheet_Sistem_GLD_Arsitektur_ServerJaringan.html</w:t>
      </w:r>
      <w:r>
        <w:rPr>
          <w:b w:val="0"/>
          <w:sz w:val="19"/>
        </w:rPr>
        <w:t>.</w:t>
      </w:r>
    </w:p>
    <w:p>
      <w:pPr>
        <w:pStyle w:val="ListBullet"/>
        <w:spacing w:after="60"/>
      </w:pPr>
      <w:r>
        <w:rPr>
          <w:b/>
          <w:sz w:val="19"/>
        </w:rPr>
        <w:t>Cover sheet penyerahan desain bracket</w:t>
      </w:r>
      <w:r>
        <w:rPr>
          <w:b w:val="0"/>
          <w:sz w:val="19"/>
        </w:rPr>
        <w:t xml:space="preserve"> (ringkasan basis desain &amp; wajib konfirmasi vendor): </w:t>
      </w:r>
      <w:r>
        <w:rPr>
          <w:rFonts w:ascii="Consolas" w:hAnsi="Consolas"/>
          <w:color w:val="5B5B5B"/>
          <w:sz w:val="18"/>
        </w:rPr>
        <w:t>Deliverables/Petunjuk_Penyerahan_Desain_Bracket_ke_Vendor_RU-IV.md</w:t>
      </w:r>
      <w:r>
        <w:rPr>
          <w:b w:val="0"/>
          <w:sz w:val="19"/>
        </w:rPr>
        <w:t>.</w:t>
      </w:r>
    </w:p>
    <w:p>
      <w:pPr>
        <w:pStyle w:val="Heading1"/>
      </w:pPr>
      <w:r>
        <w:t>3. Checklist persiapan vendor sebelum mobilisasi</w:t>
      </w:r>
    </w:p>
    <w:p>
      <w:pPr>
        <w:pStyle w:val="Heading2"/>
      </w:pPr>
      <w:r>
        <w:t>3.1 Legalitas &amp; izin kerja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✓</w:t>
            </w:r>
          </w:p>
        </w:tc>
        <w:tc>
          <w:tcPr>
            <w:tcW w:type="dxa" w:w="3324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Item</w:t>
            </w:r>
          </w:p>
        </w:tc>
        <w:tc>
          <w:tcPr>
            <w:tcW w:type="dxa" w:w="3324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Status/catatan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TRA/JSA spesifik titik pasang disahkan bersama HSE RU IV dan LGU (mencakup SIMOPS, bahaya listrik 24 VDC, kerja di ketinggian, energize/commissioning).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color w:val="B23A3A"/>
                <w:sz w:val="17"/>
              </w:rPr>
              <w:t xml:space="preserve"> WAJIB SEBELUM MULAI </w:t>
            </w:r>
          </w:p>
        </w:tc>
      </w:tr>
      <w:tr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Izin kerja (SIKA/PTW), izin masuk personel, dan surat masuk barang/alat sesuai prosedur RU IV.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/>
                <w:color w:val="B23A3A"/>
                <w:sz w:val="17"/>
              </w:rPr>
              <w:t xml:space="preserve"> WAJIB SEBELUM MOBILISASI 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Konfirmasi jalur kerja (chamber HQ / uji lapangan terkendali / instalasi permanen) sesuai keputusan RU IV — syarat izin berbeda untuk tiap jalur.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color w:val="8A6D1E"/>
                <w:sz w:val="17"/>
              </w:rPr>
              <w:t xml:space="preserve"> LIHAT CHECKLIST KESIAPAN </w:t>
            </w:r>
          </w:p>
        </w:tc>
      </w:tr>
    </w:tbl>
    <w:p>
      <w:pPr>
        <w:spacing w:after="80"/>
      </w:pPr>
    </w:p>
    <w:p>
      <w:pPr>
        <w:pStyle w:val="Heading2"/>
      </w:pPr>
      <w:r>
        <w:t>3.2 Personel &amp; kompetensi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✓</w:t>
            </w:r>
          </w:p>
        </w:tc>
        <w:tc>
          <w:tcPr>
            <w:tcW w:type="dxa" w:w="3324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Item</w:t>
            </w:r>
          </w:p>
        </w:tc>
        <w:tc>
          <w:tcPr>
            <w:tcW w:type="dxa" w:w="3324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Status/catatan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Personel bersertifikat kerja di ketinggian (sesuai titik pasang) — sertifikasi HSE ketinggian tanggung jawab vendor, bukan LGU.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color w:val="B23A3A"/>
                <w:sz w:val="17"/>
              </w:rPr>
              <w:t xml:space="preserve"> TANGGUNG JAWAB VENDOR </w:t>
            </w:r>
          </w:p>
        </w:tc>
      </w:tr>
      <w:tr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Supervisor lapangan vendor ditunjuk, dengan jalur komunikasi ke supervisor QA LGU dan PIC HSE/control room RU IV.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/>
                <w:color w:val="8A6D1E"/>
                <w:sz w:val="17"/>
              </w:rPr>
              <w:t xml:space="preserve"> PERLU PENUNJUKAN </w:t>
            </w:r>
          </w:p>
        </w:tc>
      </w:tr>
    </w:tbl>
    <w:p>
      <w:pPr>
        <w:spacing w:after="80"/>
      </w:pPr>
    </w:p>
    <w:p>
      <w:pPr>
        <w:pStyle w:val="Heading2"/>
      </w:pPr>
      <w:r>
        <w:t>3.3 Material, alat, dan fastener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✓</w:t>
            </w:r>
          </w:p>
        </w:tc>
        <w:tc>
          <w:tcPr>
            <w:tcW w:type="dxa" w:w="3324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Item</w:t>
            </w:r>
          </w:p>
        </w:tc>
        <w:tc>
          <w:tcPr>
            <w:tcW w:type="dxa" w:w="3324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Status/catatan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Bracket L + U-bolt sesuai basis desain (2"/DN50, OD pipa 60,3 mm, M10; inside width 62–65 mm, inside height 95–100 mm, panjang ulir rekomendasi 40 mm).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color w:val="8A6D1E"/>
                <w:sz w:val="17"/>
              </w:rPr>
              <w:t xml:space="preserve"> FABRIKASI VENDOR/SHOP DRAWING </w:t>
            </w:r>
          </w:p>
        </w:tc>
      </w:tr>
      <w:tr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Mur/baut/washer, kunci ukuran sesuai, material anti-korosi, dan pelat spacer bila diperlukan. Hindari PVC.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/>
                <w:color w:val="8A6D1E"/>
                <w:sz w:val="17"/>
              </w:rPr>
              <w:t xml:space="preserve"> DETAIL FASTENER TERBUKA 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Alat kerja standar (torque wrench, alat ukur, alat angkat/tangga/scaffolding sesuai metode kerja), APD lengkap, LOTO, dan gas test bila dipersyaratkan area.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color w:val="8A6D1E"/>
                <w:sz w:val="17"/>
              </w:rPr>
              <w:t xml:space="preserve"> PERLU RENCANA KERJA </w:t>
            </w:r>
          </w:p>
        </w:tc>
      </w:tr>
      <w:tr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Tanpa pengelasan atau pengeboran struktur permanen kecuali metode disetujui tertulis oleh RU IV.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/>
                <w:color w:val="B23A3A"/>
                <w:sz w:val="17"/>
              </w:rPr>
              <w:t xml:space="preserve"> BATASAN TETAP </w:t>
            </w:r>
          </w:p>
        </w:tc>
      </w:tr>
    </w:tbl>
    <w:p>
      <w:pPr>
        <w:spacing w:after="80"/>
      </w:pPr>
    </w:p>
    <w:p>
      <w:pPr>
        <w:pStyle w:val="Heading2"/>
      </w:pPr>
      <w:r>
        <w:t>3.4 Verifikasi lapangan (sebelum fabrikasi 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✓</w:t>
            </w:r>
          </w:p>
        </w:tc>
        <w:tc>
          <w:tcPr>
            <w:tcW w:type="dxa" w:w="3324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Item</w:t>
            </w:r>
          </w:p>
        </w:tc>
        <w:tc>
          <w:tcPr>
            <w:tcW w:type="dxa" w:w="3324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Status/catatan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Diameter luar, bentuk, material, dan kondisi aktual struktur pemasangan di setiap titik (GLD, CH, Gateway).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color w:val="8A6D1E"/>
                <w:sz w:val="17"/>
              </w:rPr>
              <w:t xml:space="preserve"> VERIFIKASI VENDOR </w:t>
            </w:r>
          </w:p>
        </w:tc>
      </w:tr>
      <w:tr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 xml:space="preserve">Orientasi pemasangan: tiang vertikal atau handrail/pipa horizontal. </w:t>
            </w:r>
            <w:r>
              <w:rPr>
                <w:b/>
                <w:sz w:val="18"/>
              </w:rPr>
              <w:t>Desain CAD saat ini belum diverifikasi tertulis untuk kedua orientasi tanpa varian/rotasi</w:t>
            </w:r>
            <w:r>
              <w:rPr>
                <w:b w:val="0"/>
                <w:sz w:val="18"/>
              </w:rPr>
              <w:t xml:space="preserve"> — konfirmasi sebelum fabrikasi massal.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/>
                <w:color w:val="B23A3A"/>
                <w:sz w:val="17"/>
              </w:rPr>
              <w:t xml:space="preserve"> PERLU KONFIRMASI TERTULIS 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Beban total unit GLD, vibrasi, beban angin, clearance maintenance, dan akses kerja di lokasi.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color w:val="8A6D1E"/>
                <w:sz w:val="17"/>
              </w:rPr>
              <w:t xml:space="preserve"> VERIFIKASI VENDOR </w:t>
            </w:r>
          </w:p>
        </w:tc>
      </w:tr>
      <w:tr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Klasifikasi area (safe area / area berbahaya) per titik pasang — dikonfirmasi HSE/Engineering RU IV, jangan diasumsikan.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/>
                <w:color w:val="B23A3A"/>
                <w:sz w:val="17"/>
              </w:rPr>
              <w:t xml:space="preserve"> WAJIB SEBELUM PASANG </w:t>
            </w:r>
          </w:p>
        </w:tc>
      </w:tr>
    </w:tbl>
    <w:p>
      <w:pPr>
        <w:spacing w:after="80"/>
      </w:pPr>
    </w:p>
    <w:p>
      <w:pPr>
        <w:pStyle w:val="Heading2"/>
      </w:pPr>
      <w:r>
        <w:t>3.5 Unit &amp; catu daya yang menyertai instalasi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✓</w:t>
            </w:r>
          </w:p>
        </w:tc>
        <w:tc>
          <w:tcPr>
            <w:tcW w:type="dxa" w:w="3324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Item</w:t>
            </w:r>
          </w:p>
        </w:tc>
        <w:tc>
          <w:tcPr>
            <w:tcW w:type="dxa" w:w="3324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Status/catatan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Daftar unit GLD yang dibawa: 3 unit untuk RU IV + 1 unit cadangan — catat serial number, versi firmware, kondisi casing/konektor sebelum &amp; sesudah mobilisasi.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color w:val="8A6D1E"/>
                <w:sz w:val="17"/>
              </w:rPr>
              <w:t xml:space="preserve"> VERIFIKASI PRA-MOBILISASI </w:t>
            </w:r>
          </w:p>
        </w:tc>
      </w:tr>
      <w:tr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Titik catu daya 24 VDC ≥1 A per unit GLD — kabel &amp; PSU disediakan RU IV/kilang; vendor menyiapkan jalur kabel, proteksi, terminasi, dan identifikasi kabel sesuai instruksi LGU/RU IV.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/>
                <w:color w:val="8A6D1E"/>
                <w:sz w:val="17"/>
              </w:rPr>
              <w:t xml:space="preserve"> RU IV MENYEDIAKAN KABEL/PSU 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Energize dan terminasi elektrikal spesifik GLD dipimpin LGU — vendor menyiapkan akses &amp; kondisi aman untuk pekerjaan ini, bukan mengeksekusi terminasi sendiri.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color w:val="8A6D1E"/>
                <w:sz w:val="17"/>
              </w:rPr>
              <w:t xml:space="preserve"> KOORDINASI DENGAN LGU </w:t>
            </w:r>
          </w:p>
        </w:tc>
      </w:tr>
    </w:tbl>
    <w:p>
      <w:pPr>
        <w:spacing w:after="80"/>
      </w:pPr>
    </w:p>
    <w:p>
      <w:pPr>
        <w:pStyle w:val="Heading2"/>
      </w:pPr>
      <w:r>
        <w:t>3.6 Koordinasi hari-H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✓</w:t>
            </w:r>
          </w:p>
        </w:tc>
        <w:tc>
          <w:tcPr>
            <w:tcW w:type="dxa" w:w="3324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Item</w:t>
            </w:r>
          </w:p>
        </w:tc>
        <w:tc>
          <w:tcPr>
            <w:tcW w:type="dxa" w:w="3324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7"/>
              </w:rPr>
              <w:t>Status/catatan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Jadwal mobilisasi &amp; durasi kerja disepakati bersama RU IV, HSE, dan LGU.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color w:val="8A6D1E"/>
                <w:sz w:val="17"/>
              </w:rPr>
              <w:t xml:space="preserve"> PERLU KONFIRMASI </w:t>
            </w:r>
          </w:p>
        </w:tc>
      </w:tr>
      <w:tr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 w:val="0"/>
                <w:sz w:val="18"/>
              </w:rPr>
              <w:t>Daftar kontak: PIC operasi RU IV, HSE, control room, IT, vendor, dan supervisor QA LGU — termasuk jalur stop-work.</w:t>
            </w:r>
          </w:p>
        </w:tc>
        <w:tc>
          <w:tcPr>
            <w:tcW w:type="dxa" w:w="3324"/>
            <w:shd w:val="clear" w:color="auto" w:fill="FAFAF8"/>
          </w:tcPr>
          <w:p>
            <w:pPr>
              <w:spacing w:after="40"/>
            </w:pPr>
            <w:r>
              <w:rPr>
                <w:b/>
                <w:color w:val="8A6D1E"/>
                <w:sz w:val="17"/>
              </w:rPr>
              <w:t xml:space="preserve"> PERLU DIISI 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 w:val="0"/>
                <w:sz w:val="18"/>
              </w:rPr>
              <w:t>Rencana rollback/pelepasan bila ditemukan kondisi tidak sesuai saat pemasangan (mis. struktur tidak sesuai desain, area ternyata hazardous tanpa dasar sertifikasi).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b/>
                <w:color w:val="8A6D1E"/>
                <w:sz w:val="17"/>
              </w:rPr>
              <w:t xml:space="preserve"> DISEPAKATI SEBELUM MULAI </w:t>
            </w:r>
          </w:p>
        </w:tc>
      </w:tr>
    </w:tbl>
    <w:p>
      <w:pPr>
        <w:spacing w:after="80"/>
      </w:pPr>
    </w:p>
    <w:p>
      <w:pPr>
        <w:pStyle w:val="Heading1"/>
      </w:pPr>
      <w:r>
        <w:t>4. Wajib dikonfirmasi vendor ke LGU/RU IV sebelum mulai kerja</w:t>
      </w:r>
    </w:p>
    <w:p>
      <w:pPr>
        <w:pStyle w:val="ListBullet"/>
        <w:spacing w:after="60"/>
      </w:pPr>
      <w:r>
        <w:rPr>
          <w:b w:val="0"/>
          <w:sz w:val="19"/>
        </w:rPr>
        <w:t>Titik pasang final tiap GLD/CH/Gateway serta jalur kabel, tinggi, dan akses kerja.</w:t>
      </w:r>
    </w:p>
    <w:p>
      <w:pPr>
        <w:pStyle w:val="ListBullet"/>
        <w:spacing w:after="60"/>
      </w:pPr>
      <w:r>
        <w:rPr>
          <w:b w:val="0"/>
          <w:sz w:val="19"/>
        </w:rPr>
        <w:t>Orientasi struktur eksisting (tiang vertikal atau handrail horizontal) di tiap titik — dicocokkan dengan desain CAD sebelum fabrikasi massal.</w:t>
      </w:r>
    </w:p>
    <w:p>
      <w:pPr>
        <w:pStyle w:val="ListBullet"/>
        <w:spacing w:after="60"/>
      </w:pPr>
      <w:r>
        <w:rPr>
          <w:b w:val="0"/>
          <w:sz w:val="19"/>
        </w:rPr>
        <w:t>Klasifikasi area (safe/hazardous) resmi dari HSE/Engineering RU IV untuk tiap titik pasang.</w:t>
      </w:r>
    </w:p>
    <w:p>
      <w:pPr>
        <w:pStyle w:val="ListBullet"/>
        <w:spacing w:after="60"/>
      </w:pPr>
      <w:r>
        <w:rPr>
          <w:b w:val="0"/>
          <w:sz w:val="19"/>
        </w:rPr>
        <w:t>Kesesuaian/sertifikasi area berbahaya bila pekerjaan berupa instalasi permanen di area berbahaya — status saat ini masih persiapan dokumen, belum ada bukti kesesuaian terbit.</w:t>
      </w:r>
    </w:p>
    <w:p>
      <w:pPr>
        <w:pStyle w:val="ListBullet"/>
        <w:spacing w:after="60"/>
      </w:pPr>
      <w:r>
        <w:rPr>
          <w:b w:val="0"/>
          <w:sz w:val="19"/>
        </w:rPr>
        <w:t>Metode kerja &amp; alat yang dipakai bila menyimpang dari basis desain (mis. jika titik pasang tidak cocok dengan U-bolt 2"/DN50 standar).</w:t>
      </w:r>
    </w:p>
    <w:p>
      <w:pPr>
        <w:pStyle w:val="Heading1"/>
      </w:pPr>
      <w:r>
        <w:t>5. Batasan &amp; catatan keselamatan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9E9"/>
            <w:tcBorders>
              <w:top w:val="single" w:sz="6" w:color="B23A3A"/>
              <w:left w:val="single" w:sz="6" w:color="B23A3A"/>
              <w:bottom w:val="single" w:sz="6" w:color="B23A3A"/>
              <w:right w:val="single" w:sz="6" w:color="B23A3A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  <w:t>Jangan diasumsikan tersertifikasi.</w:t>
            </w:r>
            <w:r>
              <w:rPr>
                <w:b w:val="0"/>
                <w:sz w:val="19"/>
              </w:rPr>
              <w:t xml:space="preserve"> Perangkat GLD saat ini </w:t>
            </w:r>
            <w:r>
              <w:rPr>
                <w:b w:val="0"/>
                <w:sz w:val="19"/>
              </w:rPr>
              <w:t>belum</w:t>
            </w:r>
            <w:r>
              <w:rPr>
                <w:b w:val="0"/>
                <w:sz w:val="19"/>
              </w:rPr>
              <w:t xml:space="preserve"> memiliki sertifikasi area berbahaya (ATEX/IECEx) — masih tahap persiapan dokumen. Instalasi permanen di area berbahaya (lihat Checklist Kesiapan Instalasi) </w:t>
            </w:r>
            <w:r>
              <w:rPr>
                <w:b w:val="0"/>
                <w:sz w:val="19"/>
              </w:rPr>
              <w:t>belum GO</w:t>
            </w:r>
            <w:r>
              <w:rPr>
                <w:b w:val="0"/>
                <w:sz w:val="19"/>
              </w:rPr>
              <w:t>. Jangan memasang unit secara permanen di area berbahaya sampai gate ini disetujui Pertamina/RU IV.</w:t>
            </w:r>
          </w:p>
        </w:tc>
      </w:tr>
    </w:tbl>
    <w:p>
      <w:pPr>
        <w:spacing w:after="120"/>
      </w:pPr>
    </w:p>
    <w:p>
      <w:pPr>
        <w:pStyle w:val="ListBullet"/>
        <w:spacing w:after="60"/>
      </w:pPr>
      <w:r>
        <w:rPr>
          <w:b w:val="0"/>
          <w:sz w:val="19"/>
        </w:rPr>
        <w:t xml:space="preserve">Thermal camera </w:t>
      </w:r>
      <w:r>
        <w:rPr>
          <w:b/>
          <w:sz w:val="19"/>
        </w:rPr>
        <w:t>tidak termasuk</w:t>
      </w:r>
      <w:r>
        <w:rPr>
          <w:b w:val="0"/>
          <w:sz w:val="19"/>
        </w:rPr>
        <w:t xml:space="preserve"> scope instalasi atau dokumen ini.</w:t>
      </w:r>
    </w:p>
    <w:p>
      <w:pPr>
        <w:pStyle w:val="ListBullet"/>
        <w:spacing w:after="60"/>
      </w:pPr>
      <w:r>
        <w:rPr>
          <w:b w:val="0"/>
          <w:sz w:val="19"/>
        </w:rPr>
        <w:t>Hindari material PVC pada bracket/fastener — dinilai kurang sesuai untuk lingkungan kilang.</w:t>
      </w:r>
    </w:p>
    <w:p>
      <w:pPr>
        <w:pStyle w:val="ListBullet"/>
        <w:spacing w:after="60"/>
      </w:pPr>
      <w:r>
        <w:rPr>
          <w:b w:val="0"/>
          <w:sz w:val="19"/>
        </w:rPr>
        <w:t>Tanpa pengelasan atau pengeboran pada struktur permanen kecuali metode disetujui tertulis oleh RU IV.</w:t>
      </w:r>
    </w:p>
    <w:p>
      <w:pPr>
        <w:pStyle w:val="ListBullet"/>
        <w:spacing w:after="60"/>
      </w:pPr>
      <w:r>
        <w:rPr>
          <w:b w:val="0"/>
          <w:sz w:val="19"/>
        </w:rPr>
        <w:t>Energize, terminasi elektrikal spesifik GLD, dan commissioning/uji fungsional hanya dilakukan oleh LGU bersama HSE/control room — bukan oleh vendor secara mandiri.</w:t>
      </w:r>
    </w:p>
    <w:p>
      <w:pPr>
        <w:pStyle w:val="ListBullet"/>
        <w:spacing w:after="60"/>
      </w:pPr>
      <w:r>
        <w:rPr>
          <w:b w:val="0"/>
          <w:sz w:val="19"/>
        </w:rPr>
        <w:t>Dokumen ini bukan izin kerja, bukan bukti sertifikasi, dan tidak menggantikan persetujuan HSE/operasi Pertamina RU IV.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4986"/>
        <w:gridCol w:w="4986"/>
      </w:tblGrid>
      <w:tr>
        <w:tc>
          <w:tcPr>
            <w:tcW w:type="dxa" w:w="4986"/>
            <w:tcMar>
              <w:top w:w="4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9"/>
              </w:rPr>
              <w:t>Vendor Instalasi Pertamina RU IV</w:t>
            </w:r>
            <w:r>
              <w:br/>
            </w:r>
            <w:r>
              <w:rPr>
                <w:b w:val="0"/>
                <w:sz w:val="19"/>
              </w:rPr>
              <w:t>Nama · jabatan · tanggal · tanda tangan</w:t>
            </w:r>
          </w:p>
        </w:tc>
        <w:tc>
          <w:tcPr>
            <w:tcW w:type="dxa" w:w="4986"/>
            <w:tcMar>
              <w:top w:w="4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9"/>
              </w:rPr>
              <w:t>LGU (Supervisi Teknis/QA)</w:t>
            </w:r>
            <w:r>
              <w:br/>
            </w:r>
            <w:r>
              <w:rPr>
                <w:b w:val="0"/>
                <w:sz w:val="19"/>
              </w:rPr>
              <w:t>Nama · jabatan · tanggal · tanda tangan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</w:pPr>
    <w:r>
      <w:rPr>
        <w:color w:val="5B5B5B"/>
        <w:sz w:val="16"/>
      </w:rPr>
      <w:t>LGU/GLD/INSTALASI-VENDOR/2026-001  ·  Rev. 1.1</w:t>
    </w:r>
    <w:r>
      <w:rPr>
        <w:color w:val="5B5B5B"/>
        <w:sz w:val="16"/>
      </w:rPr>
      <w:tab/>
    </w:r>
    <w:r>
      <w:rPr>
        <w:color w:val="5B5B5B"/>
        <w:sz w:val="16"/>
      </w:rPr>
      <w:fldChar w:fldCharType="begin"/>
      <w:instrText xml:space="preserve">PAGE</w:instrText>
    </w:r>
    <w:r>
      <w:rPr>
        <w:color w:val="5B5B5B"/>
        <w:sz w:val="16"/>
      </w:rPr>
      <w:fldChar w:fldCharType="separate"/>
    </w:r>
    <w:r>
      <w:rPr>
        <w:color w:val="5B5B5B"/>
        <w:sz w:val="16"/>
      </w:rPr>
      <w:t>1</w:t>
    </w:r>
    <w:r>
      <w:rPr>
        <w:color w:val="5B5B5B"/>
        <w:sz w:val="16"/>
      </w:rPr>
      <w:fldChar w:fldCharType="end"/>
    </w:r>
    <w:r>
      <w:rPr>
        <w:color w:val="5B5B5B"/>
        <w:sz w:val="16"/>
      </w:rPr>
      <w:t xml:space="preserve"> dari </w:t>
    </w:r>
    <w:r>
      <w:rPr>
        <w:color w:val="5B5B5B"/>
        <w:sz w:val="16"/>
      </w:rPr>
      <w:fldChar w:fldCharType="begin"/>
      <w:instrText xml:space="preserve">NUMPAGES</w:instrText>
    </w:r>
    <w:r>
      <w:rPr>
        <w:color w:val="5B5B5B"/>
        <w:sz w:val="16"/>
      </w:rPr>
      <w:fldChar w:fldCharType="separate"/>
    </w:r>
    <w:r>
      <w:rPr>
        <w:color w:val="5B5B5B"/>
        <w:sz w:val="16"/>
      </w:rPr>
      <w:t>1</w:t>
    </w:r>
    <w:r>
      <w:rPr>
        <w:color w:val="5B5B5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B5B5B"/>
        <w:sz w:val="16"/>
      </w:rPr>
      <w:t>Daftar Persiapan Vendor Instalasi — RU IV Cilacap  |  Draf Kerja — Konfidensial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Calibri" w:hAnsi="Calibri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