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B2A4A"/>
          </w:tcPr>
          <w:p>
            <w:pPr>
              <w:spacing w:after="40"/>
            </w:pPr>
            <w:r>
              <w:rPr>
                <w:b/>
                <w:color w:val="FFFFFF"/>
                <w:sz w:val="28"/>
              </w:rPr>
              <w:t>PT LAPI GANESHA UTAMA</w:t>
            </w:r>
          </w:p>
          <w:p>
            <w:pPr>
              <w:spacing w:after="60"/>
            </w:pPr>
            <w:r>
              <w:rPr>
                <w:color w:val="C7D2E0"/>
                <w:sz w:val="19"/>
              </w:rPr>
              <w:t>Bekerja sama dengan Lab IoT &amp; Fisika Institut Teknologi Bandung</w:t>
            </w:r>
          </w:p>
        </w:tc>
      </w:tr>
    </w:tbl>
    <w:p>
      <w:pPr>
        <w:spacing w:after="200"/>
      </w:pPr>
    </w:p>
    <w:p>
      <w:pPr>
        <w:pStyle w:val="Title"/>
        <w:spacing w:after="80"/>
      </w:pPr>
      <w:r>
        <w:rPr>
          <w:b/>
          <w:color w:val="1B2A4A"/>
          <w:sz w:val="38"/>
        </w:rPr>
        <w:t>Draf Permintaan Penyediaan Material &amp; Spesifikasi Instalasi RU IV Cilacap</w:t>
      </w:r>
    </w:p>
    <w:p>
      <w:pPr>
        <w:spacing w:after="240"/>
      </w:pPr>
      <w:r>
        <w:rPr>
          <w:b w:val="0"/>
          <w:color w:val="5B5B5B"/>
          <w:sz w:val="21"/>
        </w:rPr>
        <w:t>Disusun LGU untuk diserahkan &amp; didiskusikan bersama vendor instalasi yang ditunjuk Pertamina — merinci ukuran, spesifikasi, dan material yang perlu disiapkan/diadakan untuk pemasangan GLD di lokasi (perimeter SRU). Beberapa angka sudah final dari desain; sebagian lain masih terbuka dan perlu disepakati bersama vendor sebelum pengadaan.</w:t>
      </w:r>
    </w:p>
    <w:p>
      <w:pPr>
        <w:spacing w:after="40"/>
      </w:pPr>
    </w:p>
    <w:p>
      <w:pPr>
        <w:spacing w:after="80"/>
      </w:pPr>
      <w:r>
        <w:rPr>
          <w:b/>
          <w:color w:val="1B2A4A"/>
          <w:sz w:val="22"/>
        </w:rP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Nomor dokumen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19"/>
              </w:rPr>
              <w:t>LGU/GLD/INSTALASI-MATERIAL/2026-001</w:t>
            </w:r>
          </w:p>
        </w:tc>
      </w:tr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Revisi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19"/>
              </w:rPr>
              <w:t>1.1</w:t>
            </w:r>
          </w:p>
        </w:tc>
      </w:tr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Tanggal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19"/>
              </w:rPr>
              <w:t>30 September 2026</w:t>
            </w:r>
          </w:p>
        </w:tc>
      </w:tr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Status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19"/>
              </w:rPr>
              <w:t>Draf kerja — untuk koordinasi PT Pertamina Patra Niaga, RU IV Cilacap</w:t>
            </w:r>
          </w:p>
        </w:tc>
      </w:tr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Disiapkan oleh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19"/>
              </w:rPr>
              <w:t>PT LAPI Ganesha Utama, bersama Lab IoT &amp; Fisika Institut Teknologi Bandung</w:t>
            </w:r>
          </w:p>
        </w:tc>
      </w:tr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Ditujukan kepada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19"/>
              </w:rPr>
              <w:t>PT Pertamina Patra Niaga — RU IV Cilacap</w:t>
            </w:r>
          </w:p>
        </w:tc>
      </w:tr>
    </w:tbl>
    <w:p>
      <w:pPr>
        <w:spacing w:after="2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9E9"/>
            <w:tcBorders>
              <w:top w:val="single" w:sz="6" w:color="B23A3A"/>
              <w:left w:val="single" w:sz="6" w:color="B23A3A"/>
              <w:bottom w:val="single" w:sz="6" w:color="B23A3A"/>
              <w:right w:val="single" w:sz="6" w:color="B23A3A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  <w:t>Cara membaca dokumen ini.</w:t>
            </w:r>
            <w:r>
              <w:rPr>
                <w:b w:val="0"/>
                <w:sz w:val="19"/>
              </w:rPr>
              <w:t xml:space="preserve"> Kolom “Status” membedakan angka yang </w:t>
            </w:r>
            <w:r>
              <w:rPr>
                <w:b/>
                <w:sz w:val="19"/>
              </w:rPr>
              <w:t>sudah final</w:t>
            </w:r>
            <w:r>
              <w:rPr>
                <w:b w:val="0"/>
                <w:sz w:val="19"/>
              </w:rPr>
              <w:t xml:space="preserve"> dari desain (boleh langsung dipakai untuk estimasi/pengadaan awal) dan yang </w:t>
            </w:r>
            <w:r>
              <w:rPr>
                <w:b/>
                <w:sz w:val="19"/>
              </w:rPr>
              <w:t>masih terbuka</w:t>
            </w:r>
            <w:r>
              <w:rPr>
                <w:b w:val="0"/>
                <w:sz w:val="19"/>
              </w:rPr>
              <w:t xml:space="preserve"> (akan diusulkan/disepakati bersama vendor pelaksana, mengikuti standar/persetujuan RU IV Cilacap yang berlaku di lokasi — jangan diasumsikan atau dibulatkan sendiri).</w:t>
            </w:r>
          </w:p>
        </w:tc>
      </w:tr>
    </w:tbl>
    <w:p>
      <w:pPr>
        <w:spacing w:after="120"/>
      </w:pPr>
    </w:p>
    <w:p>
      <w:pPr>
        <w:pStyle w:val="Heading1"/>
      </w:pPr>
      <w:r>
        <w:t>1. Bracket &amp; Mounting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7"/>
              </w:rPr>
              <w:t>Item</w:t>
            </w:r>
          </w:p>
        </w:tc>
        <w:tc>
          <w:tcPr>
            <w:tcW w:type="dxa" w:w="3324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7"/>
              </w:rPr>
              <w:t>Spesifikasi</w:t>
            </w:r>
          </w:p>
        </w:tc>
        <w:tc>
          <w:tcPr>
            <w:tcW w:type="dxa" w:w="3324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7"/>
              </w:rPr>
              <w:t>Status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Jenis klem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U-bolt 2″ / DN50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/>
                <w:color w:val="2C6B33"/>
                <w:sz w:val="17"/>
              </w:rPr>
              <w:t xml:space="preserve"> FINAL </w:t>
            </w:r>
          </w:p>
        </w:tc>
      </w:tr>
      <w:tr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 w:val="0"/>
                <w:sz w:val="18"/>
              </w:rPr>
              <w:t>Target pipa/struktur existing</w:t>
            </w:r>
          </w:p>
        </w:tc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 w:val="0"/>
                <w:sz w:val="18"/>
              </w:rPr>
              <w:t>OD 60,3 mm</w:t>
            </w:r>
          </w:p>
        </w:tc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/>
                <w:color w:val="2C6B33"/>
                <w:sz w:val="17"/>
              </w:rPr>
              <w:t xml:space="preserve"> FINAL 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Diameter thread U-bolt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M10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/>
                <w:color w:val="2C6B33"/>
                <w:sz w:val="17"/>
              </w:rPr>
              <w:t xml:space="preserve"> FINAL </w:t>
            </w:r>
          </w:p>
        </w:tc>
      </w:tr>
      <w:tr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 w:val="0"/>
                <w:sz w:val="18"/>
              </w:rPr>
              <w:t>Lebar dalam U-bolt (inside width)</w:t>
            </w:r>
          </w:p>
        </w:tc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 w:val="0"/>
                <w:sz w:val="18"/>
              </w:rPr>
              <w:t>62–65 mm</w:t>
            </w:r>
          </w:p>
        </w:tc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/>
                <w:color w:val="2C6B33"/>
                <w:sz w:val="17"/>
              </w:rPr>
              <w:t xml:space="preserve"> FINAL 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Tinggi dalam U-bolt (inside height)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95–100 mm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/>
                <w:color w:val="2C6B33"/>
                <w:sz w:val="17"/>
              </w:rPr>
              <w:t xml:space="preserve"> FINAL </w:t>
            </w:r>
          </w:p>
        </w:tc>
      </w:tr>
      <w:tr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 w:val="0"/>
                <w:sz w:val="18"/>
              </w:rPr>
              <w:t>Panjang thread per kaki</w:t>
            </w:r>
          </w:p>
        </w:tc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 w:val="0"/>
                <w:sz w:val="18"/>
              </w:rPr>
              <w:t>40 mm (direkomendasikan), minimum masih layak 35 mm</w:t>
            </w:r>
          </w:p>
        </w:tc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/>
                <w:color w:val="2C6B33"/>
                <w:sz w:val="17"/>
              </w:rPr>
              <w:t xml:space="preserve"> FINAL 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Pelat mounting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250 × 250 mm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/>
                <w:color w:val="2C6B33"/>
                <w:sz w:val="17"/>
              </w:rPr>
              <w:t xml:space="preserve"> FINAL </w:t>
            </w:r>
          </w:p>
        </w:tc>
      </w:tr>
      <w:tr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 w:val="0"/>
                <w:sz w:val="18"/>
              </w:rPr>
              <w:t>Spacer (bila bracket/struktur lebih tebal)</w:t>
            </w:r>
          </w:p>
        </w:tc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 w:val="0"/>
                <w:sz w:val="18"/>
              </w:rPr>
              <w:t>45–60 mm</w:t>
            </w:r>
          </w:p>
        </w:tc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/>
                <w:color w:val="2C6B33"/>
                <w:sz w:val="17"/>
              </w:rPr>
              <w:t xml:space="preserve"> FINAL 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Orientasi pemasangan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 xml:space="preserve">Desain saat ini visual paling sesuai untuk </w:t>
            </w:r>
            <w:r>
              <w:rPr>
                <w:b/>
                <w:sz w:val="18"/>
              </w:rPr>
              <w:t>handrail horizontal</w:t>
            </w:r>
            <w:r>
              <w:rPr>
                <w:b w:val="0"/>
                <w:sz w:val="18"/>
              </w:rPr>
              <w:t xml:space="preserve">; kompatibilitas </w:t>
            </w:r>
            <w:r>
              <w:rPr>
                <w:b/>
                <w:sz w:val="18"/>
              </w:rPr>
              <w:t>tiang vertikal</w:t>
            </w:r>
            <w:r>
              <w:rPr>
                <w:b w:val="0"/>
                <w:sz w:val="18"/>
              </w:rPr>
              <w:t xml:space="preserve"> belum diverifikasi tertulis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/>
                <w:color w:val="8A6D1E"/>
                <w:sz w:val="17"/>
              </w:rPr>
              <w:t xml:space="preserve"> PERLU KONFIRMASI VENDOR </w:t>
            </w:r>
          </w:p>
        </w:tc>
      </w:tr>
      <w:tr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 w:val="0"/>
                <w:sz w:val="18"/>
              </w:rPr>
              <w:t>Ukuran kunci/mur-baut &amp; grade fastener</w:t>
            </w:r>
          </w:p>
        </w:tc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 w:val="0"/>
                <w:sz w:val="18"/>
              </w:rPr>
              <w:t>Belum ditentukan tim desain — referensi standar umum industri (bukan spek resmi proyek): BS 3974 Part 2, DIN 3570/3567, ASME B18.31.2/ASTM A193 Gr.B7</w:t>
            </w:r>
          </w:p>
        </w:tc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/>
                <w:color w:val="8A6D1E"/>
                <w:sz w:val="17"/>
              </w:rPr>
              <w:t xml:space="preserve"> USULKAN VENDOR 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/>
          <w:color w:val="5B5B5B"/>
          <w:sz w:val="18"/>
        </w:rPr>
        <w:t xml:space="preserve">Sumber: gambar kerja CAD “ATEX Casing v2” (bracket L+U-bolt, Farhan Budiman, 31 Agustus 2026) — lihat </w:t>
      </w:r>
      <w:r>
        <w:rPr>
          <w:i/>
          <w:color w:val="5B5B5B"/>
          <w:sz w:val="18"/>
          <w:u w:val="single"/>
        </w:rPr>
        <w:t>Desain_Bracket_L_UBolt_GLD_Mounting.html</w:t>
      </w:r>
      <w:r>
        <w:rPr>
          <w:b w:val="0"/>
          <w:i/>
          <w:color w:val="5B5B5B"/>
          <w:sz w:val="18"/>
        </w:rPr>
        <w:t xml:space="preserve"> untuk gambar lengkap &amp; viewer 3D.</w:t>
      </w:r>
    </w:p>
    <w:p>
      <w:pPr>
        <w:pStyle w:val="Heading1"/>
      </w:pPr>
      <w:r>
        <w:t>2. Catu Daya &amp; Kabel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7"/>
              </w:rPr>
              <w:t>Item</w:t>
            </w:r>
          </w:p>
        </w:tc>
        <w:tc>
          <w:tcPr>
            <w:tcW w:type="dxa" w:w="3324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7"/>
              </w:rPr>
              <w:t>Spesifikasi</w:t>
            </w:r>
          </w:p>
        </w:tc>
        <w:tc>
          <w:tcPr>
            <w:tcW w:type="dxa" w:w="3324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7"/>
              </w:rPr>
              <w:t>Status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Tegangan input unit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24 VDC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/>
                <w:color w:val="2C6B33"/>
                <w:sz w:val="17"/>
              </w:rPr>
              <w:t xml:space="preserve"> FINAL </w:t>
            </w:r>
          </w:p>
        </w:tc>
      </w:tr>
      <w:tr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 w:val="0"/>
                <w:sz w:val="18"/>
              </w:rPr>
              <w:t>Kapasitas PSU/kabel (margin sizing)</w:t>
            </w:r>
          </w:p>
        </w:tc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 w:val="0"/>
                <w:sz w:val="18"/>
              </w:rPr>
              <w:t>≥1 A per unit GLD</w:t>
            </w:r>
          </w:p>
        </w:tc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/>
                <w:color w:val="2C6B33"/>
                <w:sz w:val="17"/>
              </w:rPr>
              <w:t xml:space="preserve"> FINAL 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Konsumsi aktual terukur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8 W @ 24VDC ≈ 0,33 A — jauh di bawah margin sizing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/>
                <w:color w:val="2C6B33"/>
                <w:sz w:val="17"/>
              </w:rPr>
              <w:t xml:space="preserve"> FINAL </w:t>
            </w:r>
          </w:p>
        </w:tc>
      </w:tr>
      <w:tr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 w:val="0"/>
                <w:sz w:val="18"/>
              </w:rPr>
              <w:t>Adapter AC/DC (bila disediakan dari sumber AC)</w:t>
            </w:r>
          </w:p>
        </w:tc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 w:val="0"/>
                <w:sz w:val="18"/>
              </w:rPr>
              <w:t>Input 220 VAC/50 Hz → Output 24 VDC</w:t>
            </w:r>
          </w:p>
        </w:tc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/>
                <w:color w:val="2C6B33"/>
                <w:sz w:val="17"/>
              </w:rPr>
              <w:t xml:space="preserve"> FINAL 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Jenis konektor catu daya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Menyesuaikan standar kelistrikan area RU IV Cilacap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/>
                <w:color w:val="8A6D1E"/>
                <w:sz w:val="17"/>
              </w:rPr>
              <w:t xml:space="preserve"> MENUNGGU STANDAR RU IV </w:t>
            </w:r>
          </w:p>
        </w:tc>
      </w:tr>
      <w:tr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 w:val="0"/>
                <w:sz w:val="18"/>
              </w:rPr>
              <w:t>Jenis &amp; ukuran kabel (gauge), proteksi/IP kabel</w:t>
            </w:r>
          </w:p>
        </w:tc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 w:val="0"/>
                <w:sz w:val="18"/>
              </w:rPr>
              <w:t>2 konduktor, label L+/L− (positif/negatif catu 24VDC), diameter tiap konduktor ≈0,75 mm — diameter luar kabel/gauge &amp; proteksi/IP kabel menyesuaikan standar area RU IV Cilacap</w:t>
            </w:r>
          </w:p>
        </w:tc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/>
                <w:color w:val="8A6D1E"/>
                <w:sz w:val="17"/>
              </w:rPr>
              <w:t xml:space="preserve"> SEBAGIAN 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/>
          <w:color w:val="5B5B5B"/>
          <w:sz w:val="18"/>
        </w:rPr>
        <w:t>Vendor akan mengusulkan jenis konektor &amp; spesifikasi kabel mengikuti standar kelistrikan/kabel area yang berlaku di RU IV Cilacap, menunggu konfirmasi dari RU IV untuk disepakati bersama LGU sebelum pengadaan.</w:t>
      </w:r>
    </w:p>
    <w:p>
      <w:pPr>
        <w:pStyle w:val="Heading1"/>
      </w:pPr>
      <w:r>
        <w:t>3. Dimensi &amp; Material Enclosure (GLD)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7"/>
              </w:rPr>
              <w:t>Item</w:t>
            </w:r>
          </w:p>
        </w:tc>
        <w:tc>
          <w:tcPr>
            <w:tcW w:type="dxa" w:w="3324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7"/>
              </w:rPr>
              <w:t>Spesifikasi</w:t>
            </w:r>
          </w:p>
        </w:tc>
        <w:tc>
          <w:tcPr>
            <w:tcW w:type="dxa" w:w="3324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7"/>
              </w:rPr>
              <w:t>Status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Dimensi keseluruhan unit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200 × 90 × 290 mm (P×L×T)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/>
                <w:color w:val="2C6B33"/>
                <w:sz w:val="17"/>
              </w:rPr>
              <w:t xml:space="preserve"> FINAL </w:t>
            </w:r>
          </w:p>
        </w:tc>
      </w:tr>
      <w:tr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 w:val="0"/>
                <w:sz w:val="18"/>
              </w:rPr>
              <w:t>Diameter leher casing</w:t>
            </w:r>
          </w:p>
        </w:tc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 w:val="0"/>
                <w:sz w:val="18"/>
              </w:rPr>
              <w:t>Ø75 mm</w:t>
            </w:r>
          </w:p>
        </w:tc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/>
                <w:color w:val="2C6B33"/>
                <w:sz w:val="17"/>
              </w:rPr>
              <w:t xml:space="preserve"> FINAL 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Tinggi probe/casing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191,51 mm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/>
                <w:color w:val="2C6B33"/>
                <w:sz w:val="17"/>
              </w:rPr>
              <w:t xml:space="preserve"> FINAL </w:t>
            </w:r>
          </w:p>
        </w:tc>
      </w:tr>
      <w:tr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 w:val="0"/>
                <w:sz w:val="18"/>
              </w:rPr>
              <w:t>Material enclosure</w:t>
            </w:r>
          </w:p>
        </w:tc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 w:val="0"/>
                <w:sz w:val="18"/>
              </w:rPr>
              <w:t>Aluminum alloy (grade die-cast ADC12) + Stainless steel</w:t>
            </w:r>
          </w:p>
        </w:tc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/>
                <w:color w:val="2C6B33"/>
                <w:sz w:val="17"/>
              </w:rPr>
              <w:t xml:space="preserve"> FINAL 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Berat unit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2,378 kg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/>
                <w:color w:val="2C6B33"/>
                <w:sz w:val="17"/>
              </w:rPr>
              <w:t xml:space="preserve"> FINAL </w:t>
            </w:r>
          </w:p>
        </w:tc>
      </w:tr>
      <w:tr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 w:val="0"/>
                <w:sz w:val="18"/>
              </w:rPr>
              <w:t>IP rating (proteksi debu/air)</w:t>
            </w:r>
          </w:p>
        </w:tc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 w:val="0"/>
                <w:sz w:val="18"/>
              </w:rPr>
              <w:t>IP66</w:t>
            </w:r>
          </w:p>
        </w:tc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/>
                <w:color w:val="2C6B33"/>
                <w:sz w:val="17"/>
              </w:rPr>
              <w:t xml:space="preserve"> FINAL 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Spesifikasi cable gland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M20×1,5 (IP66-rated)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/>
                <w:color w:val="2C6B33"/>
                <w:sz w:val="17"/>
              </w:rPr>
              <w:t xml:space="preserve"> FINAL </w:t>
            </w:r>
          </w:p>
        </w:tc>
      </w:tr>
      <w:tr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 w:val="0"/>
                <w:sz w:val="18"/>
              </w:rPr>
              <w:t>Rentang suhu operasi (ambient)</w:t>
            </w:r>
          </w:p>
        </w:tc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 w:val="0"/>
                <w:sz w:val="18"/>
              </w:rPr>
              <w:t>−20°C s/d +60°C</w:t>
            </w:r>
          </w:p>
        </w:tc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/>
                <w:color w:val="2C6B33"/>
                <w:sz w:val="17"/>
              </w:rPr>
              <w:t xml:space="preserve"> FINAL 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Rentang kelembapan operasi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5–95% RH, non-condensing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/>
                <w:color w:val="2C6B33"/>
                <w:sz w:val="17"/>
              </w:rPr>
              <w:t xml:space="preserve"> FINAL 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/>
          <w:color w:val="5B5B5B"/>
          <w:sz w:val="18"/>
        </w:rPr>
        <w:t>Berat unit (2,378 kg), rentang suhu operasi (−20°C s/d +60°C), IP rating (IP66), cable gland (M20×1,5), dan rentang kelembapan operasi (5–95% RH non-condensing) sudah dikonfirmasi sbg nilai proyek (data spesifikasi terkini, 24 Sep 2026). Cable gland dipilih berdasarkan gambar referensi kandidat produsen casing (BP18-1Z). Semua belum lewat pengujian/penimbangan/fit-check terkalibrasi di GLD sendiri — perlu diverifikasi sebelum pengadaan casing/enclosure final.</w:t>
      </w:r>
    </w:p>
    <w:p>
      <w:pPr>
        <w:pStyle w:val="Heading1"/>
      </w:pPr>
      <w:r>
        <w:t>4. Material Umum &amp; Larangan</w:t>
      </w:r>
    </w:p>
    <w:p>
      <w:pPr>
        <w:pStyle w:val="ListBullet"/>
        <w:spacing w:after="60"/>
      </w:pPr>
      <w:r>
        <w:rPr>
          <w:b/>
          <w:sz w:val="19"/>
        </w:rPr>
        <w:t>Dilarang:</w:t>
      </w:r>
      <w:r>
        <w:rPr>
          <w:b w:val="0"/>
          <w:sz w:val="19"/>
        </w:rPr>
        <w:t xml:space="preserve"> PVC pada komponen housing/bracket manapun — dinilai kurang sesuai untuk lingkungan kilang.</w:t>
      </w:r>
    </w:p>
    <w:p>
      <w:pPr>
        <w:pStyle w:val="ListBullet"/>
        <w:spacing w:after="60"/>
      </w:pPr>
      <w:r>
        <w:rPr>
          <w:b/>
          <w:sz w:val="19"/>
        </w:rPr>
        <w:t>Dilarang:</w:t>
      </w:r>
      <w:r>
        <w:rPr>
          <w:b w:val="0"/>
          <w:sz w:val="19"/>
        </w:rPr>
        <w:t xml:space="preserve"> pengeboran atau pengelasan struktur existing untuk mounting, kecuali metode lain disetujui tertulis oleh RU IV.</w:t>
      </w:r>
    </w:p>
    <w:p>
      <w:pPr>
        <w:pStyle w:val="ListBullet"/>
        <w:spacing w:after="60"/>
      </w:pPr>
      <w:r>
        <w:rPr>
          <w:b/>
          <w:sz w:val="19"/>
        </w:rPr>
        <w:t>Diwajibkan:</w:t>
      </w:r>
      <w:r>
        <w:rPr>
          <w:b w:val="0"/>
          <w:sz w:val="19"/>
        </w:rPr>
        <w:t xml:space="preserve"> material anti-korosi untuk seluruh fastener &amp; bracket.</w:t>
      </w:r>
    </w:p>
    <w:p>
      <w:pPr>
        <w:pStyle w:val="ListBullet"/>
        <w:spacing w:after="60"/>
      </w:pPr>
      <w:r>
        <w:rPr>
          <w:b/>
          <w:sz w:val="19"/>
        </w:rPr>
        <w:t>Baterai cadangan (Li-ion 18650)</w:t>
      </w:r>
      <w:r>
        <w:rPr>
          <w:b w:val="0"/>
          <w:sz w:val="19"/>
        </w:rPr>
        <w:t xml:space="preserve"> pada Node Sensor GLD &amp; Cluster Head — keamanan/sertifikasi (mis. IEC 62133/UN38.3) </w:t>
      </w:r>
      <w:r>
        <w:rPr>
          <w:b/>
          <w:color w:val="B23A3A"/>
          <w:sz w:val="18"/>
        </w:rPr>
        <w:t xml:space="preserve"> BELUM DIVERIFIKASI </w:t>
      </w:r>
      <w:r>
        <w:rPr>
          <w:b w:val="0"/>
          <w:sz w:val="19"/>
        </w:rPr>
        <w:t>, PIC LGU.</w:t>
      </w:r>
    </w:p>
    <w:p>
      <w:pPr>
        <w:pStyle w:val="Heading1"/>
      </w:pPr>
      <w:r>
        <w:t>5. Ringkasan — Sudah Final vs Masih Perlu Disepakati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4986"/>
        <w:gridCol w:w="4986"/>
      </w:tblGrid>
      <w:tr>
        <w:tc>
          <w:tcPr>
            <w:tcW w:type="dxa" w:w="4986"/>
            <w:shd w:val="clear" w:color="auto" w:fill="EAF4E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80"/>
            </w:pPr>
            <w:r>
              <w:rPr>
                <w:b/>
                <w:color w:val="2C6B33"/>
                <w:sz w:val="18"/>
              </w:rPr>
              <w:t>Sudah final — boleh langsung dipakai</w:t>
            </w:r>
          </w:p>
          <w:p>
            <w:pPr>
              <w:spacing w:after="60"/>
            </w:pPr>
            <w:r>
              <w:rPr>
                <w:b/>
                <w:sz w:val="17"/>
              </w:rPr>
              <w:t xml:space="preserve">• </w:t>
            </w:r>
            <w:r>
              <w:rPr>
                <w:b w:val="0"/>
                <w:sz w:val="17"/>
              </w:rPr>
              <w:t>Ukuran U-bolt, target pipa, thread M10, dimensi inside width/height</w:t>
            </w:r>
          </w:p>
          <w:p>
            <w:pPr>
              <w:spacing w:after="60"/>
            </w:pPr>
            <w:r>
              <w:rPr>
                <w:b/>
                <w:sz w:val="17"/>
              </w:rPr>
              <w:t xml:space="preserve">• </w:t>
            </w:r>
            <w:r>
              <w:rPr>
                <w:b w:val="0"/>
                <w:sz w:val="17"/>
              </w:rPr>
              <w:t>Dimensi pelat mounting &amp; spacer</w:t>
            </w:r>
          </w:p>
          <w:p>
            <w:pPr>
              <w:spacing w:after="60"/>
            </w:pPr>
            <w:r>
              <w:rPr>
                <w:b/>
                <w:sz w:val="17"/>
              </w:rPr>
              <w:t xml:space="preserve">• </w:t>
            </w:r>
            <w:r>
              <w:rPr>
                <w:b w:val="0"/>
                <w:sz w:val="17"/>
              </w:rPr>
              <w:t>Tegangan &amp; margin sizing catu daya (24VDC ≥1A)</w:t>
            </w:r>
          </w:p>
          <w:p>
            <w:pPr>
              <w:spacing w:after="60"/>
            </w:pPr>
            <w:r>
              <w:rPr>
                <w:b/>
                <w:sz w:val="17"/>
              </w:rPr>
              <w:t xml:space="preserve">• </w:t>
            </w:r>
            <w:r>
              <w:rPr>
                <w:b w:val="0"/>
                <w:sz w:val="17"/>
              </w:rPr>
              <w:t>Dimensi keseluruhan &amp; leher casing GLD</w:t>
            </w:r>
          </w:p>
          <w:p>
            <w:pPr>
              <w:spacing w:after="60"/>
            </w:pPr>
            <w:r>
              <w:rPr>
                <w:b/>
                <w:sz w:val="17"/>
              </w:rPr>
              <w:t xml:space="preserve">• </w:t>
            </w:r>
            <w:r>
              <w:rPr>
                <w:b w:val="0"/>
                <w:sz w:val="17"/>
              </w:rPr>
              <w:t>Larangan PVC/bor/las pada struktur existing</w:t>
            </w:r>
          </w:p>
          <w:p>
            <w:pPr>
              <w:spacing w:after="60"/>
            </w:pPr>
            <w:r>
              <w:rPr>
                <w:b/>
                <w:sz w:val="17"/>
              </w:rPr>
              <w:t xml:space="preserve">• </w:t>
            </w:r>
            <w:r>
              <w:rPr>
                <w:b w:val="0"/>
                <w:sz w:val="17"/>
              </w:rPr>
              <w:t>Berat unit (2,378 kg) &amp; rentang suhu operasi (−20°C s/d +60°C)</w:t>
            </w:r>
          </w:p>
          <w:p>
            <w:pPr>
              <w:spacing w:after="60"/>
            </w:pPr>
            <w:r>
              <w:rPr>
                <w:b/>
                <w:sz w:val="17"/>
              </w:rPr>
              <w:t xml:space="preserve">• </w:t>
            </w:r>
            <w:r>
              <w:rPr>
                <w:b w:val="0"/>
                <w:sz w:val="17"/>
              </w:rPr>
              <w:t>Grade material enclosure (ADC12 die-cast + stainless steel)</w:t>
            </w:r>
          </w:p>
          <w:p>
            <w:pPr>
              <w:spacing w:after="60"/>
            </w:pPr>
            <w:r>
              <w:rPr>
                <w:b/>
                <w:sz w:val="17"/>
              </w:rPr>
              <w:t xml:space="preserve">• </w:t>
            </w:r>
            <w:r>
              <w:rPr>
                <w:b w:val="0"/>
                <w:sz w:val="17"/>
              </w:rPr>
              <w:t>IP rating (IP66), cable gland (M20×1,5), rentang kelembapan operasi (5–95% RH)</w:t>
            </w:r>
          </w:p>
        </w:tc>
        <w:tc>
          <w:tcPr>
            <w:tcW w:type="dxa" w:w="4986"/>
            <w:shd w:val="clear" w:color="auto" w:fill="FFF6E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80"/>
            </w:pPr>
            <w:r>
              <w:rPr>
                <w:b/>
                <w:color w:val="8A6D1E"/>
                <w:sz w:val="18"/>
              </w:rPr>
              <w:t>Masih perlu disepakati bersama vendor</w:t>
            </w:r>
          </w:p>
          <w:p>
            <w:pPr>
              <w:spacing w:after="60"/>
            </w:pPr>
            <w:r>
              <w:rPr>
                <w:b/>
                <w:sz w:val="17"/>
              </w:rPr>
              <w:t xml:space="preserve">• </w:t>
            </w:r>
            <w:r>
              <w:rPr>
                <w:b w:val="0"/>
                <w:sz w:val="17"/>
              </w:rPr>
              <w:t>Orientasi mounting: tiang vertikal vs handrail horizontal</w:t>
            </w:r>
          </w:p>
          <w:p>
            <w:pPr>
              <w:spacing w:after="60"/>
            </w:pPr>
            <w:r>
              <w:rPr>
                <w:b/>
                <w:sz w:val="17"/>
              </w:rPr>
              <w:t xml:space="preserve">• </w:t>
            </w:r>
            <w:r>
              <w:rPr>
                <w:b w:val="0"/>
                <w:sz w:val="17"/>
              </w:rPr>
              <w:t>Ukuran kunci/mur-baut &amp; grade fastener final</w:t>
            </w:r>
          </w:p>
          <w:p>
            <w:pPr>
              <w:spacing w:after="60"/>
            </w:pPr>
            <w:r>
              <w:rPr>
                <w:b/>
                <w:sz w:val="17"/>
              </w:rPr>
              <w:t xml:space="preserve">• </w:t>
            </w:r>
            <w:r>
              <w:rPr>
                <w:b w:val="0"/>
                <w:sz w:val="17"/>
              </w:rPr>
              <w:t>Jenis konektor &amp; spesifikasi kabel catu daya</w:t>
            </w:r>
          </w:p>
          <w:p>
            <w:pPr>
              <w:spacing w:after="60"/>
            </w:pPr>
            <w:r>
              <w:rPr>
                <w:b/>
                <w:sz w:val="17"/>
              </w:rPr>
              <w:t xml:space="preserve">• </w:t>
            </w:r>
            <w:r>
              <w:rPr>
                <w:b w:val="0"/>
                <w:sz w:val="17"/>
              </w:rPr>
              <w:t>Verifikasi sertifikasi keamanan baterai Li-ion cadangan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36" w:val="right"/>
      </w:tabs>
    </w:pPr>
    <w:r>
      <w:rPr>
        <w:color w:val="5B5B5B"/>
        <w:sz w:val="16"/>
      </w:rPr>
      <w:t>LGU/GLD/INSTALASI-MATERIAL/2026-001  ·  Rev. 1.1</w:t>
    </w:r>
    <w:r>
      <w:rPr>
        <w:color w:val="5B5B5B"/>
        <w:sz w:val="16"/>
      </w:rPr>
      <w:tab/>
    </w:r>
    <w:r>
      <w:rPr>
        <w:color w:val="5B5B5B"/>
        <w:sz w:val="16"/>
      </w:rPr>
      <w:fldChar w:fldCharType="begin"/>
      <w:instrText xml:space="preserve">PAGE</w:instrText>
    </w:r>
    <w:r>
      <w:rPr>
        <w:color w:val="5B5B5B"/>
        <w:sz w:val="16"/>
      </w:rPr>
      <w:fldChar w:fldCharType="separate"/>
    </w:r>
    <w:r>
      <w:rPr>
        <w:color w:val="5B5B5B"/>
        <w:sz w:val="16"/>
      </w:rPr>
      <w:t>1</w:t>
    </w:r>
    <w:r>
      <w:rPr>
        <w:color w:val="5B5B5B"/>
        <w:sz w:val="16"/>
      </w:rPr>
      <w:fldChar w:fldCharType="end"/>
    </w:r>
    <w:r>
      <w:rPr>
        <w:color w:val="5B5B5B"/>
        <w:sz w:val="16"/>
      </w:rPr>
      <w:t xml:space="preserve"> dari </w:t>
    </w:r>
    <w:r>
      <w:rPr>
        <w:color w:val="5B5B5B"/>
        <w:sz w:val="16"/>
      </w:rPr>
      <w:fldChar w:fldCharType="begin"/>
      <w:instrText xml:space="preserve">NUMPAGES</w:instrText>
    </w:r>
    <w:r>
      <w:rPr>
        <w:color w:val="5B5B5B"/>
        <w:sz w:val="16"/>
      </w:rPr>
      <w:fldChar w:fldCharType="separate"/>
    </w:r>
    <w:r>
      <w:rPr>
        <w:color w:val="5B5B5B"/>
        <w:sz w:val="16"/>
      </w:rPr>
      <w:t>1</w:t>
    </w:r>
    <w:r>
      <w:rPr>
        <w:color w:val="5B5B5B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5B5B5B"/>
        <w:sz w:val="16"/>
      </w:rPr>
      <w:t>Draf Permintaan Material Instalasi — RU IV Cilacap  |  Draf Kerja — Konfidensial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Calibri" w:hAnsi="Calibri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