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200"/>
      </w:pPr>
    </w:p>
    <w:p>
      <w:pPr>
        <w:pStyle w:val="Title"/>
        <w:spacing w:after="80"/>
      </w:pPr>
      <w:r>
        <w:rPr>
          <w:b/>
          <w:color w:val="1B2A4A"/>
          <w:sz w:val="38"/>
        </w:rPr>
        <w:t>Pembagian Persiapan Instalasi RU IV Cilacap</w:t>
      </w:r>
    </w:p>
    <w:p>
      <w:pPr>
        <w:spacing w:after="240"/>
      </w:pPr>
      <w:r>
        <w:rPr>
          <w:b w:val="0"/>
          <w:color w:val="5B5B5B"/>
          <w:sz w:val="21"/>
        </w:rPr>
        <w:t>Siapa menyiapkan apa sebelum mobilisasi &amp; pemasangan GLD di RU IV Cilacap — dikelompokkan per pihak: LGU/ITB (rekayasa &amp; supervisi), Pertamina RU IV (lokasi, izin, infrastruktur), dan Pelaksana Instalasi RU IV — tim/kontraktor yang ditetapkan RU IV (eksekusi fisik). RU IV telah menyatakan bersedia mendukung penuh pelaksanaan instalasi.</w:t>
      </w:r>
    </w:p>
    <w:p>
      <w:pPr>
        <w:spacing w:after="40"/>
      </w:pPr>
    </w:p>
    <w:p>
      <w:pPr>
        <w:spacing w:after="80"/>
      </w:pPr>
      <w:r>
        <w:rPr>
          <w:b/>
          <w:color w:val="1B2A4A"/>
          <w:sz w:val="2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LGU/GLD/INSTALASI-PEMBAGIAN/2026-001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1.5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1 Oktober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Draf kerja — untuk koordinasi PT Pertamina Patra Niaga, RU IV Cilacap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Disiapkan oleh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PT Pertamina Patra Niaga — RU IV Cilacap</w:t>
            </w:r>
          </w:p>
        </w:tc>
      </w:tr>
    </w:tbl>
    <w:p>
      <w:pPr>
        <w:spacing w:after="2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4EC"/>
            <w:tcBorders>
              <w:top w:val="single" w:sz="6" w:color="3C7A44"/>
              <w:left w:val="single" w:sz="6" w:color="3C7A44"/>
              <w:bottom w:val="single" w:sz="6" w:color="3C7A44"/>
              <w:right w:val="single" w:sz="6" w:color="3C7A44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Arah kerja yang sudah diputuskan.</w:t>
            </w:r>
            <w:r>
              <w:rPr>
                <w:b w:val="0"/>
                <w:sz w:val="19"/>
              </w:rPr>
              <w:t xml:space="preserve"> Kombinasi </w:t>
            </w:r>
            <w:r>
              <w:rPr>
                <w:b/>
                <w:sz w:val="19"/>
              </w:rPr>
              <w:t>uji chamber gas</w:t>
            </w:r>
            <w:r>
              <w:rPr>
                <w:b w:val="0"/>
                <w:sz w:val="19"/>
              </w:rPr>
              <w:t xml:space="preserve"> (dioperasikan di kantor kilang, non-area proses) dan </w:t>
            </w:r>
            <w:r>
              <w:rPr>
                <w:b/>
                <w:sz w:val="19"/>
              </w:rPr>
              <w:t>instalasi permanen di lokasi non-ATEX</w:t>
            </w:r>
            <w:r>
              <w:rPr>
                <w:b w:val="0"/>
                <w:sz w:val="19"/>
              </w:rPr>
              <w:t xml:space="preserve"> (dibatasi hanya di lokasi yang tidak memerlukan ATEX). Lokasi instalasi permanen sudah dikonfirmasi Pertamina: area aman di </w:t>
            </w:r>
            <w:r>
              <w:rPr>
                <w:b/>
                <w:sz w:val="19"/>
              </w:rPr>
              <w:t>perimeter Sulfur Recovery Unit (SRU)</w:t>
            </w:r>
            <w:r>
              <w:rPr>
                <w:b w:val="0"/>
                <w:sz w:val="19"/>
              </w:rPr>
              <w:t>, bukan di dalam unit proses. Uji lapangan sementara/non-permanen tidak ditempuh.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6E5"/>
            <w:tcBorders>
              <w:top w:val="single" w:sz="6" w:color="C98A12"/>
              <w:left w:val="single" w:sz="6" w:color="C98A12"/>
              <w:bottom w:val="single" w:sz="6" w:color="C98A12"/>
              <w:right w:val="single" w:sz="6" w:color="C98A12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Status keseluruhan.</w:t>
            </w:r>
            <w:r>
              <w:rPr>
                <w:b w:val="0"/>
                <w:sz w:val="19"/>
              </w:rPr>
              <w:t xml:space="preserve"> Survey lokasi (9–10 Agustus) sudah selesai. Instalasi fisik dan commissioning </w:t>
            </w:r>
            <w:r>
              <w:rPr>
                <w:b/>
                <w:sz w:val="19"/>
              </w:rPr>
              <w:t>belum dimulai</w:t>
            </w:r>
            <w:r>
              <w:rPr>
                <w:b w:val="0"/>
                <w:sz w:val="19"/>
              </w:rPr>
              <w:t xml:space="preserve"> — beberapa item di bawah masih harus ditutup sebelum tanggal mobilisasi dapat ditetapkan.</w:t>
            </w:r>
          </w:p>
        </w:tc>
      </w:tr>
    </w:tbl>
    <w:p>
      <w:pPr>
        <w:spacing w:after="120"/>
      </w:pPr>
    </w:p>
    <w:p>
      <w:pPr>
        <w:pStyle w:val="Heading1"/>
      </w:pPr>
      <w:r>
        <w:t>1. Lokasi &amp; Klasifikasi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c>
          <w:tcPr>
            <w:tcW w:type="dxa" w:w="295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LGU &amp; ITB</w:t>
            </w:r>
          </w:p>
        </w:tc>
        <w:tc>
          <w:tcPr>
            <w:tcW w:type="dxa" w:w="2952"/>
            <w:shd w:val="clear" w:color="auto" w:fill="2E5F8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Pertamina RU IV</w:t>
            </w:r>
          </w:p>
        </w:tc>
        <w:tc>
          <w:tcPr>
            <w:tcW w:type="dxa" w:w="2952"/>
            <w:shd w:val="clear" w:color="auto" w:fill="8A4A1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Pelaksana Instalasi RU IV</w:t>
            </w:r>
          </w:p>
        </w:tc>
      </w:tr>
      <w:tr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Basis desain mounting (pelat mounting U-bolt 2"/DN50) pada tiang baru pipa galvanis 2" yang ditanam &amp; dicor — tanpa bor/las struktur existing </w:t>
            </w:r>
            <w:r>
              <w:rPr>
                <w:b/>
                <w:color w:val="2C6B33"/>
                <w:sz w:val="16"/>
              </w:rPr>
              <w:t xml:space="preserve"> SELESAI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Gambar CAD (STEP/OBJ) tersedia sebagai acuan fabrikasi pelaksana </w:t>
            </w:r>
            <w:r>
              <w:rPr>
                <w:b/>
                <w:color w:val="2C6B33"/>
                <w:sz w:val="16"/>
              </w:rPr>
              <w:t xml:space="preserve"> SELESAI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Dokumen klasifikasi area tertulis resmi (HSE/Engineering) untuk titik pasang di perimeter SRU — lokasi sudah pasti, dokumen formal menyusul </w:t>
            </w:r>
            <w:r>
              <w:rPr>
                <w:b/>
                <w:color w:val="8A6D1E"/>
                <w:sz w:val="16"/>
              </w:rPr>
              <w:t xml:space="preserve"> DALAM PROSES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Penetapan titik pasang detail per unit GLD/CH/Gateway, termasuk rute kabel &amp; tinggi kerja </w:t>
            </w:r>
            <w:r>
              <w:rPr>
                <w:b/>
                <w:color w:val="8A6D1E"/>
                <w:sz w:val="16"/>
              </w:rPr>
              <w:t xml:space="preserve"> SURVEY ADA, DETAIL BELUM DIKUNCI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Verifikasi lapangan titik tiang (kondisi tanah, utilitas bawah tanah) &amp; shop drawing berdasar desain LGU </w:t>
            </w:r>
            <w:r>
              <w:rPr>
                <w:b/>
                <w:color w:val="8A6D1E"/>
                <w:sz w:val="16"/>
              </w:rPr>
              <w:t xml:space="preserve"> MENUNGGU PENETAPAN PELAKSANA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Konfirmasi pelat mounting U-bolt pada tiang vertikal baru, bersama tim desain LGU sebelum fabrikasi </w:t>
            </w:r>
            <w:r>
              <w:rPr>
                <w:b/>
                <w:color w:val="8A6D1E"/>
                <w:sz w:val="16"/>
              </w:rPr>
              <w:t xml:space="preserve"> PERLU KONFIRMASI </w:t>
            </w:r>
          </w:p>
        </w:tc>
      </w:tr>
    </w:tbl>
    <w:p>
      <w:pPr>
        <w:spacing w:after="120"/>
      </w:pPr>
    </w:p>
    <w:p>
      <w:pPr>
        <w:pStyle w:val="Heading1"/>
      </w:pPr>
      <w:r>
        <w:t>2. Dokumen, Izin &amp; Keselamatan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c>
          <w:tcPr>
            <w:tcW w:type="dxa" w:w="295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LGU &amp; ITB</w:t>
            </w:r>
          </w:p>
        </w:tc>
        <w:tc>
          <w:tcPr>
            <w:tcW w:type="dxa" w:w="2952"/>
            <w:shd w:val="clear" w:color="auto" w:fill="2E5F8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Pertamina RU IV</w:t>
            </w:r>
          </w:p>
        </w:tc>
        <w:tc>
          <w:tcPr>
            <w:tcW w:type="dxa" w:w="2952"/>
            <w:shd w:val="clear" w:color="auto" w:fill="8A4A1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Pelaksana Instalasi RU IV</w:t>
            </w:r>
          </w:p>
        </w:tc>
      </w:tr>
      <w:tr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Draft JSA/HSE sebagai acuan awal (belum menggantikan TRA/JSA resmi RU IV) </w:t>
            </w:r>
            <w:r>
              <w:rPr>
                <w:b/>
                <w:color w:val="2C6B33"/>
                <w:sz w:val="16"/>
              </w:rPr>
              <w:t xml:space="preserve"> TERSEDIA (DRAFT)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Checklist kesiapan instalasi lengkap sebagai referensi kerja bersama </w:t>
            </w:r>
            <w:r>
              <w:rPr>
                <w:b/>
                <w:color w:val="2C6B33"/>
                <w:sz w:val="16"/>
              </w:rPr>
              <w:t xml:space="preserve"> TERSEDIA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Mengesahkan TRA/JSA spesifik titik pasang (SIMOPS, bahaya listrik 24VDC, kerja tinggi, energize/commissioning) </w:t>
            </w:r>
            <w:r>
              <w:rPr>
                <w:b/>
                <w:color w:val="B23A3A"/>
                <w:sz w:val="16"/>
              </w:rPr>
              <w:t xml:space="preserve"> BELUM DISAHKAN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Menerbitkan izin kerja, izin masuk personel, dan surat masuk barang </w:t>
            </w:r>
            <w:r>
              <w:rPr>
                <w:b/>
                <w:color w:val="B23A3A"/>
                <w:sz w:val="16"/>
              </w:rPr>
              <w:t xml:space="preserve"> WAJIB SEBELUM MOBILISASI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Menetapkan tim/kontraktor pelaksana instalasi RU IV &amp; mengonfirmasi kompetensi K3-nya </w:t>
            </w:r>
            <w:r>
              <w:rPr>
                <w:b/>
                <w:color w:val="8A6D1E"/>
                <w:sz w:val="16"/>
              </w:rPr>
              <w:t xml:space="preserve"> PERLU PENETAPAN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Menyepakati daftar kontak PIC (operasi/HSE/control room/IT) &amp; jalur stop-work </w:t>
            </w:r>
            <w:r>
              <w:rPr>
                <w:b/>
                <w:color w:val="8A6D1E"/>
                <w:sz w:val="16"/>
              </w:rPr>
              <w:t xml:space="preserve"> PERLU DIISI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Menyediakan personel kompeten (termasuk kerja di ketinggian untuk tiang CH/mast Gateway) &amp; metode kerja aman </w:t>
            </w:r>
            <w:r>
              <w:rPr>
                <w:b/>
                <w:color w:val="8A6D1E"/>
                <w:sz w:val="16"/>
              </w:rPr>
              <w:t xml:space="preserve"> MENUNGGU PENETAPAN PELAKSANA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Mengikuti toolbox meeting, APD, LOTO, gas test, dan koordinasi control room sesuai prosedur RU IV </w:t>
            </w:r>
            <w:r>
              <w:rPr>
                <w:b/>
                <w:color w:val="8A6D1E"/>
                <w:sz w:val="16"/>
              </w:rPr>
              <w:t xml:space="preserve"> PERLU RENCANA KERJA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Berpartisipasi dalam pengesahan TRA/JSA sebagai pelaksana fisik </w:t>
            </w:r>
            <w:r>
              <w:rPr>
                <w:b/>
                <w:color w:val="8A6D1E"/>
                <w:sz w:val="16"/>
              </w:rPr>
              <w:t xml:space="preserve"> MENUNGGU </w:t>
            </w:r>
          </w:p>
        </w:tc>
      </w:tr>
    </w:tbl>
    <w:p>
      <w:pPr>
        <w:spacing w:after="120"/>
      </w:pPr>
    </w:p>
    <w:p>
      <w:pPr>
        <w:pStyle w:val="Heading1"/>
      </w:pPr>
      <w:r>
        <w:t>3. Perangkat, Mekanik &amp; Bracket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c>
          <w:tcPr>
            <w:tcW w:type="dxa" w:w="295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LGU &amp; ITB</w:t>
            </w:r>
          </w:p>
        </w:tc>
        <w:tc>
          <w:tcPr>
            <w:tcW w:type="dxa" w:w="2952"/>
            <w:shd w:val="clear" w:color="auto" w:fill="2E5F8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Pertamina RU IV</w:t>
            </w:r>
          </w:p>
        </w:tc>
        <w:tc>
          <w:tcPr>
            <w:tcW w:type="dxa" w:w="2952"/>
            <w:shd w:val="clear" w:color="auto" w:fill="8A4A1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Pelaksana Instalasi RU IV</w:t>
            </w:r>
          </w:p>
        </w:tc>
      </w:tr>
      <w:tr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Unit GLD (3 unit RU IV + 1 cadangan), firmware &amp; AI on-device sudah siap </w:t>
            </w:r>
            <w:r>
              <w:rPr>
                <w:b/>
                <w:color w:val="2C6B33"/>
                <w:sz w:val="16"/>
              </w:rPr>
              <w:t xml:space="preserve"> SIAP, VERIFIKASI PRA-MOBILISASI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Spesifikasi tiang, pelat mounting U-bolt, fastener, kabel &amp; BoQ disusun dalam dokumen Spesifikasi Material rev 1.4 </w:t>
            </w:r>
            <w:r>
              <w:rPr>
                <w:b/>
                <w:color w:val="2C6B33"/>
                <w:sz w:val="16"/>
              </w:rPr>
              <w:t xml:space="preserve"> SELESAI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Supervisi teknis/QA selama pemasangan fisik &amp; terminasi elektrikal spesifik-GLD </w:t>
            </w:r>
            <w:r>
              <w:rPr>
                <w:b/>
                <w:color w:val="2C6B33"/>
                <w:sz w:val="16"/>
              </w:rPr>
              <w:t xml:space="preserve"> SIAP DILAKSANAKAN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Menyetujui pemasangan tiang baru (galian &amp; cor) di titik pasang perimeter SRU </w:t>
            </w:r>
            <w:r>
              <w:rPr>
                <w:b/>
                <w:color w:val="8A6D1E"/>
                <w:sz w:val="16"/>
              </w:rPr>
              <w:t xml:space="preserve"> MENUNGGU KONFIRMASI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Menyediakan material instalasi sesuai Spesifikasi Material (tiang, cor, pelat &amp; U-bolt, kabel, PSU, grounding) </w:t>
            </w:r>
            <w:r>
              <w:rPr>
                <w:b/>
                <w:color w:val="8A6D1E"/>
                <w:sz w:val="16"/>
              </w:rPr>
              <w:t xml:space="preserve"> RU IV MENDUKUNG PENUH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Galian &amp; pengecoran tiang, fabrikasi &amp; pemasangan pelat mounting sesuai desain &amp; spesifikasi LGU </w:t>
            </w:r>
            <w:r>
              <w:rPr>
                <w:b/>
                <w:color w:val="8A6D1E"/>
                <w:sz w:val="16"/>
              </w:rPr>
              <w:t xml:space="preserve"> MENUNGGU PENETAPAN PELAKSANA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Menyediakan alat kerja, kunci, dan fastener sesuai spesifikasi yang diberikan </w:t>
            </w:r>
            <w:r>
              <w:rPr>
                <w:b/>
                <w:color w:val="8A6D1E"/>
                <w:sz w:val="16"/>
              </w:rPr>
              <w:t xml:space="preserve"> DETAIL FASTENER TERBUKA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Melaksanakan pemasangan fisik GLD &amp; Cluster Head di titik yang sudah ditetapkan </w:t>
            </w:r>
            <w:r>
              <w:rPr>
                <w:b/>
                <w:color w:val="B23A3A"/>
                <w:sz w:val="16"/>
              </w:rPr>
              <w:t xml:space="preserve"> BELUM DAPAT DIMULAI </w:t>
            </w:r>
          </w:p>
        </w:tc>
      </w:tr>
    </w:tbl>
    <w:p>
      <w:pPr>
        <w:spacing w:after="120"/>
      </w:pPr>
    </w:p>
    <w:p>
      <w:pPr>
        <w:pStyle w:val="Heading1"/>
      </w:pPr>
      <w:r>
        <w:t>4. Catu Daya &amp; Kabel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c>
          <w:tcPr>
            <w:tcW w:type="dxa" w:w="295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LGU &amp; ITB</w:t>
            </w:r>
          </w:p>
        </w:tc>
        <w:tc>
          <w:tcPr>
            <w:tcW w:type="dxa" w:w="2952"/>
            <w:shd w:val="clear" w:color="auto" w:fill="2E5F8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Pertamina RU IV</w:t>
            </w:r>
          </w:p>
        </w:tc>
        <w:tc>
          <w:tcPr>
            <w:tcW w:type="dxa" w:w="2952"/>
            <w:shd w:val="clear" w:color="auto" w:fill="8A4A1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Pelaksana Instalasi RU IV</w:t>
            </w:r>
          </w:p>
        </w:tc>
      </w:tr>
      <w:tr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Spesifikasi catu daya 24VDC ≥1A per unit GLD sudah ditetapkan </w:t>
            </w:r>
            <w:r>
              <w:rPr>
                <w:b/>
                <w:color w:val="2C6B33"/>
                <w:sz w:val="16"/>
              </w:rPr>
              <w:t xml:space="preserve"> SELESAI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Terminasi elektrikal spesifik-GLD, energize, dan commissioning </w:t>
            </w:r>
            <w:r>
              <w:rPr>
                <w:b/>
                <w:color w:val="2C6B33"/>
                <w:sz w:val="16"/>
              </w:rPr>
              <w:t xml:space="preserve"> SIAP DILAKSANAKAN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Menyediakan sumber 220VAC/titik catu daya 24VDC di lokasi pasang, termasuk proteksi &amp; titik isolasi/LOTO; memilih skema PSU per titik atau PSU pusat </w:t>
            </w:r>
            <w:r>
              <w:rPr>
                <w:b/>
                <w:color w:val="8A6D1E"/>
                <w:sz w:val="16"/>
              </w:rPr>
              <w:t xml:space="preserve"> PERLU KONFIRMASI TITIK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Menyediakan jalur kabel dari sumber daya ke titik pasang GLD/CH </w:t>
            </w:r>
            <w:r>
              <w:rPr>
                <w:b/>
                <w:color w:val="8A6D1E"/>
                <w:sz w:val="16"/>
              </w:rPr>
              <w:t xml:space="preserve"> MENUNGGU KONFIRMASI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Instalasi PSU, jalur kabel 24VDC (ukuran per Spesifikasi Material §4), terminasi mekanik, dan identifikasi kabel </w:t>
            </w:r>
            <w:r>
              <w:rPr>
                <w:b/>
                <w:color w:val="8A6D1E"/>
                <w:sz w:val="16"/>
              </w:rPr>
              <w:t xml:space="preserve"> MENUNGGU PENETAPAN PELAKSANA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Menerapkan LOTO selama pekerjaan instalasi kabel &amp; catu daya </w:t>
            </w:r>
            <w:r>
              <w:rPr>
                <w:b/>
                <w:color w:val="8A6D1E"/>
                <w:sz w:val="16"/>
              </w:rPr>
              <w:t xml:space="preserve"> MENUNGGU RENCANA KERJA </w:t>
            </w:r>
          </w:p>
        </w:tc>
      </w:tr>
    </w:tbl>
    <w:p>
      <w:pPr>
        <w:spacing w:after="120"/>
      </w:pPr>
    </w:p>
    <w:p>
      <w:pPr>
        <w:pStyle w:val="Heading1"/>
      </w:pPr>
      <w:r>
        <w:t>5. Jaringan &amp;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c>
          <w:tcPr>
            <w:tcW w:type="dxa" w:w="295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LGU &amp; ITB</w:t>
            </w:r>
          </w:p>
        </w:tc>
        <w:tc>
          <w:tcPr>
            <w:tcW w:type="dxa" w:w="2952"/>
            <w:shd w:val="clear" w:color="auto" w:fill="2E5F8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Pertamina RU IV</w:t>
            </w:r>
          </w:p>
        </w:tc>
        <w:tc>
          <w:tcPr>
            <w:tcW w:type="dxa" w:w="2952"/>
            <w:shd w:val="clear" w:color="auto" w:fill="8A4A1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Pelaksana Instalasi RU IV</w:t>
            </w:r>
          </w:p>
        </w:tc>
      </w:tr>
      <w:tr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Setup PC server, MQTT broker, adapter MQTT→backend, dan dashboard </w:t>
            </w:r>
            <w:r>
              <w:rPr>
                <w:b/>
                <w:color w:val="2C6B33"/>
                <w:sz w:val="16"/>
              </w:rPr>
              <w:t xml:space="preserve"> SIAP DIKONFIGURASI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Router LGU sendiri di ruang Gateway (Gateway → router via Wi-Fi 2,4 GHz, router → PC via LAN), tanpa internet — jaringan GLD independen dari intranet kantor </w:t>
            </w:r>
            <w:r>
              <w:rPr>
                <w:b/>
                <w:color w:val="2C6B33"/>
                <w:sz w:val="16"/>
              </w:rPr>
              <w:t xml:space="preserve"> SUDAH DIRANCANG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Uji lokal &amp; acceptance test sebelum serah terima (konfigurasi node/CH/Gateway, broker, backend, dashboard) </w:t>
            </w:r>
            <w:r>
              <w:rPr>
                <w:b/>
                <w:color w:val="2C6B33"/>
                <w:sz w:val="16"/>
              </w:rPr>
              <w:t xml:space="preserve"> CHECKLIST HARI-H DISIAPKAN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Menyediakan PC server fisik di ruang server lokal, ruang Gateway di dekatnya (Gateway di dalam ruangan, antena di mast luar), 220VAC &amp; UPS </w:t>
            </w:r>
            <w:r>
              <w:rPr>
                <w:b/>
                <w:color w:val="8A6D1E"/>
                <w:sz w:val="16"/>
              </w:rPr>
              <w:t xml:space="preserve"> MENUNGGU PENGADAAN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Bila dashboard dibuka ke intranet kantor: review keamanan oleh IT RU IV (endpoint API/dashboard saja, NIC kedua) </w:t>
            </w:r>
            <w:r>
              <w:rPr>
                <w:b/>
                <w:color w:val="8A6D1E"/>
                <w:sz w:val="16"/>
              </w:rPr>
              <w:t xml:space="preserve"> REVIEW FORMAL TERBUKA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Mast antena Gateway (pipa 2" 6 m, dicor), kabel koaksial LMR-400 ≤15 m + penangkal petir, dan kabel Cat6 router ↔ PC server </w:t>
            </w:r>
            <w:r>
              <w:rPr>
                <w:b/>
                <w:color w:val="8A6D1E"/>
                <w:sz w:val="16"/>
              </w:rPr>
              <w:t xml:space="preserve"> MENUNGGU PENETAPAN PELAKSANA </w:t>
            </w:r>
          </w:p>
        </w:tc>
      </w:tr>
    </w:tbl>
    <w:p>
      <w:pPr>
        <w:spacing w:after="120"/>
      </w:pPr>
    </w:p>
    <w:p>
      <w:pPr>
        <w:pStyle w:val="Heading1"/>
      </w:pPr>
      <w:r>
        <w:t>6. Koordinasi &amp; Commissioning Hari-H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c>
          <w:tcPr>
            <w:tcW w:type="dxa" w:w="295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LGU &amp; ITB</w:t>
            </w:r>
          </w:p>
        </w:tc>
        <w:tc>
          <w:tcPr>
            <w:tcW w:type="dxa" w:w="2952"/>
            <w:shd w:val="clear" w:color="auto" w:fill="2E5F8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Pertamina RU IV</w:t>
            </w:r>
          </w:p>
        </w:tc>
        <w:tc>
          <w:tcPr>
            <w:tcW w:type="dxa" w:w="2952"/>
            <w:shd w:val="clear" w:color="auto" w:fill="8A4A1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Pelaksana Instalasi RU IV</w:t>
            </w:r>
          </w:p>
        </w:tc>
      </w:tr>
      <w:tr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Memimpin energize &amp; uji fungsional bersama HSE/control room </w:t>
            </w:r>
            <w:r>
              <w:rPr>
                <w:b/>
                <w:color w:val="2C6B33"/>
                <w:sz w:val="16"/>
              </w:rPr>
              <w:t xml:space="preserve"> SIAP DILAKSANAKAN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Menyusun kriteria acceptance test (telemetri, alarm/clear, Area+Equipment, rollback) </w:t>
            </w:r>
            <w:r>
              <w:rPr>
                <w:b/>
                <w:color w:val="2C6B33"/>
                <w:sz w:val="16"/>
              </w:rPr>
              <w:t xml:space="preserve"> SUDAH DISUSUN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Menyerahkan log commissioning, konfigurasi akhir, dan foto titik pasang ke RU IV </w:t>
            </w:r>
            <w:r>
              <w:rPr>
                <w:b/>
                <w:color w:val="2C6B33"/>
                <w:sz w:val="16"/>
              </w:rPr>
              <w:t xml:space="preserve"> SIAP DILAKSANAKAN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Menyediakan PIC operasi/HSE/control room saat hari-H </w:t>
            </w:r>
            <w:r>
              <w:rPr>
                <w:b/>
                <w:color w:val="8A6D1E"/>
                <w:sz w:val="16"/>
              </w:rPr>
              <w:t xml:space="preserve"> PERLU DIISI </w:t>
            </w:r>
          </w:p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Menyetujui rencana energize &amp; uji, serta menandatangani berita acara commissioning </w:t>
            </w:r>
            <w:r>
              <w:rPr>
                <w:b/>
                <w:color w:val="8A6D1E"/>
                <w:sz w:val="16"/>
              </w:rPr>
              <w:t xml:space="preserve"> MENUNGGU JADWAL </w:t>
            </w:r>
          </w:p>
        </w:tc>
        <w:tc>
          <w:tcPr>
            <w:tcW w:type="dxa" w:w="2952"/>
            <w:shd w:val="clear" w:color="auto" w:fill="FAFA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• </w:t>
            </w:r>
            <w:r>
              <w:rPr>
                <w:b w:val="0"/>
                <w:sz w:val="17"/>
              </w:rPr>
              <w:t xml:space="preserve">Hadir sebagai pelaksana fisik hari-H, siap dikoordinasikan LGU/HSE selama commissioning </w:t>
            </w:r>
            <w:r>
              <w:rPr>
                <w:b/>
                <w:color w:val="8A6D1E"/>
                <w:sz w:val="16"/>
              </w:rPr>
              <w:t xml:space="preserve"> MENUNGGU PENETAPAN PELAKSANA </w:t>
            </w:r>
          </w:p>
        </w:tc>
      </w:tr>
    </w:tbl>
    <w:p>
      <w:pPr>
        <w:spacing w:after="120"/>
      </w:pPr>
    </w:p>
    <w:p>
      <w:pPr>
        <w:pStyle w:val="Heading1"/>
      </w:pPr>
      <w:r>
        <w:t>7. Lampiran — Bukti Desain &amp; Kesiapan Fisik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6E5"/>
            <w:tcBorders>
              <w:top w:val="single" w:sz="6" w:color="C98A12"/>
              <w:left w:val="single" w:sz="6" w:color="C98A12"/>
              <w:bottom w:val="single" w:sz="6" w:color="C98A12"/>
              <w:right w:val="single" w:sz="6" w:color="C98A12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Dua jalur desain casing/enclosure berjalan paralel — jangan disamakan.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Casing v2</w:t>
            </w:r>
            <w:r>
              <w:rPr>
                <w:b w:val="0"/>
                <w:sz w:val="19"/>
              </w:rPr>
              <w:t xml:space="preserve"> (bracket U-bolt) adalah desain yang menjadi acuan instalasi Cilacap saat ini. </w:t>
            </w:r>
            <w:r>
              <w:rPr>
                <w:b/>
                <w:sz w:val="19"/>
              </w:rPr>
              <w:t>Casing v3</w:t>
            </w:r>
            <w:r>
              <w:rPr>
                <w:b w:val="0"/>
                <w:sz w:val="19"/>
              </w:rPr>
              <w:t xml:space="preserve"> adalah desain cadangan (contingency) yang sedang dikembangkan khusus untuk keperluan sertifikasi ATEX — disiapkan berjaga-jaga apabila v2 tidak lolos pengujian ATEX. V3 masih tahap progress, belum menggantikan v2 untuk instalasi.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3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Gambar kerja CAD — Bracket Mounting L + U-Bolt (“ATEX Casing v2”, Farhan Budiman, 31 Agustus 2026)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Lembar kerja lengkap: 3 pandangan ortografik unit terpasang di bracket, dimensi leher casing (Ø75mm, tinggi 191,51mm), tabel parameter U-bolt (ukuran 2″/DN50 untuk pipa OD 60,3mm, thread M10), pelat mounting 250×250mm dengan opsi spacer. Ini basis desain LGU untuk pelaksana instalasi — fabrikasi &amp; verifikasi lapangan final tetap tanggung jawab pelaksana instalasi RU IV.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2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Desain Cadangan — “ATEX Casing v3”, Render Isometrik (8 September 2026, progress)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Bukan pengganti desain v2 — ini jalur desain cadangan (contingency) yang disiapkan khusus untuk kebutuhan sertifikasi ATEX, berjaga-jaga apabila desain v2 (bracket di atas) ternyata tidak lolos pengujian ATEX. Desain utama yang berjalan untuk instalasi Cilacap saat ini tetap v2. Status: dalam progress, belum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2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Pandangan Depan / Samping / Isometrik — ATEX Casing v3 (progress)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Menunjukkan tata letak flange mounting bawah, port antena, dan port modul alarm pada badan enclosure — iterasi desain yang sedang dikembangkan paralel sbg mitigasi risiko sertifikasi, bukan desain final yang dipakai instalasi.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35109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9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Foto Prototipe Fisik GLD — Hasil Rakitan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Unit GLD nyata (motherboard + modul sensor + tutup mesh + casing + antena + modul alarm) — sesuai desain CAD casing di atas. Menunjukkan kesiapan unit fisik, bukan render semata.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83080" cy="237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Tampak Belakang — Flange Mounting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Pelat mounting 4-lubang pada badan casing, sesuai dgn pelat bracket U-bolt pada desain CAD — ini adalah interface fisik yang akan dipakai pelaksana untuk pemasangan ke tiang baru di lokasi (perimeter SRU).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450" cy="402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Gas Test Chamber Portable — GLD Terpasang di Dalam Chamber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 xml:space="preserve">Chamber akrilik dengan GLD dipasang di tengah, kipas sirkulasi udara di bagian bawah, dan modul sensor terpisah — dipakai untuk pengambilan dataset gas &amp; pelatihan model AI on-site. Sumber: </w:t>
      </w:r>
      <w:r>
        <w:rPr>
          <w:rFonts w:ascii="Consolas" w:hAnsi="Consolas"/>
          <w:i/>
          <w:color w:val="5B5B5B"/>
          <w:sz w:val="16"/>
        </w:rPr>
        <w:t>Sumber Dokumen/LAPORAN PROGRESS CHAMBER GAS.pdf</w:t>
      </w:r>
      <w:r>
        <w:rPr>
          <w:b w:val="0"/>
          <w:i/>
          <w:color w:val="5B5B5B"/>
          <w:sz w:val="17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1882" cy="237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1882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Setup Lengkap — Chamber + Elektronik Kontrol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Tampilan keseluruhan: chamber akrilik, GLD terpasang, papan kontrol (solenoid valve, pompa, relay, PSU) di sisi kiri, kipas sirkulasi di sisi kanan.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81168" cy="2377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1168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Papan Kontrol — Pompa, Solenoid Valve &amp; Relay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Solenoid valve untuk kendali aliran gas presisi, pompa hisap dgn kendali duty cycle (PWM), relay, dan PSU step-down — dikendalikan dua arah secara real-time via serial ESP32.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353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3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B5B5B"/>
          <w:sz w:val="17"/>
        </w:rPr>
        <w:t>Board Sensor — TGS2610 &amp; BME280</w:t>
      </w:r>
      <w:r>
        <w:rPr>
          <w:i/>
          <w:color w:val="5B5B5B"/>
        </w:rPr>
        <w:br/>
      </w:r>
      <w:r>
        <w:rPr>
          <w:b w:val="0"/>
          <w:i/>
          <w:color w:val="5B5B5B"/>
          <w:sz w:val="17"/>
        </w:rPr>
        <w:t>Modul sensor gas TGS2610 dan sensor suhu/tekanan/kelembapan BME280 — dipakai untuk pengukuran komparatif kondisi internal vs eksternal chamber selama pengujian.</w:t>
      </w:r>
    </w:p>
    <w:p>
      <w:pPr>
        <w:pStyle w:val="Heading1"/>
      </w:pPr>
      <w:r>
        <w:t>8. Alur Kerja Chamber Uji Gas</w:t>
      </w:r>
    </w:p>
    <w:p>
      <w:pPr>
        <w:spacing w:after="120"/>
      </w:pPr>
      <w:r>
        <w:rPr>
          <w:b w:val="0"/>
          <w:sz w:val="20"/>
        </w:rPr>
        <w:t>Chamber bekerja sebagai satu sistem kendali-dan-ukur tertutup: gas dialirkan secara terkontrol, kondisi di dalam chamber dipantau dua sensor sekaligus, dan seluruh proses dikendalikan real-time dari ESP32 — hasil pengukurannya menjadi dataset untuk melatih model AI GLD.</w:t>
      </w:r>
    </w:p>
    <w:p>
      <w:pPr>
        <w:spacing w:after="160"/>
      </w:pPr>
      <w:r>
        <w:rPr>
          <w:color w:val="1F1F1F"/>
          <w:sz w:val="18"/>
        </w:rPr>
        <w:t>(1) 1. Alirkan gas — Solenoid valve membuka/menutup presisi untuk memasukkan gas uji ke dalam chamber. → (2) 2. Sirkulasikan udara — Pompa hisap dgn kendali duty cycle (PWM) mengatur dinamika aliran udara di dalam chamber. → (3) 3. Ukur kondisi — 2× BME280 (eksternal vs internal) mengukur suhu/tekanan/kelembapan secara komparatif; TGS2610 memantau konsentrasi gas spesifik. → (4) 4. Kendali &amp; baca real-time — ESP32 mengendalikan valve/pompa dan membaca seluruh sensor dua arah, live via serial interface. → (5) 5. Dataset &amp; training — Data terekam dipakai untuk melatih model AI klasifikasi gas GLD sesuai kebutuhan RU — lanjut ke inject firmware.</w:t>
      </w:r>
    </w:p>
    <w:p>
      <w:pPr>
        <w:spacing w:after="120"/>
      </w:pPr>
      <w:r>
        <w:rPr>
          <w:b w:val="0"/>
          <w:i/>
          <w:color w:val="5B5B5B"/>
          <w:sz w:val="18"/>
        </w:rPr>
        <w:t xml:space="preserve">Alur ini adalah operasi internal chamber (bagaimana satu sesi pengujian gas berjalan). Alur yang lebih luas — chamber dibawa ke lokasi kilang, dataset diambil, model dilatih, lalu di-inject ke firmware GLD — dijabarkan di </w:t>
      </w:r>
      <w:r>
        <w:rPr>
          <w:i/>
          <w:color w:val="5B5B5B"/>
          <w:sz w:val="18"/>
          <w:u w:val="single"/>
        </w:rPr>
        <w:t>Laporan Perkembangan Field Testing &amp; Sertifikasi</w:t>
      </w:r>
      <w:r>
        <w:rPr>
          <w:b w:val="0"/>
          <w:i/>
          <w:color w:val="5B5B5B"/>
          <w:sz w:val="18"/>
        </w:rPr>
        <w:t xml:space="preserve">, dan berlaku sbg pola standar utk semua RU (bukan hanya Cilacap). Sumber teknis: </w:t>
      </w:r>
      <w:r>
        <w:rPr>
          <w:rFonts w:ascii="Consolas" w:hAnsi="Consolas"/>
          <w:i/>
          <w:color w:val="5B5B5B"/>
          <w:sz w:val="17"/>
        </w:rPr>
        <w:t>Sumber Dokumen/LAPORAN PROGRESS CHAMBER GAS.pdf</w:t>
      </w:r>
      <w:r>
        <w:rPr>
          <w:b w:val="0"/>
          <w:i/>
          <w:color w:val="5B5B5B"/>
          <w:sz w:val="18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B5B5B"/>
        <w:sz w:val="16"/>
      </w:rPr>
      <w:t>LGU/GLD/INSTALASI-PEMBAGIAN/2026-001  ·  Rev. 1.5</w:t>
    </w:r>
    <w:r>
      <w:rPr>
        <w:color w:val="5B5B5B"/>
        <w:sz w:val="16"/>
      </w:rPr>
      <w:tab/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Pembagian Persiapan Instalasi — RU IV Cilacap  |  Draf Kerja — Konfidensial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