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746"/>
      </w:tblGrid>
      <w:tr>
        <w:tc>
          <w:tcPr>
            <w:tcW w:type="dxa" w:w="9746"/>
            <w:shd w:val="clear" w:color="auto" w:fill="1A2B3D"/>
          </w:tcPr>
          <w:p>
            <w:pPr>
              <w:spacing w:after="40"/>
            </w:pPr>
            <w:r>
              <w:rPr>
                <w:b/>
                <w:color w:val="FFFFFF"/>
                <w:sz w:val="28"/>
              </w:rPr>
              <w:t>PT GALAKSI MEGATAMA INDONESIA</w:t>
            </w:r>
          </w:p>
          <w:p>
            <w:pPr>
              <w:spacing w:after="60"/>
            </w:pPr>
            <w:r>
              <w:rPr>
                <w:color w:val="C7D2E0"/>
                <w:sz w:val="19"/>
              </w:rPr>
              <w:t>Manufacturer of record</w:t>
            </w:r>
          </w:p>
        </w:tc>
      </w:tr>
    </w:tbl>
    <w:p>
      <w:pPr>
        <w:spacing w:after="280"/>
      </w:pPr>
    </w:p>
    <w:p>
      <w:pPr>
        <w:spacing w:after="80"/>
      </w:pPr>
      <w:r>
        <w:rPr>
          <w:b/>
          <w:i w:val="0"/>
          <w:color w:val="4A4A4A"/>
          <w:sz w:val="20"/>
        </w:rPr>
        <w:t>CERTIFICATION INFORMATION REQUIREMENTS — FILLED WORKING COPY</w:t>
      </w:r>
    </w:p>
    <w:p>
      <w:pPr>
        <w:pStyle w:val="Title"/>
        <w:spacing w:after="80"/>
      </w:pPr>
      <w:r>
        <w:rPr>
          <w:b/>
          <w:color w:val="1A2B3D"/>
          <w:sz w:val="40"/>
        </w:rPr>
        <w:t>IECEx/ATEX Certification Information Requirements</w:t>
      </w:r>
    </w:p>
    <w:p>
      <w:pPr>
        <w:spacing w:after="200"/>
      </w:pPr>
      <w:r>
        <w:rPr>
          <w:b/>
          <w:color w:val="4A4A4A"/>
          <w:sz w:val="30"/>
        </w:rPr>
        <w:t>Gas Leak Detector (GLD) V2</w:t>
      </w:r>
    </w:p>
    <w:p>
      <w:pPr>
        <w:spacing w:after="160"/>
      </w:pPr>
      <w:r>
        <w:rPr>
          <w:b w:val="0"/>
          <w:i w:val="0"/>
          <w:sz w:val="21"/>
        </w:rPr>
        <w:t>This document follows, item by item, the section order of the ExCB checklist as it appears in the internal working-draft template (source file below), filled in with GLD's confirmed design data. Task-style annotations from that working draft have been rewritten here as professional status notes.</w:t>
      </w:r>
    </w:p>
    <w:p>
      <w:pPr>
        <w:spacing w:after="80"/>
      </w:pPr>
      <w:r>
        <w:rPr>
          <w:b/>
          <w:i w:val="0"/>
          <w:color w:val="1A2B3D"/>
          <w:sz w:val="23"/>
        </w:rPr>
        <w:t>Document Control</w:t>
      </w:r>
    </w:p>
    <w:tbl>
      <w:tblPr>
        <w:tblStyle w:val="TableGrid"/>
        <w:tblW w:type="auto" w:w="0"/>
        <w:tblLook w:firstColumn="1" w:firstRow="1" w:lastColumn="0" w:lastRow="0" w:noHBand="0" w:noVBand="1" w:val="04A0"/>
      </w:tblPr>
      <w:tblGrid>
        <w:gridCol w:w="4873"/>
        <w:gridCol w:w="4873"/>
      </w:tblGrid>
      <w:tr>
        <w:tc>
          <w:tcPr>
            <w:tcW w:type="dxa" w:w="3024"/>
            <w:shd w:val="clear" w:color="auto" w:fill="EFEFEF"/>
          </w:tcPr>
          <w:p>
            <w:pPr>
              <w:spacing w:after="40"/>
            </w:pPr>
            <w:r>
              <w:rPr>
                <w:b/>
                <w:color w:val="4A4A4A"/>
                <w:sz w:val="19"/>
              </w:rPr>
              <w:t>Document title</w:t>
            </w:r>
          </w:p>
        </w:tc>
        <w:tc>
          <w:tcPr>
            <w:tcW w:type="dxa" w:w="6336"/>
          </w:tcPr>
          <w:p>
            <w:pPr>
              <w:spacing w:after="40"/>
            </w:pPr>
            <w:r>
              <w:rPr>
                <w:sz w:val="20"/>
              </w:rPr>
              <w:t>IECEx/ATEX Certification Information Requirements — Gas Leak Detector (GLD) V2 (Filled Working Copy)</w:t>
            </w:r>
          </w:p>
        </w:tc>
      </w:tr>
      <w:tr>
        <w:tc>
          <w:tcPr>
            <w:tcW w:type="dxa" w:w="3024"/>
            <w:shd w:val="clear" w:color="auto" w:fill="EFEFEF"/>
          </w:tcPr>
          <w:p>
            <w:pPr>
              <w:spacing w:after="40"/>
            </w:pPr>
            <w:r>
              <w:rPr>
                <w:b/>
                <w:color w:val="4A4A4A"/>
                <w:sz w:val="19"/>
              </w:rPr>
              <w:t>Document no.</w:t>
            </w:r>
          </w:p>
        </w:tc>
        <w:tc>
          <w:tcPr>
            <w:tcW w:type="dxa" w:w="6336"/>
          </w:tcPr>
          <w:p>
            <w:pPr>
              <w:spacing w:after="40"/>
            </w:pPr>
            <w:r>
              <w:rPr>
                <w:sz w:val="20"/>
              </w:rPr>
              <w:t>GMI/GLD/IECEX-CIR/2026-001</w:t>
            </w:r>
          </w:p>
        </w:tc>
      </w:tr>
      <w:tr>
        <w:tc>
          <w:tcPr>
            <w:tcW w:type="dxa" w:w="3024"/>
            <w:shd w:val="clear" w:color="auto" w:fill="EFEFEF"/>
          </w:tcPr>
          <w:p>
            <w:pPr>
              <w:spacing w:after="40"/>
            </w:pPr>
            <w:r>
              <w:rPr>
                <w:b/>
                <w:color w:val="4A4A4A"/>
                <w:sz w:val="19"/>
              </w:rPr>
              <w:t>Revision</w:t>
            </w:r>
          </w:p>
        </w:tc>
        <w:tc>
          <w:tcPr>
            <w:tcW w:type="dxa" w:w="6336"/>
          </w:tcPr>
          <w:p>
            <w:pPr>
              <w:spacing w:after="40"/>
            </w:pPr>
            <w:r>
              <w:rPr>
                <w:sz w:val="20"/>
              </w:rPr>
              <w:t>1.1</w:t>
            </w:r>
          </w:p>
        </w:tc>
      </w:tr>
      <w:tr>
        <w:tc>
          <w:tcPr>
            <w:tcW w:type="dxa" w:w="3024"/>
            <w:shd w:val="clear" w:color="auto" w:fill="EFEFEF"/>
          </w:tcPr>
          <w:p>
            <w:pPr>
              <w:spacing w:after="40"/>
            </w:pPr>
            <w:r>
              <w:rPr>
                <w:b/>
                <w:color w:val="4A4A4A"/>
                <w:sz w:val="19"/>
              </w:rPr>
              <w:t>Date</w:t>
            </w:r>
          </w:p>
        </w:tc>
        <w:tc>
          <w:tcPr>
            <w:tcW w:type="dxa" w:w="6336"/>
          </w:tcPr>
          <w:p>
            <w:pPr>
              <w:spacing w:after="40"/>
            </w:pPr>
            <w:r>
              <w:rPr>
                <w:sz w:val="20"/>
              </w:rPr>
              <w:t>7 October 2026</w:t>
            </w:r>
          </w:p>
        </w:tc>
      </w:tr>
      <w:tr>
        <w:tc>
          <w:tcPr>
            <w:tcW w:type="dxa" w:w="3024"/>
            <w:shd w:val="clear" w:color="auto" w:fill="EFEFEF"/>
          </w:tcPr>
          <w:p>
            <w:pPr>
              <w:spacing w:after="40"/>
            </w:pPr>
            <w:r>
              <w:rPr>
                <w:b/>
                <w:color w:val="4A4A4A"/>
                <w:sz w:val="19"/>
              </w:rPr>
              <w:t>Status</w:t>
            </w:r>
          </w:p>
        </w:tc>
        <w:tc>
          <w:tcPr>
            <w:tcW w:type="dxa" w:w="6336"/>
          </w:tcPr>
          <w:p>
            <w:pPr>
              <w:spacing w:after="40"/>
            </w:pPr>
            <w:r>
              <w:rPr>
                <w:sz w:val="20"/>
              </w:rPr>
              <w:t>Working Document — Draft for Internal Review</w:t>
            </w:r>
          </w:p>
        </w:tc>
      </w:tr>
      <w:tr>
        <w:tc>
          <w:tcPr>
            <w:tcW w:type="dxa" w:w="3024"/>
            <w:shd w:val="clear" w:color="auto" w:fill="EFEFEF"/>
          </w:tcPr>
          <w:p>
            <w:pPr>
              <w:spacing w:after="40"/>
            </w:pPr>
            <w:r>
              <w:rPr>
                <w:b/>
                <w:color w:val="4A4A4A"/>
                <w:sz w:val="19"/>
              </w:rPr>
              <w:t>Classification</w:t>
            </w:r>
          </w:p>
        </w:tc>
        <w:tc>
          <w:tcPr>
            <w:tcW w:type="dxa" w:w="6336"/>
          </w:tcPr>
          <w:p>
            <w:pPr>
              <w:spacing w:after="40"/>
            </w:pPr>
            <w:r>
              <w:rPr>
                <w:sz w:val="20"/>
              </w:rPr>
              <w:t>Confidential — prepared for ATEX/IECEx certification body (ExCB) submission</w:t>
            </w:r>
          </w:p>
        </w:tc>
      </w:tr>
      <w:tr>
        <w:tc>
          <w:tcPr>
            <w:tcW w:type="dxa" w:w="3024"/>
            <w:shd w:val="clear" w:color="auto" w:fill="EFEFEF"/>
          </w:tcPr>
          <w:p>
            <w:pPr>
              <w:spacing w:after="40"/>
            </w:pPr>
            <w:r>
              <w:rPr>
                <w:b/>
                <w:color w:val="4A4A4A"/>
                <w:sz w:val="19"/>
              </w:rPr>
              <w:t>Based on (source template)</w:t>
            </w:r>
          </w:p>
        </w:tc>
        <w:tc>
          <w:tcPr>
            <w:tcW w:type="dxa" w:w="6336"/>
          </w:tcPr>
          <w:p>
            <w:pPr>
              <w:spacing w:after="40"/>
            </w:pPr>
            <w:r>
              <w:rPr>
                <w:sz w:val="20"/>
              </w:rPr>
              <w:t>IECEx ATEX Certification Information Requirements_Rev18092026.docx (internal working draft, 18 Sep 2026)</w:t>
            </w:r>
          </w:p>
        </w:tc>
      </w:tr>
      <w:tr>
        <w:tc>
          <w:tcPr>
            <w:tcW w:type="dxa" w:w="3024"/>
            <w:shd w:val="clear" w:color="auto" w:fill="EFEFEF"/>
          </w:tcPr>
          <w:p>
            <w:pPr>
              <w:spacing w:after="40"/>
            </w:pPr>
            <w:r>
              <w:rPr>
                <w:b/>
                <w:color w:val="4A4A4A"/>
                <w:sz w:val="19"/>
              </w:rPr>
              <w:t>Applicant / Manufacturer</w:t>
            </w:r>
          </w:p>
        </w:tc>
        <w:tc>
          <w:tcPr>
            <w:tcW w:type="dxa" w:w="6336"/>
          </w:tcPr>
          <w:p>
            <w:pPr>
              <w:spacing w:after="40"/>
            </w:pPr>
            <w:r>
              <w:rPr>
                <w:sz w:val="20"/>
              </w:rPr>
              <w:t>PT Galaksi Megatama Indonesia</w:t>
            </w:r>
          </w:p>
        </w:tc>
      </w:tr>
      <w:tr>
        <w:tc>
          <w:tcPr>
            <w:tcW w:type="dxa" w:w="3024"/>
            <w:shd w:val="clear" w:color="auto" w:fill="EFEFEF"/>
          </w:tcPr>
          <w:p>
            <w:pPr>
              <w:spacing w:after="40"/>
            </w:pPr>
            <w:r>
              <w:rPr>
                <w:b/>
                <w:color w:val="4A4A4A"/>
                <w:sz w:val="19"/>
              </w:rPr>
              <w:t>Companion document</w:t>
            </w:r>
          </w:p>
        </w:tc>
        <w:tc>
          <w:tcPr>
            <w:tcW w:type="dxa" w:w="6336"/>
          </w:tcPr>
          <w:p>
            <w:pPr>
              <w:spacing w:after="40"/>
            </w:pPr>
            <w:r>
              <w:rPr>
                <w:sz w:val="20"/>
              </w:rPr>
              <w:t>Dokumen_Teknis_Sertifikasi_GLD_IECEx_ATEX (exhaustive item-by-item status tracking) — authoritative for item-level status where the two documents differ</w:t>
            </w:r>
          </w:p>
        </w:tc>
      </w:tr>
    </w:tbl>
    <w:p>
      <w:pPr>
        <w:spacing w:after="200"/>
      </w:pPr>
    </w:p>
    <w:tbl>
      <w:tblPr>
        <w:tblW w:type="auto" w:w="0"/>
        <w:jc w:val="center"/>
        <w:tblLook w:firstColumn="1" w:firstRow="1" w:lastColumn="0" w:lastRow="0" w:noHBand="0" w:noVBand="1" w:val="04A0"/>
      </w:tblPr>
      <w:tblGrid>
        <w:gridCol w:w="9746"/>
      </w:tblGrid>
      <w:tr>
        <w:tc>
          <w:tcPr>
            <w:tcW w:type="dxa" w:w="9746"/>
            <w:shd w:val="clear" w:color="auto" w:fill="FDF1E6"/>
            <w:tcBorders>
              <w:top w:val="single" w:sz="4" w:color="E8C79A"/>
              <w:left w:val="single" w:sz="4" w:color="E8C79A"/>
              <w:bottom w:val="single" w:sz="4" w:color="E8C79A"/>
              <w:right w:val="single" w:sz="4" w:color="E8C79A"/>
            </w:tcBorders>
          </w:tcPr>
          <w:p>
            <w:pPr>
              <w:spacing w:after="40"/>
            </w:pPr>
            <w:r>
              <w:rPr>
                <w:color w:val="4A4A4A"/>
                <w:sz w:val="20"/>
              </w:rPr>
              <w:t>Scope of this document. This is a compilation of design evidence and an honest readiness assessment against the ExCB checklist, prepared in support of a future submission — it is not itself a certificate and does not constitute self-certification. The product is still at from-scratch development/prototype stage; no finalized, serialized units exist yet.</w:t>
            </w:r>
          </w:p>
        </w:tc>
      </w:tr>
    </w:tbl>
    <w:p>
      <w:pPr>
        <w:spacing w:after="80"/>
      </w:pPr>
    </w:p>
    <w:p>
      <w:pPr>
        <w:spacing w:after="80"/>
      </w:pPr>
      <w:r>
        <w:rPr>
          <w:b/>
          <w:i w:val="0"/>
          <w:color w:val="1A2B3D"/>
          <w:sz w:val="23"/>
        </w:rPr>
        <w:t>Revision History</w:t>
      </w:r>
    </w:p>
    <w:tbl>
      <w:tblPr>
        <w:tblStyle w:val="TableGrid"/>
        <w:tblW w:type="auto" w:w="0"/>
        <w:tblLook w:firstColumn="1" w:firstRow="1" w:lastColumn="0" w:lastRow="0" w:noHBand="0" w:noVBand="1" w:val="04A0"/>
      </w:tblPr>
      <w:tblGrid>
        <w:gridCol w:w="3249"/>
        <w:gridCol w:w="3249"/>
        <w:gridCol w:w="3249"/>
      </w:tblGrid>
      <w:tr>
        <w:tc>
          <w:tcPr>
            <w:tcW w:type="dxa" w:w="1296"/>
            <w:shd w:val="clear" w:color="auto" w:fill="EFEFEF"/>
          </w:tcPr>
          <w:p>
            <w:pPr>
              <w:spacing w:after="40"/>
            </w:pPr>
            <w:r>
              <w:rPr>
                <w:b/>
                <w:color w:val="4A4A4A"/>
                <w:sz w:val="18"/>
              </w:rPr>
              <w:t>REVISION</w:t>
            </w:r>
          </w:p>
        </w:tc>
        <w:tc>
          <w:tcPr>
            <w:tcW w:type="dxa" w:w="1872"/>
            <w:shd w:val="clear" w:color="auto" w:fill="EFEFEF"/>
          </w:tcPr>
          <w:p>
            <w:pPr>
              <w:spacing w:after="40"/>
            </w:pPr>
            <w:r>
              <w:rPr>
                <w:b/>
                <w:color w:val="4A4A4A"/>
                <w:sz w:val="18"/>
              </w:rPr>
              <w:t>DATE</w:t>
            </w:r>
          </w:p>
        </w:tc>
        <w:tc>
          <w:tcPr>
            <w:tcW w:type="dxa" w:w="6192"/>
            <w:shd w:val="clear" w:color="auto" w:fill="EFEFEF"/>
          </w:tcPr>
          <w:p>
            <w:pPr>
              <w:spacing w:after="40"/>
            </w:pPr>
            <w:r>
              <w:rPr>
                <w:b/>
                <w:color w:val="4A4A4A"/>
                <w:sz w:val="18"/>
              </w:rPr>
              <w:t>DESCRIPTION</w:t>
            </w:r>
          </w:p>
        </w:tc>
      </w:tr>
      <w:tr>
        <w:tc>
          <w:tcPr>
            <w:tcW w:type="dxa" w:w="1296"/>
          </w:tcPr>
          <w:p>
            <w:pPr>
              <w:spacing w:after="40"/>
            </w:pPr>
            <w:r>
              <w:rPr>
                <w:sz w:val="19"/>
              </w:rPr>
              <w:t>0.1</w:t>
            </w:r>
          </w:p>
        </w:tc>
        <w:tc>
          <w:tcPr>
            <w:tcW w:type="dxa" w:w="1872"/>
          </w:tcPr>
          <w:p>
            <w:pPr>
              <w:spacing w:after="40"/>
            </w:pPr>
            <w:r>
              <w:rPr>
                <w:sz w:val="19"/>
              </w:rPr>
              <w:t>22 September 2026</w:t>
            </w:r>
          </w:p>
        </w:tc>
        <w:tc>
          <w:tcPr>
            <w:tcW w:type="dxa" w:w="6192"/>
          </w:tcPr>
          <w:p>
            <w:pPr>
              <w:spacing w:after="40"/>
            </w:pPr>
            <w:r>
              <w:rPr>
                <w:sz w:val="19"/>
              </w:rPr>
              <w:t>Initial issue — filled in against the internal working-draft template (IECEx ATEX Certification Information Requirements_Rev18092026.docx), covering all three sections of the checklist.</w:t>
            </w:r>
          </w:p>
        </w:tc>
      </w:tr>
      <w:tr>
        <w:tc>
          <w:tcPr>
            <w:tcW w:type="dxa" w:w="1296"/>
          </w:tcPr>
          <w:p>
            <w:pPr>
              <w:spacing w:after="40"/>
            </w:pPr>
            <w:r>
              <w:rPr>
                <w:sz w:val="19"/>
              </w:rPr>
              <w:t>0.2</w:t>
            </w:r>
          </w:p>
        </w:tc>
        <w:tc>
          <w:tcPr>
            <w:tcW w:type="dxa" w:w="1872"/>
          </w:tcPr>
          <w:p>
            <w:pPr>
              <w:spacing w:after="40"/>
            </w:pPr>
            <w:r>
              <w:rPr>
                <w:sz w:val="19"/>
              </w:rPr>
              <w:t>22 September 2026</w:t>
            </w:r>
          </w:p>
        </w:tc>
        <w:tc>
          <w:tcPr>
            <w:tcW w:type="dxa" w:w="6192"/>
          </w:tcPr>
          <w:p>
            <w:pPr>
              <w:spacing w:after="40"/>
            </w:pPr>
            <w:r>
              <w:rPr>
                <w:sz w:val="19"/>
              </w:rPr>
              <w:t>Total weight corrected to 2.3 kg; IP rating confirmed as IP66; operating humidity confirmed as 10–90% RH non-condensing; cable gland confirmed as M20×1.5 (IP66-rated) — all raised to Final (Section 2.3). Power consumption rounded to 8 W. Removed the ambiguous “no plastic or PVC” parenthetical from the product description (Section 2.1) and generalized “L-bracket” to “bracket” in that same narrative sentence (the dimensioned bracket/U-bolt specification in Section 2.3 is unaffected). “GLD V2 (Version 2)” simplified to “GLD V2”. Layout fix: kept the Section 2.6.b BOM paragraph together across the page break.</w:t>
            </w:r>
          </w:p>
        </w:tc>
      </w:tr>
      <w:tr>
        <w:tc>
          <w:tcPr>
            <w:tcW w:type="dxa" w:w="1296"/>
          </w:tcPr>
          <w:p>
            <w:pPr>
              <w:spacing w:after="40"/>
            </w:pPr>
            <w:r>
              <w:rPr>
                <w:sz w:val="19"/>
              </w:rPr>
              <w:t>0.3</w:t>
            </w:r>
          </w:p>
        </w:tc>
        <w:tc>
          <w:tcPr>
            <w:tcW w:type="dxa" w:w="1872"/>
          </w:tcPr>
          <w:p>
            <w:pPr>
              <w:spacing w:after="40"/>
            </w:pPr>
            <w:r>
              <w:rPr>
                <w:sz w:val="19"/>
              </w:rPr>
              <w:t>22 September 2026</w:t>
            </w:r>
          </w:p>
        </w:tc>
        <w:tc>
          <w:tcPr>
            <w:tcW w:type="dxa" w:w="6192"/>
          </w:tcPr>
          <w:p>
            <w:pPr>
              <w:spacing w:after="40"/>
            </w:pPr>
            <w:r>
              <w:rPr>
                <w:sz w:val="19"/>
              </w:rPr>
              <w:t>“Bracket”/“L-bracket” terminology corrected throughout to “U-bolt mounting plate” (Sections 2.1, 2.3, 2.6.a), matching the actual CAD drawing (a flat 250×250 mm plate secured by 2× U-bolts — not an angled/L-shaped bracket).</w:t>
            </w:r>
          </w:p>
        </w:tc>
      </w:tr>
      <w:tr>
        <w:tc>
          <w:tcPr>
            <w:tcW w:type="dxa" w:w="1296"/>
          </w:tcPr>
          <w:p>
            <w:pPr>
              <w:spacing w:after="40"/>
            </w:pPr>
            <w:r>
              <w:rPr>
                <w:sz w:val="19"/>
              </w:rPr>
              <w:t>0.4</w:t>
            </w:r>
          </w:p>
        </w:tc>
        <w:tc>
          <w:tcPr>
            <w:tcW w:type="dxa" w:w="1872"/>
          </w:tcPr>
          <w:p>
            <w:pPr>
              <w:spacing w:after="40"/>
            </w:pPr>
            <w:r>
              <w:rPr>
                <w:sz w:val="19"/>
              </w:rPr>
              <w:t>24 September 2026</w:t>
            </w:r>
          </w:p>
        </w:tc>
        <w:tc>
          <w:tcPr>
            <w:tcW w:type="dxa" w:w="6192"/>
          </w:tcPr>
          <w:p>
            <w:pPr>
              <w:spacing w:after="40"/>
            </w:pPr>
            <w:r>
              <w:rPr>
                <w:sz w:val="19"/>
              </w:rPr>
              <w:t>Total weight, operating temperature, and operating humidity (Section 2.3) updated to 2.378 kg, −20°C to +60°C, and 5–95% RH respectively, per current project specification data.</w:t>
            </w:r>
          </w:p>
        </w:tc>
      </w:tr>
      <w:tr>
        <w:tc>
          <w:tcPr>
            <w:tcW w:type="dxa" w:w="1296"/>
          </w:tcPr>
          <w:p>
            <w:pPr>
              <w:spacing w:after="40"/>
            </w:pPr>
            <w:r>
              <w:rPr>
                <w:sz w:val="19"/>
              </w:rPr>
              <w:t>0.5</w:t>
            </w:r>
          </w:p>
        </w:tc>
        <w:tc>
          <w:tcPr>
            <w:tcW w:type="dxa" w:w="1872"/>
          </w:tcPr>
          <w:p>
            <w:pPr>
              <w:spacing w:after="40"/>
            </w:pPr>
            <w:r>
              <w:rPr>
                <w:sz w:val="19"/>
              </w:rPr>
              <w:t>28 September 2026</w:t>
            </w:r>
          </w:p>
        </w:tc>
        <w:tc>
          <w:tcPr>
            <w:tcW w:type="dxa" w:w="6192"/>
          </w:tcPr>
          <w:p>
            <w:pPr>
              <w:spacing w:after="40"/>
            </w:pPr>
            <w:r>
              <w:rPr>
                <w:sz w:val="19"/>
              </w:rPr>
              <w:t>Type of protection narrowed to a single team recommendation, Ex d (flameproof enclosure), in Section 2.5 — selected over Ex e and Ex i based on the existing ADC12 die-cast enclosure with a stainless-steel mesh flame path and the MQ-sensor heaters' continuous, unregulated power draw. Section 2.6.e updated accordingly. Still an internal recommendation, not an ExCB decision.</w:t>
            </w:r>
          </w:p>
        </w:tc>
      </w:tr>
      <w:tr>
        <w:tc>
          <w:tcPr>
            <w:tcW w:type="dxa" w:w="1296"/>
          </w:tcPr>
          <w:p>
            <w:pPr>
              <w:spacing w:after="40"/>
            </w:pPr>
            <w:r>
              <w:rPr>
                <w:sz w:val="19"/>
              </w:rPr>
              <w:t>0.6</w:t>
            </w:r>
          </w:p>
        </w:tc>
        <w:tc>
          <w:tcPr>
            <w:tcW w:type="dxa" w:w="1872"/>
          </w:tcPr>
          <w:p>
            <w:pPr>
              <w:spacing w:after="40"/>
            </w:pPr>
            <w:r>
              <w:rPr>
                <w:sz w:val="19"/>
              </w:rPr>
              <w:t>28 September 2026</w:t>
            </w:r>
          </w:p>
        </w:tc>
        <w:tc>
          <w:tcPr>
            <w:tcW w:type="dxa" w:w="6192"/>
          </w:tcPr>
          <w:p>
            <w:pPr>
              <w:spacing w:after="40"/>
            </w:pPr>
            <w:r>
              <w:rPr>
                <w:sz w:val="19"/>
              </w:rPr>
              <w:t>Applicant/Manufacturer identity simplified to a single entity, PT Galaksi Megatama Indonesia (document number prefix changed to GMI/...). The separate “design and development authority” and “technical partner” entries were removed (letterhead, Document Control, Sections 1.2, 1.4).</w:t>
            </w:r>
          </w:p>
        </w:tc>
      </w:tr>
      <w:tr>
        <w:tc>
          <w:tcPr>
            <w:tcW w:type="dxa" w:w="1296"/>
          </w:tcPr>
          <w:p>
            <w:pPr>
              <w:spacing w:after="40"/>
            </w:pPr>
            <w:r>
              <w:rPr>
                <w:sz w:val="19"/>
              </w:rPr>
              <w:t>0.7</w:t>
            </w:r>
          </w:p>
        </w:tc>
        <w:tc>
          <w:tcPr>
            <w:tcW w:type="dxa" w:w="1872"/>
          </w:tcPr>
          <w:p>
            <w:pPr>
              <w:spacing w:after="40"/>
            </w:pPr>
            <w:r>
              <w:rPr>
                <w:sz w:val="19"/>
              </w:rPr>
              <w:t>30 September 2026</w:t>
            </w:r>
          </w:p>
        </w:tc>
        <w:tc>
          <w:tcPr>
            <w:tcW w:type="dxa" w:w="6192"/>
          </w:tcPr>
          <w:p>
            <w:pPr>
              <w:spacing w:after="40"/>
            </w:pPr>
            <w:r>
              <w:rPr>
                <w:sz w:val="19"/>
              </w:rPr>
              <w:t>Section 2.6.f populated with a preliminary internal surface-temperature measurement (normal, maximum-load and fan-stalled conditions), extrapolated to +60°C ambient: highest value ≈114°C against an effective T4 limit of 130°C. Status raised to Partially available; open measurement items listed.</w:t>
            </w:r>
          </w:p>
        </w:tc>
      </w:tr>
      <w:tr>
        <w:tc>
          <w:tcPr>
            <w:tcW w:type="dxa" w:w="1296"/>
          </w:tcPr>
          <w:p>
            <w:pPr>
              <w:spacing w:after="40"/>
            </w:pPr>
            <w:r>
              <w:rPr>
                <w:sz w:val="19"/>
              </w:rPr>
              <w:t>0.8</w:t>
            </w:r>
          </w:p>
        </w:tc>
        <w:tc>
          <w:tcPr>
            <w:tcW w:type="dxa" w:w="1872"/>
          </w:tcPr>
          <w:p>
            <w:pPr>
              <w:spacing w:after="40"/>
            </w:pPr>
            <w:r>
              <w:rPr>
                <w:sz w:val="19"/>
              </w:rPr>
              <w:t>7 October 2026</w:t>
            </w:r>
          </w:p>
        </w:tc>
        <w:tc>
          <w:tcPr>
            <w:tcW w:type="dxa" w:w="6192"/>
          </w:tcPr>
          <w:p>
            <w:pPr>
              <w:spacing w:after="40"/>
            </w:pPr>
            <w:r>
              <w:rPr>
                <w:sz w:val="19"/>
              </w:rPr>
              <w:t>Section 2.6.a extended with the released main-board electrical schematic (26 sheets, Section 2.6.a.7) and ten annotated PCB layout views with board data (Section 2.6.a.8).</w:t>
            </w:r>
          </w:p>
        </w:tc>
      </w:tr>
      <w:tr>
        <w:tc>
          <w:tcPr>
            <w:tcW w:type="dxa" w:w="1296"/>
          </w:tcPr>
          <w:p>
            <w:pPr>
              <w:spacing w:after="40"/>
            </w:pPr>
            <w:r>
              <w:rPr>
                <w:sz w:val="19"/>
              </w:rPr>
              <w:t>0.9</w:t>
            </w:r>
          </w:p>
        </w:tc>
        <w:tc>
          <w:tcPr>
            <w:tcW w:type="dxa" w:w="1872"/>
          </w:tcPr>
          <w:p>
            <w:pPr>
              <w:spacing w:after="40"/>
            </w:pPr>
            <w:r>
              <w:rPr>
                <w:sz w:val="19"/>
              </w:rPr>
              <w:t>7 October 2026</w:t>
            </w:r>
          </w:p>
        </w:tc>
        <w:tc>
          <w:tcPr>
            <w:tcW w:type="dxa" w:w="6192"/>
          </w:tcPr>
          <w:p>
            <w:pPr>
              <w:spacing w:after="40"/>
            </w:pPr>
            <w:r>
              <w:rPr>
                <w:sz w:val="19"/>
              </w:rPr>
              <w:t>Section 2.6.a.1 added: complete mechanical, enclosure and assembly drawing set (ATEX CASING v2 sheet and six CAD views, all seven GLD ATEX CASE v3 sheets, BP18-1Z supplier drawing, component/structure/terminal/grounding drawings, assembly sequence and MQ sensor dimension drawings), with a drawing register.</w:t>
            </w:r>
          </w:p>
        </w:tc>
      </w:tr>
      <w:tr>
        <w:tc>
          <w:tcPr>
            <w:tcW w:type="dxa" w:w="1296"/>
          </w:tcPr>
          <w:p>
            <w:pPr>
              <w:spacing w:after="40"/>
            </w:pPr>
            <w:r>
              <w:rPr>
                <w:sz w:val="19"/>
              </w:rPr>
              <w:t>1.0</w:t>
            </w:r>
          </w:p>
        </w:tc>
        <w:tc>
          <w:tcPr>
            <w:tcW w:type="dxa" w:w="1872"/>
          </w:tcPr>
          <w:p>
            <w:pPr>
              <w:spacing w:after="40"/>
            </w:pPr>
            <w:r>
              <w:rPr>
                <w:sz w:val="19"/>
              </w:rPr>
              <w:t>7 October 2026</w:t>
            </w:r>
          </w:p>
        </w:tc>
        <w:tc>
          <w:tcPr>
            <w:tcW w:type="dxa" w:w="6192"/>
          </w:tcPr>
          <w:p>
            <w:pPr>
              <w:spacing w:after="40"/>
            </w:pPr>
            <w:r>
              <w:rPr>
                <w:sz w:val="19"/>
              </w:rPr>
              <w:t>Full audit against the reviewer's revision guide: added 2.4.1 photo-set coverage; 2.6.b.1–2 Ex-critical mechanical (EX-01…17) and electrical (EL-01…13) BOM; 2.6.c.1 non-metallic materials register (MAT-01…11); 2.6.d.1 manufacturing process control d.1–d.13; 2.6.e.1–3 gas path, ignition-source assessment IS-01…17 and protection concept e.3.1–e.3.11; 2.6.f.1 temperature-class structure f.1–f.12 with results table; 2.6.g.1 usage and installation instructions g.2–g.20; 2.6.h.1 proposed nameplate (gas only, −20…+60 °C); 2.6.i.1 required Ex component certificates; 3.3–3.4 sample register (GLD2-0x1001) and fixtures; compliance matrix.</w:t>
            </w:r>
          </w:p>
        </w:tc>
      </w:tr>
      <w:tr>
        <w:tc>
          <w:tcPr>
            <w:tcW w:type="dxa" w:w="1296"/>
          </w:tcPr>
          <w:p>
            <w:pPr>
              <w:spacing w:after="40"/>
            </w:pPr>
            <w:r>
              <w:rPr>
                <w:sz w:val="19"/>
              </w:rPr>
              <w:t>1.1</w:t>
            </w:r>
          </w:p>
        </w:tc>
        <w:tc>
          <w:tcPr>
            <w:tcW w:type="dxa" w:w="1872"/>
          </w:tcPr>
          <w:p>
            <w:pPr>
              <w:spacing w:after="40"/>
            </w:pPr>
            <w:r>
              <w:rPr>
                <w:sz w:val="19"/>
              </w:rPr>
              <w:t>7 October 2026</w:t>
            </w:r>
          </w:p>
        </w:tc>
        <w:tc>
          <w:tcPr>
            <w:tcW w:type="dxa" w:w="6192"/>
          </w:tcPr>
          <w:p>
            <w:pPr>
              <w:spacing w:after="40"/>
            </w:pPr>
            <w:r>
              <w:rPr>
                <w:sz w:val="19"/>
              </w:rPr>
              <w:t>Section 2.4.2 added: photo set of the current production configuration (23 photographs, Figures 4-101–4-123); EX-05 fan model (CIXIKEJI CX5010B5H, 5 V 0.23 A), EX-07 polymer prototype gland to be replaced by a certified Ex d gland, EX-08/EX-12/EX-17 and photo-coverage table updated.</w:t>
            </w:r>
          </w:p>
        </w:tc>
      </w:tr>
    </w:tbl>
    <w:p>
      <w:r>
        <w:br w:type="page"/>
      </w:r>
    </w:p>
    <w:p>
      <w:pPr>
        <w:spacing w:after="120"/>
      </w:pPr>
      <w:r>
        <w:rPr>
          <w:b/>
          <w:i w:val="0"/>
          <w:color w:val="1A2B3D"/>
          <w:sz w:val="26"/>
        </w:rPr>
        <w:t>Table of Contents</w:t>
      </w:r>
    </w:p>
    <w:p>
      <w:r>
        <w:fldChar w:fldCharType="begin"/>
        <w:instrText xml:space="preserve">TOC \o "1-2" \h \z \u</w:instrText>
      </w:r>
      <w:r>
        <w:fldChar w:fldCharType="separate"/>
      </w:r>
      <w:r>
        <w:t>Right-click and choose Update Field to generate the table of contents.</w:t>
      </w:r>
      <w:r>
        <w:fldChar w:fldCharType="end"/>
      </w:r>
    </w:p>
    <w:p>
      <w:r>
        <w:br w:type="page"/>
      </w:r>
    </w:p>
    <w:p>
      <w:pPr>
        <w:pStyle w:val="Heading1"/>
      </w:pPr>
      <w:r>
        <w:t>1. Basic Information (Application and Organization)</w:t>
      </w:r>
    </w:p>
    <w:p>
      <w:pPr>
        <w:spacing w:after="160"/>
      </w:pPr>
      <w:r>
        <w:rPr>
          <w:b w:val="0"/>
          <w:i/>
          <w:color w:val="4A4A4A"/>
          <w:sz w:val="19"/>
        </w:rPr>
        <w:t>Application form (provided by ExCB as a template). Manufacturer's business license/company registration certificate. Manufacturer's organizational chart and contact information. Address of manufacturing plant and brief introduction of production facilities. (If applicable) ISO 9001 certificate, quality manual, and directory of procedure documents (for QAR/QAN review).</w:t>
      </w:r>
    </w:p>
    <w:p>
      <w:pPr>
        <w:pStyle w:val="Heading2"/>
      </w:pPr>
      <w:r>
        <w:t>1.1 · Application Form</w:t>
      </w:r>
    </w:p>
    <w:p>
      <w:pPr>
        <w:spacing w:after="160"/>
      </w:pPr>
      <w:r>
        <w:rPr>
          <w:b w:val="0"/>
          <w:i w:val="0"/>
          <w:sz w:val="21"/>
        </w:rPr>
        <w:t>Issued by the ExCB as a template; not yet received.</w:t>
      </w:r>
    </w:p>
    <w:p>
      <w:pPr>
        <w:spacing w:after="200"/>
      </w:pPr>
      <w:r>
        <w:rPr>
          <w:b/>
          <w:color w:val="4A4A4A"/>
          <w:sz w:val="19"/>
        </w:rPr>
        <w:t xml:space="preserve">Status: </w:t>
      </w:r>
      <w:r>
        <w:rPr>
          <w:i/>
          <w:color w:val="4A4A4A"/>
          <w:sz w:val="19"/>
        </w:rPr>
        <w:t>Template not yet received from the ExCB.</w:t>
      </w:r>
    </w:p>
    <w:p>
      <w:pPr>
        <w:pStyle w:val="Heading2"/>
      </w:pPr>
      <w:r>
        <w:t>1.2 · Manufacturer's Business License / Company Registration Certificate</w:t>
      </w:r>
    </w:p>
    <w:p>
      <w:pPr>
        <w:spacing w:after="160"/>
      </w:pPr>
      <w:r>
        <w:rPr>
          <w:b w:val="0"/>
          <w:i w:val="0"/>
          <w:sz w:val="21"/>
        </w:rPr>
        <w:t>The Applicant and Manufacturer named in this application is PT Galaksi Megatama Indonesia, which holds the Indonesian industrial manufacturing business license (NIB) relevant to fabricating the equipment.</w:t>
      </w:r>
    </w:p>
    <w:tbl>
      <w:tblPr>
        <w:tblStyle w:val="TableGrid"/>
        <w:tblW w:type="auto" w:w="0"/>
        <w:jc w:val="center"/>
        <w:tblLook w:firstColumn="1" w:firstRow="1" w:lastColumn="0" w:lastRow="0" w:noHBand="0" w:noVBand="1" w:val="04A0"/>
      </w:tblPr>
      <w:tblGrid>
        <w:gridCol w:w="4873"/>
        <w:gridCol w:w="4873"/>
      </w:tblGrid>
      <w:tr>
        <w:tc>
          <w:tcPr>
            <w:tcW w:type="dxa" w:w="3312"/>
            <w:shd w:val="clear" w:color="auto" w:fill="EFEFEF"/>
          </w:tcPr>
          <w:p>
            <w:pPr>
              <w:spacing w:after="40"/>
            </w:pPr>
            <w:r>
              <w:rPr>
                <w:b/>
                <w:color w:val="4A4A4A"/>
                <w:sz w:val="18"/>
              </w:rPr>
              <w:t>Particular</w:t>
            </w:r>
          </w:p>
        </w:tc>
        <w:tc>
          <w:tcPr>
            <w:tcW w:type="dxa" w:w="6048"/>
            <w:shd w:val="clear" w:color="auto" w:fill="EFEFEF"/>
          </w:tcPr>
          <w:p>
            <w:pPr>
              <w:spacing w:after="40"/>
            </w:pPr>
            <w:r>
              <w:rPr>
                <w:b/>
                <w:color w:val="4A4A4A"/>
                <w:sz w:val="18"/>
              </w:rPr>
              <w:t>Value</w:t>
            </w:r>
          </w:p>
        </w:tc>
      </w:tr>
      <w:tr>
        <w:tc>
          <w:tcPr>
            <w:tcW w:type="dxa" w:w="3312"/>
          </w:tcPr>
          <w:p>
            <w:pPr>
              <w:spacing w:after="40"/>
            </w:pPr>
            <w:r>
              <w:rPr>
                <w:sz w:val="19"/>
              </w:rPr>
              <w:t>Registered legal name</w:t>
            </w:r>
          </w:p>
        </w:tc>
        <w:tc>
          <w:tcPr>
            <w:tcW w:type="dxa" w:w="6048"/>
          </w:tcPr>
          <w:p>
            <w:pPr>
              <w:spacing w:after="40"/>
            </w:pPr>
            <w:r>
              <w:rPr>
                <w:sz w:val="19"/>
              </w:rPr>
              <w:t>PT Galaksi Megatama Indonesia</w:t>
            </w:r>
          </w:p>
        </w:tc>
      </w:tr>
      <w:tr>
        <w:tc>
          <w:tcPr>
            <w:tcW w:type="dxa" w:w="3312"/>
          </w:tcPr>
          <w:p>
            <w:pPr>
              <w:spacing w:after="40"/>
            </w:pPr>
            <w:r>
              <w:rPr>
                <w:sz w:val="19"/>
              </w:rPr>
              <w:t>Legal form</w:t>
            </w:r>
          </w:p>
        </w:tc>
        <w:tc>
          <w:tcPr>
            <w:tcW w:type="dxa" w:w="6048"/>
          </w:tcPr>
          <w:p>
            <w:pPr>
              <w:spacing w:after="40"/>
            </w:pPr>
            <w:r>
              <w:rPr>
                <w:sz w:val="19"/>
              </w:rPr>
              <w:t>Perseroan Terbatas (limited liability company), National Private / PMDN, Small Enterprise scale</w:t>
            </w:r>
          </w:p>
        </w:tc>
      </w:tr>
      <w:tr>
        <w:tc>
          <w:tcPr>
            <w:tcW w:type="dxa" w:w="3312"/>
          </w:tcPr>
          <w:p>
            <w:pPr>
              <w:spacing w:after="40"/>
            </w:pPr>
            <w:r>
              <w:rPr>
                <w:sz w:val="19"/>
              </w:rPr>
              <w:t>Business registration number (NIB)</w:t>
            </w:r>
          </w:p>
        </w:tc>
        <w:tc>
          <w:tcPr>
            <w:tcW w:type="dxa" w:w="6048"/>
          </w:tcPr>
          <w:p>
            <w:pPr>
              <w:spacing w:after="40"/>
            </w:pPr>
            <w:r>
              <w:rPr>
                <w:sz w:val="19"/>
              </w:rPr>
              <w:t>0510220020593, issued 5 Oct 2022 (OSS system)</w:t>
            </w:r>
          </w:p>
        </w:tc>
      </w:tr>
      <w:tr>
        <w:tc>
          <w:tcPr>
            <w:tcW w:type="dxa" w:w="3312"/>
          </w:tcPr>
          <w:p>
            <w:pPr>
              <w:spacing w:after="40"/>
            </w:pPr>
            <w:r>
              <w:rPr>
                <w:sz w:val="19"/>
              </w:rPr>
              <w:t>Taxpayer ID (NPWP)</w:t>
            </w:r>
          </w:p>
        </w:tc>
        <w:tc>
          <w:tcPr>
            <w:tcW w:type="dxa" w:w="6048"/>
          </w:tcPr>
          <w:p>
            <w:pPr>
              <w:spacing w:after="40"/>
            </w:pPr>
            <w:r>
              <w:rPr>
                <w:sz w:val="19"/>
              </w:rPr>
              <w:t>61.126.496.1-427.000, registered 29 Sep 2022</w:t>
            </w:r>
          </w:p>
        </w:tc>
      </w:tr>
      <w:tr>
        <w:tc>
          <w:tcPr>
            <w:tcW w:type="dxa" w:w="3312"/>
          </w:tcPr>
          <w:p>
            <w:pPr>
              <w:spacing w:after="40"/>
            </w:pPr>
            <w:r>
              <w:rPr>
                <w:sz w:val="19"/>
              </w:rPr>
              <w:t>Deed of establishment</w:t>
            </w:r>
          </w:p>
        </w:tc>
        <w:tc>
          <w:tcPr>
            <w:tcW w:type="dxa" w:w="6048"/>
          </w:tcPr>
          <w:p>
            <w:pPr>
              <w:spacing w:after="40"/>
            </w:pPr>
            <w:r>
              <w:rPr>
                <w:sz w:val="19"/>
              </w:rPr>
              <w:t>Deed No. 52, 22 Sep 2022 (Notary Steffi Alphanie, S.H., M.Kn., Cilegon City)</w:t>
            </w:r>
          </w:p>
        </w:tc>
      </w:tr>
      <w:tr>
        <w:tc>
          <w:tcPr>
            <w:tcW w:type="dxa" w:w="3312"/>
          </w:tcPr>
          <w:p>
            <w:pPr>
              <w:spacing w:after="40"/>
            </w:pPr>
            <w:r>
              <w:rPr>
                <w:sz w:val="19"/>
              </w:rPr>
              <w:t>Ministerial ratification</w:t>
            </w:r>
          </w:p>
        </w:tc>
        <w:tc>
          <w:tcPr>
            <w:tcW w:type="dxa" w:w="6048"/>
          </w:tcPr>
          <w:p>
            <w:pPr>
              <w:spacing w:after="40"/>
            </w:pPr>
            <w:r>
              <w:rPr>
                <w:sz w:val="19"/>
              </w:rPr>
              <w:t>MOLHR Decree No. AHU-0067398.AH.01.01.Year 2022 (29 Sep 2022)</w:t>
            </w:r>
          </w:p>
        </w:tc>
      </w:tr>
      <w:tr>
        <w:tc>
          <w:tcPr>
            <w:tcW w:type="dxa" w:w="3312"/>
          </w:tcPr>
          <w:p>
            <w:pPr>
              <w:spacing w:after="40"/>
            </w:pPr>
            <w:r>
              <w:rPr>
                <w:sz w:val="19"/>
              </w:rPr>
              <w:t>Registered (domicile) address</w:t>
            </w:r>
          </w:p>
        </w:tc>
        <w:tc>
          <w:tcPr>
            <w:tcW w:type="dxa" w:w="6048"/>
          </w:tcPr>
          <w:p>
            <w:pPr>
              <w:spacing w:after="40"/>
            </w:pPr>
            <w:r>
              <w:rPr>
                <w:sz w:val="19"/>
              </w:rPr>
              <w:t>Plaza Summarecon Bekasi, Jl. Bulevar Ahmad Yani Kav. K.01, Level 7, Bekasi City, West Java 17143</w:t>
            </w:r>
          </w:p>
        </w:tc>
      </w:tr>
      <w:tr>
        <w:tc>
          <w:tcPr>
            <w:tcW w:type="dxa" w:w="3312"/>
          </w:tcPr>
          <w:p>
            <w:pPr>
              <w:spacing w:after="40"/>
            </w:pPr>
            <w:r>
              <w:rPr>
                <w:sz w:val="19"/>
              </w:rPr>
              <w:t>Relevant KBLI (business scope)</w:t>
            </w:r>
          </w:p>
        </w:tc>
        <w:tc>
          <w:tcPr>
            <w:tcW w:type="dxa" w:w="6048"/>
          </w:tcPr>
          <w:p>
            <w:pPr>
              <w:spacing w:after="40"/>
            </w:pPr>
            <w:r>
              <w:rPr>
                <w:sz w:val="19"/>
              </w:rPr>
              <w:t>25119, 25120 (tanks/reservoirs/containers of metal, incl. pressurized gas cylinders), 28221, 25920</w:t>
            </w:r>
          </w:p>
        </w:tc>
      </w:tr>
    </w:tbl>
    <w:p>
      <w:pPr>
        <w:spacing w:after="120"/>
      </w:pPr>
    </w:p>
    <w:p>
      <w:pPr>
        <w:spacing w:after="200"/>
      </w:pPr>
      <w:r>
        <w:rPr>
          <w:b/>
          <w:color w:val="4A4A4A"/>
          <w:sz w:val="19"/>
        </w:rPr>
        <w:t xml:space="preserve">Status: </w:t>
      </w:r>
      <w:r>
        <w:rPr>
          <w:i/>
          <w:color w:val="4A4A4A"/>
          <w:sz w:val="19"/>
        </w:rPr>
        <w:t>Available — legal documents on file with sworn English translations (Fikri Said Obed, S.S., 19 Sep 2026). Legal form/shareholding, business registration, and domicile address confirmed; ISO 9001 certification status addressed separately below.</w:t>
      </w:r>
    </w:p>
    <w:p>
      <w:pPr>
        <w:pStyle w:val="Heading2"/>
      </w:pPr>
      <w:r>
        <w:t>1.3 · Manufacturer's Organizational Chart and Contact Information</w:t>
      </w:r>
    </w:p>
    <w:p>
      <w:pPr>
        <w:spacing w:after="160"/>
      </w:pPr>
      <w:r>
        <w:rPr>
          <w:b w:val="0"/>
          <w:i w:val="0"/>
          <w:sz w:val="21"/>
        </w:rPr>
        <w:t>The statutory Board of Directors and Board of Commissioners are known from the deed of establishment:</w:t>
      </w:r>
    </w:p>
    <w:tbl>
      <w:tblPr>
        <w:tblStyle w:val="TableGrid"/>
        <w:tblW w:type="auto" w:w="0"/>
        <w:jc w:val="center"/>
        <w:tblLook w:firstColumn="1" w:firstRow="1" w:lastColumn="0" w:lastRow="0" w:noHBand="0" w:noVBand="1" w:val="04A0"/>
      </w:tblPr>
      <w:tblGrid>
        <w:gridCol w:w="4873"/>
        <w:gridCol w:w="4873"/>
      </w:tblGrid>
      <w:tr>
        <w:tc>
          <w:tcPr>
            <w:tcW w:type="dxa" w:w="3312"/>
            <w:shd w:val="clear" w:color="auto" w:fill="EFEFEF"/>
          </w:tcPr>
          <w:p>
            <w:pPr>
              <w:spacing w:after="40"/>
            </w:pPr>
            <w:r>
              <w:rPr>
                <w:b/>
                <w:color w:val="4A4A4A"/>
                <w:sz w:val="18"/>
              </w:rPr>
              <w:t>Position</w:t>
            </w:r>
          </w:p>
        </w:tc>
        <w:tc>
          <w:tcPr>
            <w:tcW w:type="dxa" w:w="6048"/>
            <w:shd w:val="clear" w:color="auto" w:fill="EFEFEF"/>
          </w:tcPr>
          <w:p>
            <w:pPr>
              <w:spacing w:after="40"/>
            </w:pPr>
            <w:r>
              <w:rPr>
                <w:b/>
                <w:color w:val="4A4A4A"/>
                <w:sz w:val="18"/>
              </w:rPr>
              <w:t>Name</w:t>
            </w:r>
          </w:p>
        </w:tc>
      </w:tr>
      <w:tr>
        <w:tc>
          <w:tcPr>
            <w:tcW w:type="dxa" w:w="3312"/>
          </w:tcPr>
          <w:p>
            <w:pPr>
              <w:spacing w:after="40"/>
            </w:pPr>
            <w:r>
              <w:rPr>
                <w:sz w:val="19"/>
              </w:rPr>
              <w:t>President Director</w:t>
            </w:r>
          </w:p>
        </w:tc>
        <w:tc>
          <w:tcPr>
            <w:tcW w:type="dxa" w:w="6048"/>
          </w:tcPr>
          <w:p>
            <w:pPr>
              <w:spacing w:after="40"/>
            </w:pPr>
            <w:r>
              <w:rPr>
                <w:sz w:val="19"/>
              </w:rPr>
              <w:t>Nur Rohman</w:t>
            </w:r>
          </w:p>
        </w:tc>
      </w:tr>
      <w:tr>
        <w:tc>
          <w:tcPr>
            <w:tcW w:type="dxa" w:w="3312"/>
          </w:tcPr>
          <w:p>
            <w:pPr>
              <w:spacing w:after="40"/>
            </w:pPr>
            <w:r>
              <w:rPr>
                <w:sz w:val="19"/>
              </w:rPr>
              <w:t>Director</w:t>
            </w:r>
          </w:p>
        </w:tc>
        <w:tc>
          <w:tcPr>
            <w:tcW w:type="dxa" w:w="6048"/>
          </w:tcPr>
          <w:p>
            <w:pPr>
              <w:spacing w:after="40"/>
            </w:pPr>
            <w:r>
              <w:rPr>
                <w:sz w:val="19"/>
              </w:rPr>
              <w:t>Antonius Prasetyo</w:t>
            </w:r>
          </w:p>
        </w:tc>
      </w:tr>
      <w:tr>
        <w:tc>
          <w:tcPr>
            <w:tcW w:type="dxa" w:w="3312"/>
          </w:tcPr>
          <w:p>
            <w:pPr>
              <w:spacing w:after="40"/>
            </w:pPr>
            <w:r>
              <w:rPr>
                <w:sz w:val="19"/>
              </w:rPr>
              <w:t>Commissioner</w:t>
            </w:r>
          </w:p>
        </w:tc>
        <w:tc>
          <w:tcPr>
            <w:tcW w:type="dxa" w:w="6048"/>
          </w:tcPr>
          <w:p>
            <w:pPr>
              <w:spacing w:after="40"/>
            </w:pPr>
            <w:r>
              <w:rPr>
                <w:sz w:val="19"/>
              </w:rPr>
              <w:t>Crisa Andi Sujatmiko</w:t>
            </w:r>
          </w:p>
        </w:tc>
      </w:tr>
    </w:tbl>
    <w:p>
      <w:pPr>
        <w:spacing w:after="120"/>
      </w:pPr>
    </w:p>
    <w:p>
      <w:pPr>
        <w:spacing w:after="200"/>
      </w:pPr>
      <w:r>
        <w:rPr>
          <w:b/>
          <w:color w:val="4A4A4A"/>
          <w:sz w:val="19"/>
        </w:rPr>
        <w:t xml:space="preserve">Status: </w:t>
      </w:r>
      <w:r>
        <w:rPr>
          <w:i/>
          <w:color w:val="4A4A4A"/>
          <w:sz w:val="19"/>
        </w:rPr>
        <w:t>Partially available — statutory officers known. A functional organizational chart (design/production/quality reporting lines) and named ExCB correspondence contacts (certification project contact, technical contact, quality contact) have not yet been provided.</w:t>
      </w:r>
    </w:p>
    <w:p>
      <w:pPr>
        <w:pStyle w:val="Heading2"/>
      </w:pPr>
      <w:r>
        <w:t>1.4 · Address of Manufacturing Plant and Brief Introduction of Production Facilities</w:t>
      </w:r>
    </w:p>
    <w:p>
      <w:pPr>
        <w:spacing w:after="160"/>
      </w:pPr>
      <w:r>
        <w:rPr>
          <w:b w:val="0"/>
          <w:i w:val="0"/>
          <w:sz w:val="21"/>
        </w:rPr>
        <w:t>Registered office and NIB-registered production sites of the Manufacturer, PT Galaksi Megatama Indonesia:</w:t>
      </w:r>
    </w:p>
    <w:tbl>
      <w:tblPr>
        <w:tblStyle w:val="TableGrid"/>
        <w:tblW w:type="auto" w:w="0"/>
        <w:jc w:val="center"/>
        <w:tblLook w:firstColumn="1" w:firstRow="1" w:lastColumn="0" w:lastRow="0" w:noHBand="0" w:noVBand="1" w:val="04A0"/>
      </w:tblPr>
      <w:tblGrid>
        <w:gridCol w:w="4873"/>
        <w:gridCol w:w="4873"/>
      </w:tblGrid>
      <w:tr>
        <w:tc>
          <w:tcPr>
            <w:tcW w:type="dxa" w:w="3312"/>
            <w:shd w:val="clear" w:color="auto" w:fill="EFEFEF"/>
          </w:tcPr>
          <w:p>
            <w:pPr>
              <w:spacing w:after="40"/>
            </w:pPr>
            <w:r>
              <w:rPr>
                <w:b/>
                <w:color w:val="4A4A4A"/>
                <w:sz w:val="18"/>
              </w:rPr>
              <w:t>Site</w:t>
            </w:r>
          </w:p>
        </w:tc>
        <w:tc>
          <w:tcPr>
            <w:tcW w:type="dxa" w:w="6048"/>
            <w:shd w:val="clear" w:color="auto" w:fill="EFEFEF"/>
          </w:tcPr>
          <w:p>
            <w:pPr>
              <w:spacing w:after="40"/>
            </w:pPr>
            <w:r>
              <w:rPr>
                <w:b/>
                <w:color w:val="4A4A4A"/>
                <w:sz w:val="18"/>
              </w:rPr>
              <w:t>Address / Role</w:t>
            </w:r>
          </w:p>
        </w:tc>
      </w:tr>
      <w:tr>
        <w:tc>
          <w:tcPr>
            <w:tcW w:type="dxa" w:w="3312"/>
          </w:tcPr>
          <w:p>
            <w:pPr>
              <w:spacing w:after="40"/>
            </w:pPr>
            <w:r>
              <w:rPr>
                <w:sz w:val="19"/>
              </w:rPr>
              <w:t>Registered office</w:t>
            </w:r>
          </w:p>
        </w:tc>
        <w:tc>
          <w:tcPr>
            <w:tcW w:type="dxa" w:w="6048"/>
          </w:tcPr>
          <w:p>
            <w:pPr>
              <w:spacing w:after="40"/>
            </w:pPr>
            <w:r>
              <w:rPr>
                <w:sz w:val="19"/>
              </w:rPr>
              <w:t>Plaza Summarecon Bekasi, Jl. Bulevar Ahmad Yani Kav. K.01, Level 7, Bekasi City, West Java</w:t>
            </w:r>
          </w:p>
        </w:tc>
      </w:tr>
      <w:tr>
        <w:tc>
          <w:tcPr>
            <w:tcW w:type="dxa" w:w="3312"/>
          </w:tcPr>
          <w:p>
            <w:pPr>
              <w:spacing w:after="40"/>
            </w:pPr>
            <w:r>
              <w:rPr>
                <w:sz w:val="19"/>
              </w:rPr>
              <w:t>Production site 1</w:t>
            </w:r>
          </w:p>
        </w:tc>
        <w:tc>
          <w:tcPr>
            <w:tcW w:type="dxa" w:w="6048"/>
          </w:tcPr>
          <w:p>
            <w:pPr>
              <w:spacing w:after="40"/>
            </w:pPr>
            <w:r>
              <w:rPr>
                <w:sz w:val="19"/>
              </w:rPr>
              <w:t>Jl. Kp. Jatipilar, Cikarang Selatan, Bekasi Regency</w:t>
            </w:r>
          </w:p>
        </w:tc>
      </w:tr>
      <w:tr>
        <w:tc>
          <w:tcPr>
            <w:tcW w:type="dxa" w:w="3312"/>
          </w:tcPr>
          <w:p>
            <w:pPr>
              <w:spacing w:after="40"/>
            </w:pPr>
            <w:r>
              <w:rPr>
                <w:sz w:val="19"/>
              </w:rPr>
              <w:t>Production site 2</w:t>
            </w:r>
          </w:p>
        </w:tc>
        <w:tc>
          <w:tcPr>
            <w:tcW w:type="dxa" w:w="6048"/>
          </w:tcPr>
          <w:p>
            <w:pPr>
              <w:spacing w:after="40"/>
            </w:pPr>
            <w:r>
              <w:rPr>
                <w:sz w:val="19"/>
              </w:rPr>
              <w:t>Jl. WR Supratman, Mustikajaya, Bekasi City</w:t>
            </w:r>
          </w:p>
        </w:tc>
      </w:tr>
      <w:tr>
        <w:tc>
          <w:tcPr>
            <w:tcW w:type="dxa" w:w="3312"/>
          </w:tcPr>
          <w:p>
            <w:pPr>
              <w:spacing w:after="40"/>
            </w:pPr>
            <w:r>
              <w:rPr>
                <w:sz w:val="19"/>
              </w:rPr>
              <w:t>Electronics design/assembly</w:t>
            </w:r>
          </w:p>
        </w:tc>
        <w:tc>
          <w:tcPr>
            <w:tcW w:type="dxa" w:w="6048"/>
          </w:tcPr>
          <w:p>
            <w:pPr>
              <w:spacing w:after="40"/>
            </w:pPr>
            <w:r>
              <w:rPr>
                <w:sz w:val="19"/>
              </w:rPr>
              <w:t>Native EasyEDA/JLCPCB project; fabrication/assembly provider and its address to be confirmed in writing</w:t>
            </w:r>
          </w:p>
        </w:tc>
      </w:tr>
    </w:tbl>
    <w:p>
      <w:pPr>
        <w:spacing w:after="120"/>
      </w:pPr>
    </w:p>
    <w:p>
      <w:pPr>
        <w:spacing w:after="200"/>
      </w:pPr>
      <w:r>
        <w:rPr>
          <w:b/>
          <w:color w:val="4A4A4A"/>
          <w:sz w:val="19"/>
        </w:rPr>
        <w:t xml:space="preserve">Status: </w:t>
      </w:r>
      <w:r>
        <w:rPr>
          <w:i/>
          <w:color w:val="4A4A4A"/>
          <w:sz w:val="19"/>
        </w:rPr>
        <w:t>Partially available — registered addresses on file (general metal-fabrication license, KBLI 25120 covers pressurized gas cylinders; not an Ex-specific manufacturing license). Floor area, principal equipment, staffing, and nominal throughput (“brief introduction” requested by the checklist) not yet provided. Production location for serial units has not been fixed — the product is at prototype stage.</w:t>
      </w:r>
    </w:p>
    <w:p>
      <w:pPr>
        <w:pStyle w:val="Heading2"/>
      </w:pPr>
      <w:r>
        <w:t>1.5 · ISO 9001 Certificate, Quality Manual, and Directory of Procedure Documents (for QAR/QAN review)</w:t>
      </w:r>
    </w:p>
    <w:p>
      <w:pPr>
        <w:spacing w:after="160"/>
      </w:pPr>
      <w:r>
        <w:rPr>
          <w:b w:val="0"/>
          <w:i w:val="0"/>
          <w:sz w:val="21"/>
        </w:rPr>
        <w:t>Whether the manufacturer currently holds ISO 9001 certification, and if so its certificate number, scope, issuing body, and validity period, is to be confirmed. Quality manual and procedure-document index not yet provided.</w:t>
      </w:r>
    </w:p>
    <w:p>
      <w:pPr>
        <w:spacing w:after="200"/>
      </w:pPr>
      <w:r>
        <w:rPr>
          <w:b/>
          <w:color w:val="4A4A4A"/>
          <w:sz w:val="19"/>
        </w:rPr>
        <w:t xml:space="preserve">Status: </w:t>
      </w:r>
      <w:r>
        <w:rPr>
          <w:i/>
          <w:color w:val="4A4A4A"/>
          <w:sz w:val="19"/>
        </w:rPr>
        <w:t>To be confirmed / to be provided. Under both IECEx and ATEX schemes, a quality system covering Ex production is expected before certificates are issued (IECEx Quality Assessment Report, or the corresponding production-quality/product-verification route under ATEX) whether or not ISO 9001 is held; the applicable route is to be confirmed with the ExCB.</w:t>
      </w:r>
    </w:p>
    <w:p>
      <w:r>
        <w:br w:type="page"/>
      </w:r>
    </w:p>
    <w:p>
      <w:pPr>
        <w:pStyle w:val="Heading1"/>
      </w:pPr>
      <w:r>
        <w:t>2. Technical Documentation</w:t>
      </w:r>
    </w:p>
    <w:p>
      <w:pPr>
        <w:pStyle w:val="Heading2"/>
      </w:pPr>
      <w:r>
        <w:t>2.1 · Detailed Product Description</w:t>
      </w:r>
    </w:p>
    <w:p>
      <w:pPr>
        <w:spacing w:after="160"/>
      </w:pPr>
      <w:r>
        <w:rPr>
          <w:b w:val="0"/>
          <w:i w:val="0"/>
          <w:sz w:val="21"/>
        </w:rPr>
        <w:t>The Gas Leak Detector (GLD) is an IoT-based, multi-sensor gas leak detection device designed for the early detection of flammable and process gases in oil &amp; gas refinery environments (process units, tank farms, pipe racks, and storage/loading-unloading areas).</w:t>
      </w:r>
    </w:p>
    <w:p>
      <w:pPr>
        <w:spacing w:after="160"/>
      </w:pPr>
      <w:r>
        <w:rPr>
          <w:b w:val="0"/>
          <w:i w:val="0"/>
          <w:sz w:val="21"/>
        </w:rPr>
        <w:t>Functionally, the GLD integrates eight channels of metal-oxide semiconductor gas sensors (MQ series), an edge-AI microcontroller/processor (ESP32-S3), and a LoRa radio module (star-topology wireless transmission) within a single fixed-point unit installed at locations with gas-leak risk. An on-device AI gas-classification model runs directly on the unit so that detection decisions do not depend on a continuous connection to a central server. When gas concentration exceeds a defined threshold, the unit triggers a local alarm (an integrated visual/audible alarm module) and simultaneously transmits an alarm notification over the LoRa network to the operator dashboard.</w:t>
      </w:r>
    </w:p>
    <w:p>
      <w:pPr>
        <w:spacing w:after="160"/>
      </w:pPr>
      <w:r>
        <w:rPr>
          <w:b w:val="0"/>
          <w:i w:val="0"/>
          <w:sz w:val="21"/>
        </w:rPr>
        <w:t>The enclosure is designed for hazardous-area deployment at refinery sites, using metal materials (aluminum alloy — ADC12 die-cast grade — and stainless steel) and mounted via a U-bolt mounting plate to existing structures without drilling or welding. The current production power configuration is continuous 24 VDC, supplied via an AC/DC adapter (220 VAC/50 Hz → 24 VDC) connected to the site electrical supply. The Node Sensor (GLD) itself receives only 24 VDC at its terminal and never carries 220 VAC internally — the AC/DC adapter is a separate, site-supplied device outside the physical boundary of the certified unit.</w:t>
      </w:r>
    </w:p>
    <w:tbl>
      <w:tblPr>
        <w:tblW w:type="auto" w:w="0"/>
        <w:jc w:val="center"/>
        <w:tblLook w:firstColumn="1" w:firstRow="1" w:lastColumn="0" w:lastRow="0" w:noHBand="0" w:noVBand="1" w:val="04A0"/>
      </w:tblPr>
      <w:tblGrid>
        <w:gridCol w:w="9746"/>
      </w:tblGrid>
      <w:tr>
        <w:tc>
          <w:tcPr>
            <w:tcW w:type="dxa" w:w="9746"/>
            <w:shd w:val="clear" w:color="auto" w:fill="FDF1E6"/>
            <w:tcBorders>
              <w:top w:val="single" w:sz="4" w:color="E8C79A"/>
              <w:left w:val="single" w:sz="4" w:color="E8C79A"/>
              <w:bottom w:val="single" w:sz="4" w:color="E8C79A"/>
              <w:right w:val="single" w:sz="4" w:color="E8C79A"/>
            </w:tcBorders>
          </w:tcPr>
          <w:p>
            <w:pPr>
              <w:spacing w:after="40"/>
            </w:pPr>
            <w:r>
              <w:rPr>
                <w:color w:val="4A4A4A"/>
                <w:sz w:val="20"/>
              </w:rPr>
              <w:t>Important: this design-intent description does not constitute a claim that the enclosure has passed testing or has been Ex-certified. The explosion-protection scheme, gas group, temperature class, and target installation zone are addressed in Section 2.5.</w:t>
            </w:r>
          </w:p>
        </w:tc>
      </w:tr>
    </w:tbl>
    <w:p>
      <w:pPr>
        <w:spacing w:after="80"/>
      </w:pPr>
    </w:p>
    <w:p>
      <w:pPr>
        <w:pStyle w:val="Heading2"/>
      </w:pPr>
      <w:r>
        <w:t>2.2 · Product Name, Model, and Specification List</w:t>
      </w:r>
    </w:p>
    <w:tbl>
      <w:tblPr>
        <w:tblStyle w:val="TableGrid"/>
        <w:tblW w:type="auto" w:w="0"/>
        <w:jc w:val="center"/>
        <w:tblLook w:firstColumn="1" w:firstRow="1" w:lastColumn="0" w:lastRow="0" w:noHBand="0" w:noVBand="1" w:val="04A0"/>
      </w:tblPr>
      <w:tblGrid>
        <w:gridCol w:w="4873"/>
        <w:gridCol w:w="4873"/>
      </w:tblGrid>
      <w:tr>
        <w:tc>
          <w:tcPr>
            <w:tcW w:type="dxa" w:w="3312"/>
            <w:shd w:val="clear" w:color="auto" w:fill="EFEFEF"/>
          </w:tcPr>
          <w:p>
            <w:pPr>
              <w:spacing w:after="40"/>
            </w:pPr>
            <w:r>
              <w:rPr>
                <w:b/>
                <w:color w:val="4A4A4A"/>
                <w:sz w:val="18"/>
              </w:rPr>
              <w:t>Field</w:t>
            </w:r>
          </w:p>
        </w:tc>
        <w:tc>
          <w:tcPr>
            <w:tcW w:type="dxa" w:w="6048"/>
            <w:shd w:val="clear" w:color="auto" w:fill="EFEFEF"/>
          </w:tcPr>
          <w:p>
            <w:pPr>
              <w:spacing w:after="40"/>
            </w:pPr>
            <w:r>
              <w:rPr>
                <w:b/>
                <w:color w:val="4A4A4A"/>
                <w:sz w:val="18"/>
              </w:rPr>
              <w:t>Value</w:t>
            </w:r>
          </w:p>
        </w:tc>
      </w:tr>
      <w:tr>
        <w:tc>
          <w:tcPr>
            <w:tcW w:type="dxa" w:w="3312"/>
          </w:tcPr>
          <w:p>
            <w:pPr>
              <w:spacing w:after="40"/>
            </w:pPr>
            <w:r>
              <w:rPr>
                <w:sz w:val="19"/>
              </w:rPr>
              <w:t>Product name</w:t>
            </w:r>
          </w:p>
        </w:tc>
        <w:tc>
          <w:tcPr>
            <w:tcW w:type="dxa" w:w="6048"/>
          </w:tcPr>
          <w:p>
            <w:pPr>
              <w:spacing w:after="40"/>
            </w:pPr>
            <w:r>
              <w:rPr>
                <w:sz w:val="19"/>
              </w:rPr>
              <w:t>Gas Leak Detector (GLD)</w:t>
            </w:r>
          </w:p>
        </w:tc>
      </w:tr>
      <w:tr>
        <w:tc>
          <w:tcPr>
            <w:tcW w:type="dxa" w:w="3312"/>
          </w:tcPr>
          <w:p>
            <w:pPr>
              <w:spacing w:after="40"/>
            </w:pPr>
            <w:r>
              <w:rPr>
                <w:sz w:val="19"/>
              </w:rPr>
              <w:t>Model / version</w:t>
            </w:r>
          </w:p>
        </w:tc>
        <w:tc>
          <w:tcPr>
            <w:tcW w:type="dxa" w:w="6048"/>
          </w:tcPr>
          <w:p>
            <w:pPr>
              <w:spacing w:after="40"/>
            </w:pPr>
            <w:r>
              <w:rPr>
                <w:sz w:val="19"/>
              </w:rPr>
              <w:t>GLD V2</w:t>
            </w:r>
          </w:p>
        </w:tc>
      </w:tr>
      <w:tr>
        <w:tc>
          <w:tcPr>
            <w:tcW w:type="dxa" w:w="3312"/>
          </w:tcPr>
          <w:p>
            <w:pPr>
              <w:spacing w:after="40"/>
            </w:pPr>
            <w:r>
              <w:rPr>
                <w:sz w:val="19"/>
              </w:rPr>
              <w:t>Manufacturer</w:t>
            </w:r>
          </w:p>
        </w:tc>
        <w:tc>
          <w:tcPr>
            <w:tcW w:type="dxa" w:w="6048"/>
          </w:tcPr>
          <w:p>
            <w:pPr>
              <w:spacing w:after="40"/>
            </w:pPr>
            <w:r>
              <w:rPr>
                <w:sz w:val="19"/>
              </w:rPr>
              <w:t>PT Galaksi Megatama Indonesia</w:t>
            </w:r>
          </w:p>
        </w:tc>
      </w:tr>
      <w:tr>
        <w:tc>
          <w:tcPr>
            <w:tcW w:type="dxa" w:w="3312"/>
          </w:tcPr>
          <w:p>
            <w:pPr>
              <w:spacing w:after="40"/>
            </w:pPr>
            <w:r>
              <w:rPr>
                <w:sz w:val="19"/>
              </w:rPr>
              <w:t>Program owner</w:t>
            </w:r>
          </w:p>
        </w:tc>
        <w:tc>
          <w:tcPr>
            <w:tcW w:type="dxa" w:w="6048"/>
          </w:tcPr>
          <w:p>
            <w:pPr>
              <w:spacing w:after="40"/>
            </w:pPr>
            <w:r>
              <w:rPr>
                <w:sz w:val="19"/>
              </w:rPr>
              <w:t>PT Pertamina Patra Niaga (initial deployment site: Refinery Unit IV, Cilacap)</w:t>
            </w:r>
          </w:p>
        </w:tc>
      </w:tr>
      <w:tr>
        <w:tc>
          <w:tcPr>
            <w:tcW w:type="dxa" w:w="3312"/>
          </w:tcPr>
          <w:p>
            <w:pPr>
              <w:spacing w:after="40"/>
            </w:pPr>
            <w:r>
              <w:rPr>
                <w:sz w:val="19"/>
              </w:rPr>
              <w:t>Primary function</w:t>
            </w:r>
          </w:p>
        </w:tc>
        <w:tc>
          <w:tcPr>
            <w:tcW w:type="dxa" w:w="6048"/>
          </w:tcPr>
          <w:p>
            <w:pPr>
              <w:spacing w:after="40"/>
            </w:pPr>
            <w:r>
              <w:rPr>
                <w:sz w:val="19"/>
              </w:rPr>
              <w:t>Acquisition of 8-channel gas sensor data and LoRa transmission</w:t>
            </w:r>
          </w:p>
        </w:tc>
      </w:tr>
      <w:tr>
        <w:tc>
          <w:tcPr>
            <w:tcW w:type="dxa" w:w="3312"/>
          </w:tcPr>
          <w:p>
            <w:pPr>
              <w:spacing w:after="40"/>
            </w:pPr>
            <w:r>
              <w:rPr>
                <w:sz w:val="19"/>
              </w:rPr>
              <w:t>Microcontroller</w:t>
            </w:r>
          </w:p>
        </w:tc>
        <w:tc>
          <w:tcPr>
            <w:tcW w:type="dxa" w:w="6048"/>
          </w:tcPr>
          <w:p>
            <w:pPr>
              <w:spacing w:after="40"/>
            </w:pPr>
            <w:r>
              <w:rPr>
                <w:sz w:val="19"/>
              </w:rPr>
              <w:t>ESP32-S3-WROOM-1U-N16R8</w:t>
            </w:r>
          </w:p>
        </w:tc>
      </w:tr>
      <w:tr>
        <w:tc>
          <w:tcPr>
            <w:tcW w:type="dxa" w:w="3312"/>
          </w:tcPr>
          <w:p>
            <w:pPr>
              <w:spacing w:after="40"/>
            </w:pPr>
            <w:r>
              <w:rPr>
                <w:sz w:val="19"/>
              </w:rPr>
              <w:t>LoRa radio module</w:t>
            </w:r>
          </w:p>
        </w:tc>
        <w:tc>
          <w:tcPr>
            <w:tcW w:type="dxa" w:w="6048"/>
          </w:tcPr>
          <w:p>
            <w:pPr>
              <w:spacing w:after="40"/>
            </w:pPr>
            <w:r>
              <w:rPr>
                <w:sz w:val="19"/>
              </w:rPr>
              <w:t>E22-900MM22S</w:t>
            </w:r>
          </w:p>
        </w:tc>
      </w:tr>
      <w:tr>
        <w:tc>
          <w:tcPr>
            <w:tcW w:type="dxa" w:w="3312"/>
          </w:tcPr>
          <w:p>
            <w:pPr>
              <w:spacing w:after="40"/>
            </w:pPr>
            <w:r>
              <w:rPr>
                <w:sz w:val="19"/>
              </w:rPr>
              <w:t>Dimensions (L×W×H)</w:t>
            </w:r>
          </w:p>
        </w:tc>
        <w:tc>
          <w:tcPr>
            <w:tcW w:type="dxa" w:w="6048"/>
          </w:tcPr>
          <w:p>
            <w:pPr>
              <w:spacing w:after="40"/>
            </w:pPr>
            <w:r>
              <w:rPr>
                <w:sz w:val="19"/>
              </w:rPr>
              <w:t>200 × 90 × 290 mm</w:t>
            </w:r>
          </w:p>
        </w:tc>
      </w:tr>
      <w:tr>
        <w:tc>
          <w:tcPr>
            <w:tcW w:type="dxa" w:w="3312"/>
          </w:tcPr>
          <w:p>
            <w:pPr>
              <w:spacing w:after="40"/>
            </w:pPr>
            <w:r>
              <w:rPr>
                <w:sz w:val="19"/>
              </w:rPr>
              <w:t>Enclosure material</w:t>
            </w:r>
          </w:p>
        </w:tc>
        <w:tc>
          <w:tcPr>
            <w:tcW w:type="dxa" w:w="6048"/>
          </w:tcPr>
          <w:p>
            <w:pPr>
              <w:spacing w:after="40"/>
            </w:pPr>
            <w:r>
              <w:rPr>
                <w:sz w:val="19"/>
              </w:rPr>
              <w:t>Aluminum alloy (ADC12 die-cast) + stainless steel</w:t>
            </w:r>
          </w:p>
        </w:tc>
      </w:tr>
    </w:tbl>
    <w:p>
      <w:pPr>
        <w:spacing w:after="120"/>
      </w:pPr>
    </w:p>
    <w:p>
      <w:pPr>
        <w:pStyle w:val="Heading2"/>
      </w:pPr>
      <w:r>
        <w:t>2.3 · Complete and Clear Functional Description and Technical Parameters (Electrical, Mechanical, etc.)</w:t>
      </w:r>
    </w:p>
    <w:p>
      <w:pPr>
        <w:spacing w:after="160"/>
      </w:pPr>
      <w:r>
        <w:rPr>
          <w:b w:val="0"/>
          <w:i w:val="0"/>
          <w:sz w:val="21"/>
        </w:rPr>
        <w:t>Functional workflow (normal operating mode): sense → process → transmit. Each of the eight gas sensors continuously samples ambient conditions → data is normalized and classified by the on-device AI model (ESP32-S3) → the result is transmitted over the LoRa network (star-topology transmission) at a configurable interval, or immediately (event-driven) when an alarm condition is detected. Gas alarms are triggered through two parallel channels: a local visual/audible alarm module on the unit itself, and a push notification transmitted over the LoRa network to the dashboard.</w:t>
      </w:r>
    </w:p>
    <w:p>
      <w:pPr>
        <w:spacing w:after="60"/>
      </w:pPr>
      <w:r>
        <w:rPr>
          <w:b/>
          <w:i w:val="0"/>
          <w:sz w:val="21"/>
        </w:rPr>
        <w:t>Electrical Parameters:</w:t>
      </w:r>
    </w:p>
    <w:tbl>
      <w:tblPr>
        <w:tblStyle w:val="TableGrid"/>
        <w:tblW w:type="auto" w:w="0"/>
        <w:jc w:val="center"/>
        <w:tblLook w:firstColumn="1" w:firstRow="1" w:lastColumn="0" w:lastRow="0" w:noHBand="0" w:noVBand="1" w:val="04A0"/>
      </w:tblPr>
      <w:tblGrid>
        <w:gridCol w:w="4873"/>
        <w:gridCol w:w="4873"/>
      </w:tblGrid>
      <w:tr>
        <w:tc>
          <w:tcPr>
            <w:tcW w:type="dxa" w:w="3312"/>
            <w:shd w:val="clear" w:color="auto" w:fill="EFEFEF"/>
          </w:tcPr>
          <w:p>
            <w:pPr>
              <w:spacing w:after="40"/>
            </w:pPr>
            <w:r>
              <w:rPr>
                <w:b/>
                <w:color w:val="4A4A4A"/>
                <w:sz w:val="18"/>
              </w:rPr>
              <w:t>Parameter</w:t>
            </w:r>
          </w:p>
        </w:tc>
        <w:tc>
          <w:tcPr>
            <w:tcW w:type="dxa" w:w="6048"/>
            <w:shd w:val="clear" w:color="auto" w:fill="EFEFEF"/>
          </w:tcPr>
          <w:p>
            <w:pPr>
              <w:spacing w:after="40"/>
            </w:pPr>
            <w:r>
              <w:rPr>
                <w:b/>
                <w:color w:val="4A4A4A"/>
                <w:sz w:val="18"/>
              </w:rPr>
              <w:t>Specification</w:t>
            </w:r>
          </w:p>
        </w:tc>
      </w:tr>
      <w:tr>
        <w:tc>
          <w:tcPr>
            <w:tcW w:type="dxa" w:w="3312"/>
          </w:tcPr>
          <w:p>
            <w:pPr>
              <w:spacing w:after="40"/>
            </w:pPr>
            <w:r>
              <w:rPr>
                <w:sz w:val="19"/>
              </w:rPr>
              <w:t>Input voltage</w:t>
            </w:r>
          </w:p>
        </w:tc>
        <w:tc>
          <w:tcPr>
            <w:tcW w:type="dxa" w:w="6048"/>
          </w:tcPr>
          <w:p>
            <w:pPr>
              <w:spacing w:after="40"/>
            </w:pPr>
            <w:r>
              <w:rPr>
                <w:sz w:val="19"/>
              </w:rPr>
              <w:t>24 VDC (continuous)</w:t>
            </w:r>
          </w:p>
        </w:tc>
      </w:tr>
      <w:tr>
        <w:tc>
          <w:tcPr>
            <w:tcW w:type="dxa" w:w="3312"/>
          </w:tcPr>
          <w:p>
            <w:pPr>
              <w:spacing w:after="40"/>
            </w:pPr>
            <w:r>
              <w:rPr>
                <w:sz w:val="19"/>
              </w:rPr>
              <w:t>Source adapter (if AC-fed)</w:t>
            </w:r>
          </w:p>
        </w:tc>
        <w:tc>
          <w:tcPr>
            <w:tcW w:type="dxa" w:w="6048"/>
          </w:tcPr>
          <w:p>
            <w:pPr>
              <w:spacing w:after="40"/>
            </w:pPr>
            <w:r>
              <w:rPr>
                <w:sz w:val="19"/>
              </w:rPr>
              <w:t>220 VAC / 50 Hz input → 24 VDC output</w:t>
            </w:r>
          </w:p>
        </w:tc>
      </w:tr>
      <w:tr>
        <w:tc>
          <w:tcPr>
            <w:tcW w:type="dxa" w:w="3312"/>
          </w:tcPr>
          <w:p>
            <w:pPr>
              <w:spacing w:after="40"/>
            </w:pPr>
            <w:r>
              <w:rPr>
                <w:sz w:val="19"/>
              </w:rPr>
              <w:t>Internal voltage rails</w:t>
            </w:r>
          </w:p>
        </w:tc>
        <w:tc>
          <w:tcPr>
            <w:tcW w:type="dxa" w:w="6048"/>
          </w:tcPr>
          <w:p>
            <w:pPr>
              <w:spacing w:after="40"/>
            </w:pPr>
            <w:r>
              <w:rPr>
                <w:sz w:val="19"/>
              </w:rPr>
              <w:t>5 VDC (sensor/heater circuitry), 3.3 VDC (ESP32-S3 logic)</w:t>
            </w:r>
          </w:p>
        </w:tc>
      </w:tr>
      <w:tr>
        <w:tc>
          <w:tcPr>
            <w:tcW w:type="dxa" w:w="3312"/>
          </w:tcPr>
          <w:p>
            <w:pPr>
              <w:spacing w:after="40"/>
            </w:pPr>
            <w:r>
              <w:rPr>
                <w:sz w:val="19"/>
              </w:rPr>
              <w:t>Measured power consumption</w:t>
            </w:r>
          </w:p>
        </w:tc>
        <w:tc>
          <w:tcPr>
            <w:tcW w:type="dxa" w:w="6048"/>
          </w:tcPr>
          <w:p>
            <w:pPr>
              <w:spacing w:after="40"/>
            </w:pPr>
            <w:r>
              <w:rPr>
                <w:sz w:val="19"/>
              </w:rPr>
              <w:t>8 W @ 24 VDC (≈ 0.33 A) — production configuration</w:t>
            </w:r>
          </w:p>
        </w:tc>
      </w:tr>
      <w:tr>
        <w:tc>
          <w:tcPr>
            <w:tcW w:type="dxa" w:w="3312"/>
          </w:tcPr>
          <w:p>
            <w:pPr>
              <w:spacing w:after="40"/>
            </w:pPr>
            <w:r>
              <w:rPr>
                <w:sz w:val="19"/>
              </w:rPr>
              <w:t>Cable/PSU sizing margin</w:t>
            </w:r>
          </w:p>
        </w:tc>
        <w:tc>
          <w:tcPr>
            <w:tcW w:type="dxa" w:w="6048"/>
          </w:tcPr>
          <w:p>
            <w:pPr>
              <w:spacing w:after="40"/>
            </w:pPr>
            <w:r>
              <w:rPr>
                <w:sz w:val="19"/>
              </w:rPr>
              <w:t>≥ 1 A per unit (sizing margin only; actual draw is well below this)</w:t>
            </w:r>
          </w:p>
        </w:tc>
      </w:tr>
      <w:tr>
        <w:tc>
          <w:tcPr>
            <w:tcW w:type="dxa" w:w="3312"/>
          </w:tcPr>
          <w:p>
            <w:pPr>
              <w:spacing w:after="40"/>
            </w:pPr>
            <w:r>
              <w:rPr>
                <w:sz w:val="19"/>
              </w:rPr>
              <w:t>Power cable</w:t>
            </w:r>
          </w:p>
        </w:tc>
        <w:tc>
          <w:tcPr>
            <w:tcW w:type="dxa" w:w="6048"/>
          </w:tcPr>
          <w:p>
            <w:pPr>
              <w:spacing w:after="40"/>
            </w:pPr>
            <w:r>
              <w:rPr>
                <w:sz w:val="19"/>
              </w:rPr>
              <w:t>2-conductor, labeled L+/L− (positive/negative of the 24 VDC supply), each conductor ≈ 0.75 mm diameter</w:t>
            </w:r>
          </w:p>
        </w:tc>
      </w:tr>
      <w:tr>
        <w:tc>
          <w:tcPr>
            <w:tcW w:type="dxa" w:w="3312"/>
          </w:tcPr>
          <w:p>
            <w:pPr>
              <w:spacing w:after="40"/>
            </w:pPr>
            <w:r>
              <w:rPr>
                <w:sz w:val="19"/>
              </w:rPr>
              <w:t>Electrical protection</w:t>
            </w:r>
          </w:p>
        </w:tc>
        <w:tc>
          <w:tcPr>
            <w:tcW w:type="dxa" w:w="6048"/>
          </w:tcPr>
          <w:p>
            <w:pPr>
              <w:spacing w:after="40"/>
            </w:pPr>
            <w:r>
              <w:rPr>
                <w:sz w:val="19"/>
              </w:rPr>
              <w:t>Resettable PPTC fuses (F1/F2), TVS/ESD suppression diodes, Schottky diodes on power rails</w:t>
            </w:r>
          </w:p>
        </w:tc>
      </w:tr>
    </w:tbl>
    <w:p>
      <w:pPr>
        <w:spacing w:after="120"/>
      </w:pPr>
    </w:p>
    <w:p>
      <w:pPr>
        <w:spacing w:after="60"/>
      </w:pPr>
      <w:r>
        <w:rPr>
          <w:b/>
          <w:i w:val="0"/>
          <w:sz w:val="21"/>
        </w:rPr>
        <w:t>Sensor and Communication Parameters:</w:t>
      </w:r>
    </w:p>
    <w:tbl>
      <w:tblPr>
        <w:tblStyle w:val="TableGrid"/>
        <w:tblW w:type="auto" w:w="0"/>
        <w:jc w:val="center"/>
        <w:tblLook w:firstColumn="1" w:firstRow="1" w:lastColumn="0" w:lastRow="0" w:noHBand="0" w:noVBand="1" w:val="04A0"/>
      </w:tblPr>
      <w:tblGrid>
        <w:gridCol w:w="4873"/>
        <w:gridCol w:w="4873"/>
      </w:tblGrid>
      <w:tr>
        <w:tc>
          <w:tcPr>
            <w:tcW w:type="dxa" w:w="3312"/>
            <w:shd w:val="clear" w:color="auto" w:fill="EFEFEF"/>
          </w:tcPr>
          <w:p>
            <w:pPr>
              <w:spacing w:after="40"/>
            </w:pPr>
            <w:r>
              <w:rPr>
                <w:b/>
                <w:color w:val="4A4A4A"/>
                <w:sz w:val="18"/>
              </w:rPr>
              <w:t>Parameter</w:t>
            </w:r>
          </w:p>
        </w:tc>
        <w:tc>
          <w:tcPr>
            <w:tcW w:type="dxa" w:w="6048"/>
            <w:shd w:val="clear" w:color="auto" w:fill="EFEFEF"/>
          </w:tcPr>
          <w:p>
            <w:pPr>
              <w:spacing w:after="40"/>
            </w:pPr>
            <w:r>
              <w:rPr>
                <w:b/>
                <w:color w:val="4A4A4A"/>
                <w:sz w:val="18"/>
              </w:rPr>
              <w:t>Specification</w:t>
            </w:r>
          </w:p>
        </w:tc>
      </w:tr>
      <w:tr>
        <w:tc>
          <w:tcPr>
            <w:tcW w:type="dxa" w:w="3312"/>
          </w:tcPr>
          <w:p>
            <w:pPr>
              <w:spacing w:after="40"/>
            </w:pPr>
            <w:r>
              <w:rPr>
                <w:sz w:val="19"/>
              </w:rPr>
              <w:t>Gas sensor array</w:t>
            </w:r>
          </w:p>
        </w:tc>
        <w:tc>
          <w:tcPr>
            <w:tcW w:type="dxa" w:w="6048"/>
          </w:tcPr>
          <w:p>
            <w:pPr>
              <w:spacing w:after="40"/>
            </w:pPr>
            <w:r>
              <w:rPr>
                <w:sz w:val="19"/>
              </w:rPr>
              <w:t>8 channels, metal-oxide (MQ-2, MQ-3B, MQ-4, MQ-5, MQ-6, MQ-7B, MQ-8, MQ-135)</w:t>
            </w:r>
          </w:p>
        </w:tc>
      </w:tr>
      <w:tr>
        <w:tc>
          <w:tcPr>
            <w:tcW w:type="dxa" w:w="3312"/>
          </w:tcPr>
          <w:p>
            <w:pPr>
              <w:spacing w:after="40"/>
            </w:pPr>
            <w:r>
              <w:rPr>
                <w:sz w:val="19"/>
              </w:rPr>
              <w:t>Signal acquisition</w:t>
            </w:r>
          </w:p>
        </w:tc>
        <w:tc>
          <w:tcPr>
            <w:tcW w:type="dxa" w:w="6048"/>
          </w:tcPr>
          <w:p>
            <w:pPr>
              <w:spacing w:after="40"/>
            </w:pPr>
            <w:r>
              <w:rPr>
                <w:sz w:val="19"/>
              </w:rPr>
              <w:t>24-bit multi-channel ADC (ADS1256IDBR, 30,000 SPS), 500 ms scan interval</w:t>
            </w:r>
          </w:p>
        </w:tc>
      </w:tr>
      <w:tr>
        <w:tc>
          <w:tcPr>
            <w:tcW w:type="dxa" w:w="3312"/>
          </w:tcPr>
          <w:p>
            <w:pPr>
              <w:spacing w:after="40"/>
            </w:pPr>
            <w:r>
              <w:rPr>
                <w:sz w:val="19"/>
              </w:rPr>
              <w:t>AI gas-classification model</w:t>
            </w:r>
          </w:p>
        </w:tc>
        <w:tc>
          <w:tcPr>
            <w:tcW w:type="dxa" w:w="6048"/>
          </w:tcPr>
          <w:p>
            <w:pPr>
              <w:spacing w:after="40"/>
            </w:pPr>
            <w:r>
              <w:rPr>
                <w:sz w:val="19"/>
              </w:rPr>
              <w:t>On-device classifier — 3 classes: Clean Air, LPG, H₂; alarm at confidence ≥ 30%. Does not yet cover CO₂, Benzene, CO, or H₂S</w:t>
            </w:r>
          </w:p>
        </w:tc>
      </w:tr>
      <w:tr>
        <w:tc>
          <w:tcPr>
            <w:tcW w:type="dxa" w:w="3312"/>
          </w:tcPr>
          <w:p>
            <w:pPr>
              <w:spacing w:after="40"/>
            </w:pPr>
            <w:r>
              <w:rPr>
                <w:sz w:val="19"/>
              </w:rPr>
              <w:t>Temperature/humidity telemetry</w:t>
            </w:r>
          </w:p>
        </w:tc>
        <w:tc>
          <w:tcPr>
            <w:tcW w:type="dxa" w:w="6048"/>
          </w:tcPr>
          <w:p>
            <w:pPr>
              <w:spacing w:after="40"/>
            </w:pPr>
            <w:r>
              <w:rPr>
                <w:sz w:val="19"/>
              </w:rPr>
              <w:t>SHT40 sensor (auxiliary)</w:t>
            </w:r>
          </w:p>
        </w:tc>
      </w:tr>
      <w:tr>
        <w:tc>
          <w:tcPr>
            <w:tcW w:type="dxa" w:w="3312"/>
          </w:tcPr>
          <w:p>
            <w:pPr>
              <w:spacing w:after="40"/>
            </w:pPr>
            <w:r>
              <w:rPr>
                <w:sz w:val="19"/>
              </w:rPr>
              <w:t>LoRa radio</w:t>
            </w:r>
          </w:p>
        </w:tc>
        <w:tc>
          <w:tcPr>
            <w:tcW w:type="dxa" w:w="6048"/>
          </w:tcPr>
          <w:p>
            <w:pPr>
              <w:spacing w:after="40"/>
            </w:pPr>
            <w:r>
              <w:rPr>
                <w:sz w:val="19"/>
              </w:rPr>
              <w:t>E22-900MM22S, star-topology transmission, 920–923 MHz ISM band (Indonesia)</w:t>
            </w:r>
          </w:p>
        </w:tc>
      </w:tr>
      <w:tr>
        <w:tc>
          <w:tcPr>
            <w:tcW w:type="dxa" w:w="3312"/>
          </w:tcPr>
          <w:p>
            <w:pPr>
              <w:spacing w:after="40"/>
            </w:pPr>
            <w:r>
              <w:rPr>
                <w:sz w:val="19"/>
              </w:rPr>
              <w:t>Data transmission interval</w:t>
            </w:r>
          </w:p>
        </w:tc>
        <w:tc>
          <w:tcPr>
            <w:tcW w:type="dxa" w:w="6048"/>
          </w:tcPr>
          <w:p>
            <w:pPr>
              <w:spacing w:after="40"/>
            </w:pPr>
            <w:r>
              <w:rPr>
                <w:sz w:val="19"/>
              </w:rPr>
              <w:t>Configurable, default 10 s; alarm events transmitted immediately</w:t>
            </w:r>
          </w:p>
        </w:tc>
      </w:tr>
      <w:tr>
        <w:tc>
          <w:tcPr>
            <w:tcW w:type="dxa" w:w="3312"/>
          </w:tcPr>
          <w:p>
            <w:pPr>
              <w:spacing w:after="40"/>
            </w:pPr>
            <w:r>
              <w:rPr>
                <w:sz w:val="19"/>
              </w:rPr>
              <w:t>RS-485 / Modbus interface</w:t>
            </w:r>
          </w:p>
        </w:tc>
        <w:tc>
          <w:tcPr>
            <w:tcW w:type="dxa" w:w="6048"/>
          </w:tcPr>
          <w:p>
            <w:pPr>
              <w:spacing w:after="40"/>
            </w:pPr>
            <w:r>
              <w:rPr>
                <w:sz w:val="19"/>
              </w:rPr>
              <w:t>Read-only Modbus RTU slave, 9600 bit/s 8N1, Unit ID 1 (THVD1410DR) — 8 read-only registers for external integration; not used for product control</w:t>
            </w:r>
          </w:p>
        </w:tc>
      </w:tr>
    </w:tbl>
    <w:p>
      <w:pPr>
        <w:spacing w:after="120"/>
      </w:pPr>
    </w:p>
    <w:p>
      <w:pPr>
        <w:spacing w:after="60"/>
      </w:pPr>
      <w:r>
        <w:rPr>
          <w:b/>
          <w:i w:val="0"/>
          <w:sz w:val="21"/>
        </w:rPr>
        <w:t>Mechanical Parameters:</w:t>
      </w:r>
    </w:p>
    <w:tbl>
      <w:tblPr>
        <w:tblStyle w:val="TableGrid"/>
        <w:tblW w:type="auto" w:w="0"/>
        <w:jc w:val="center"/>
        <w:tblLook w:firstColumn="1" w:firstRow="1" w:lastColumn="0" w:lastRow="0" w:noHBand="0" w:noVBand="1" w:val="04A0"/>
      </w:tblPr>
      <w:tblGrid>
        <w:gridCol w:w="3249"/>
        <w:gridCol w:w="3249"/>
        <w:gridCol w:w="3249"/>
      </w:tblGrid>
      <w:tr>
        <w:tc>
          <w:tcPr>
            <w:tcW w:type="dxa" w:w="3024"/>
            <w:shd w:val="clear" w:color="auto" w:fill="EFEFEF"/>
          </w:tcPr>
          <w:p>
            <w:pPr>
              <w:spacing w:after="40"/>
            </w:pPr>
            <w:r>
              <w:rPr>
                <w:b/>
                <w:color w:val="4A4A4A"/>
                <w:sz w:val="18"/>
              </w:rPr>
              <w:t>Parameter</w:t>
            </w:r>
          </w:p>
        </w:tc>
        <w:tc>
          <w:tcPr>
            <w:tcW w:type="dxa" w:w="4176"/>
            <w:shd w:val="clear" w:color="auto" w:fill="EFEFEF"/>
          </w:tcPr>
          <w:p>
            <w:pPr>
              <w:spacing w:after="40"/>
            </w:pPr>
            <w:r>
              <w:rPr>
                <w:b/>
                <w:color w:val="4A4A4A"/>
                <w:sz w:val="18"/>
              </w:rPr>
              <w:t>Specification</w:t>
            </w:r>
          </w:p>
        </w:tc>
        <w:tc>
          <w:tcPr>
            <w:tcW w:type="dxa" w:w="2160"/>
            <w:shd w:val="clear" w:color="auto" w:fill="EFEFEF"/>
          </w:tcPr>
          <w:p>
            <w:pPr>
              <w:spacing w:after="40"/>
            </w:pPr>
            <w:r>
              <w:rPr>
                <w:b/>
                <w:color w:val="4A4A4A"/>
                <w:sz w:val="18"/>
              </w:rPr>
              <w:t>Status</w:t>
            </w:r>
          </w:p>
        </w:tc>
      </w:tr>
      <w:tr>
        <w:tc>
          <w:tcPr>
            <w:tcW w:type="dxa" w:w="3024"/>
          </w:tcPr>
          <w:p>
            <w:pPr>
              <w:spacing w:after="40"/>
            </w:pPr>
            <w:r>
              <w:rPr>
                <w:sz w:val="19"/>
              </w:rPr>
              <w:t>Dimensions (L×W×H)</w:t>
            </w:r>
          </w:p>
        </w:tc>
        <w:tc>
          <w:tcPr>
            <w:tcW w:type="dxa" w:w="4176"/>
          </w:tcPr>
          <w:p>
            <w:pPr>
              <w:spacing w:after="40"/>
            </w:pPr>
            <w:r>
              <w:rPr>
                <w:sz w:val="19"/>
              </w:rPr>
              <w:t>200 × 90 × 290 mm</w:t>
            </w:r>
          </w:p>
        </w:tc>
        <w:tc>
          <w:tcPr>
            <w:tcW w:type="dxa" w:w="2160"/>
          </w:tcPr>
          <w:p>
            <w:pPr>
              <w:spacing w:after="40"/>
            </w:pPr>
            <w:r>
              <w:rPr>
                <w:sz w:val="19"/>
              </w:rPr>
              <w:t>Final</w:t>
            </w:r>
          </w:p>
        </w:tc>
      </w:tr>
      <w:tr>
        <w:tc>
          <w:tcPr>
            <w:tcW w:type="dxa" w:w="3024"/>
          </w:tcPr>
          <w:p>
            <w:pPr>
              <w:spacing w:after="40"/>
            </w:pPr>
            <w:r>
              <w:rPr>
                <w:sz w:val="19"/>
              </w:rPr>
              <w:t>Total weight</w:t>
            </w:r>
          </w:p>
        </w:tc>
        <w:tc>
          <w:tcPr>
            <w:tcW w:type="dxa" w:w="4176"/>
          </w:tcPr>
          <w:p>
            <w:pPr>
              <w:spacing w:after="40"/>
            </w:pPr>
            <w:r>
              <w:rPr>
                <w:sz w:val="19"/>
              </w:rPr>
              <w:t>2.378 kg</w:t>
            </w:r>
          </w:p>
        </w:tc>
        <w:tc>
          <w:tcPr>
            <w:tcW w:type="dxa" w:w="2160"/>
          </w:tcPr>
          <w:p>
            <w:pPr>
              <w:spacing w:after="40"/>
            </w:pPr>
            <w:r>
              <w:rPr>
                <w:sz w:val="19"/>
              </w:rPr>
              <w:t>Final (project-confirmed, not yet calibration-verified)</w:t>
            </w:r>
          </w:p>
        </w:tc>
      </w:tr>
      <w:tr>
        <w:tc>
          <w:tcPr>
            <w:tcW w:type="dxa" w:w="3024"/>
          </w:tcPr>
          <w:p>
            <w:pPr>
              <w:spacing w:after="40"/>
            </w:pPr>
            <w:r>
              <w:rPr>
                <w:sz w:val="19"/>
              </w:rPr>
              <w:t>Enclosure material</w:t>
            </w:r>
          </w:p>
        </w:tc>
        <w:tc>
          <w:tcPr>
            <w:tcW w:type="dxa" w:w="4176"/>
          </w:tcPr>
          <w:p>
            <w:pPr>
              <w:spacing w:after="40"/>
            </w:pPr>
            <w:r>
              <w:rPr>
                <w:sz w:val="19"/>
              </w:rPr>
              <w:t>Aluminum alloy (ADC12 die-cast) + stainless steel</w:t>
            </w:r>
          </w:p>
        </w:tc>
        <w:tc>
          <w:tcPr>
            <w:tcW w:type="dxa" w:w="2160"/>
          </w:tcPr>
          <w:p>
            <w:pPr>
              <w:spacing w:after="40"/>
            </w:pPr>
            <w:r>
              <w:rPr>
                <w:sz w:val="19"/>
              </w:rPr>
              <w:t>Final (see caveat below)</w:t>
            </w:r>
          </w:p>
        </w:tc>
      </w:tr>
      <w:tr>
        <w:tc>
          <w:tcPr>
            <w:tcW w:type="dxa" w:w="3024"/>
          </w:tcPr>
          <w:p>
            <w:pPr>
              <w:spacing w:after="40"/>
            </w:pPr>
            <w:r>
              <w:rPr>
                <w:sz w:val="19"/>
              </w:rPr>
              <w:t>Mounting method</w:t>
            </w:r>
          </w:p>
        </w:tc>
        <w:tc>
          <w:tcPr>
            <w:tcW w:type="dxa" w:w="4176"/>
          </w:tcPr>
          <w:p>
            <w:pPr>
              <w:spacing w:after="40"/>
            </w:pPr>
            <w:r>
              <w:rPr>
                <w:sz w:val="19"/>
              </w:rPr>
              <w:t>U-bolt mounting plate (2″/DN50), no drilling/welding</w:t>
            </w:r>
          </w:p>
        </w:tc>
        <w:tc>
          <w:tcPr>
            <w:tcW w:type="dxa" w:w="2160"/>
          </w:tcPr>
          <w:p>
            <w:pPr>
              <w:spacing w:after="40"/>
            </w:pPr>
            <w:r>
              <w:rPr>
                <w:sz w:val="19"/>
              </w:rPr>
              <w:t>Final</w:t>
            </w:r>
          </w:p>
        </w:tc>
      </w:tr>
      <w:tr>
        <w:tc>
          <w:tcPr>
            <w:tcW w:type="dxa" w:w="3024"/>
          </w:tcPr>
          <w:p>
            <w:pPr>
              <w:spacing w:after="40"/>
            </w:pPr>
            <w:r>
              <w:rPr>
                <w:sz w:val="19"/>
              </w:rPr>
              <w:t>Ingress protection (IP rating)</w:t>
            </w:r>
          </w:p>
        </w:tc>
        <w:tc>
          <w:tcPr>
            <w:tcW w:type="dxa" w:w="4176"/>
          </w:tcPr>
          <w:p>
            <w:pPr>
              <w:spacing w:after="40"/>
            </w:pPr>
            <w:r>
              <w:rPr>
                <w:sz w:val="19"/>
              </w:rPr>
              <w:t>IP66</w:t>
            </w:r>
          </w:p>
        </w:tc>
        <w:tc>
          <w:tcPr>
            <w:tcW w:type="dxa" w:w="2160"/>
          </w:tcPr>
          <w:p>
            <w:pPr>
              <w:spacing w:after="40"/>
            </w:pPr>
            <w:r>
              <w:rPr>
                <w:sz w:val="19"/>
              </w:rPr>
              <w:t>Final</w:t>
            </w:r>
          </w:p>
        </w:tc>
      </w:tr>
      <w:tr>
        <w:tc>
          <w:tcPr>
            <w:tcW w:type="dxa" w:w="3024"/>
          </w:tcPr>
          <w:p>
            <w:pPr>
              <w:spacing w:after="40"/>
            </w:pPr>
            <w:r>
              <w:rPr>
                <w:sz w:val="19"/>
              </w:rPr>
              <w:t>Cable entry (gland)</w:t>
            </w:r>
          </w:p>
        </w:tc>
        <w:tc>
          <w:tcPr>
            <w:tcW w:type="dxa" w:w="4176"/>
          </w:tcPr>
          <w:p>
            <w:pPr>
              <w:spacing w:after="40"/>
            </w:pPr>
            <w:r>
              <w:rPr>
                <w:sz w:val="19"/>
              </w:rPr>
              <w:t>M20×1.5 cable gland (IP66-rated), power cable L+/L−, ≈ 0.75 mm/conductor</w:t>
            </w:r>
          </w:p>
        </w:tc>
        <w:tc>
          <w:tcPr>
            <w:tcW w:type="dxa" w:w="2160"/>
          </w:tcPr>
          <w:p>
            <w:pPr>
              <w:spacing w:after="40"/>
            </w:pPr>
            <w:r>
              <w:rPr>
                <w:sz w:val="19"/>
              </w:rPr>
              <w:t>Final (see note below)</w:t>
            </w:r>
          </w:p>
        </w:tc>
      </w:tr>
      <w:tr>
        <w:tc>
          <w:tcPr>
            <w:tcW w:type="dxa" w:w="3024"/>
          </w:tcPr>
          <w:p>
            <w:pPr>
              <w:spacing w:after="40"/>
            </w:pPr>
            <w:r>
              <w:rPr>
                <w:sz w:val="19"/>
              </w:rPr>
              <w:t>Antenna mounting</w:t>
            </w:r>
          </w:p>
        </w:tc>
        <w:tc>
          <w:tcPr>
            <w:tcW w:type="dxa" w:w="4176"/>
          </w:tcPr>
          <w:p>
            <w:pPr>
              <w:spacing w:after="40"/>
            </w:pPr>
            <w:r>
              <w:rPr>
                <w:sz w:val="19"/>
              </w:rPr>
              <w:t>External, SMA male connector</w:t>
            </w:r>
          </w:p>
        </w:tc>
        <w:tc>
          <w:tcPr>
            <w:tcW w:type="dxa" w:w="2160"/>
          </w:tcPr>
          <w:p>
            <w:pPr>
              <w:spacing w:after="40"/>
            </w:pPr>
            <w:r>
              <w:rPr>
                <w:sz w:val="19"/>
              </w:rPr>
              <w:t>Final</w:t>
            </w:r>
          </w:p>
        </w:tc>
      </w:tr>
      <w:tr>
        <w:tc>
          <w:tcPr>
            <w:tcW w:type="dxa" w:w="3024"/>
          </w:tcPr>
          <w:p>
            <w:pPr>
              <w:spacing w:after="40"/>
            </w:pPr>
            <w:r>
              <w:rPr>
                <w:sz w:val="19"/>
              </w:rPr>
              <w:t>Operating temperature range</w:t>
            </w:r>
          </w:p>
        </w:tc>
        <w:tc>
          <w:tcPr>
            <w:tcW w:type="dxa" w:w="4176"/>
          </w:tcPr>
          <w:p>
            <w:pPr>
              <w:spacing w:after="40"/>
            </w:pPr>
            <w:r>
              <w:rPr>
                <w:sz w:val="19"/>
              </w:rPr>
              <w:t>−20°C to +60°C (ambient)</w:t>
            </w:r>
          </w:p>
        </w:tc>
        <w:tc>
          <w:tcPr>
            <w:tcW w:type="dxa" w:w="2160"/>
          </w:tcPr>
          <w:p>
            <w:pPr>
              <w:spacing w:after="40"/>
            </w:pPr>
            <w:r>
              <w:rPr>
                <w:sz w:val="19"/>
              </w:rPr>
              <w:t>Final (project-confirmed)</w:t>
            </w:r>
          </w:p>
        </w:tc>
      </w:tr>
      <w:tr>
        <w:tc>
          <w:tcPr>
            <w:tcW w:type="dxa" w:w="3024"/>
          </w:tcPr>
          <w:p>
            <w:pPr>
              <w:spacing w:after="40"/>
            </w:pPr>
            <w:r>
              <w:rPr>
                <w:sz w:val="19"/>
              </w:rPr>
              <w:t>Operating humidity range</w:t>
            </w:r>
          </w:p>
        </w:tc>
        <w:tc>
          <w:tcPr>
            <w:tcW w:type="dxa" w:w="4176"/>
          </w:tcPr>
          <w:p>
            <w:pPr>
              <w:spacing w:after="40"/>
            </w:pPr>
            <w:r>
              <w:rPr>
                <w:sz w:val="19"/>
              </w:rPr>
              <w:t>5–95% RH, non-condensing</w:t>
            </w:r>
          </w:p>
        </w:tc>
        <w:tc>
          <w:tcPr>
            <w:tcW w:type="dxa" w:w="2160"/>
          </w:tcPr>
          <w:p>
            <w:pPr>
              <w:spacing w:after="40"/>
            </w:pPr>
            <w:r>
              <w:rPr>
                <w:sz w:val="19"/>
              </w:rPr>
              <w:t>Final (project-confirmed)</w:t>
            </w:r>
          </w:p>
        </w:tc>
      </w:tr>
    </w:tbl>
    <w:p>
      <w:pPr>
        <w:spacing w:after="120"/>
      </w:pPr>
    </w:p>
    <w:tbl>
      <w:tblPr>
        <w:tblW w:type="auto" w:w="0"/>
        <w:jc w:val="center"/>
        <w:tblLook w:firstColumn="1" w:firstRow="1" w:lastColumn="0" w:lastRow="0" w:noHBand="0" w:noVBand="1" w:val="04A0"/>
      </w:tblPr>
      <w:tblGrid>
        <w:gridCol w:w="9746"/>
      </w:tblGrid>
      <w:tr>
        <w:tc>
          <w:tcPr>
            <w:tcW w:type="dxa" w:w="9746"/>
            <w:shd w:val="clear" w:color="auto" w:fill="FDF1E6"/>
            <w:tcBorders>
              <w:top w:val="single" w:sz="4" w:color="E8C79A"/>
              <w:left w:val="single" w:sz="4" w:color="E8C79A"/>
              <w:bottom w:val="single" w:sz="4" w:color="E8C79A"/>
              <w:right w:val="single" w:sz="4" w:color="E8C79A"/>
            </w:tcBorders>
          </w:tcPr>
          <w:p>
            <w:pPr>
              <w:spacing w:after="40"/>
            </w:pPr>
            <w:r>
              <w:rPr>
                <w:color w:val="4A4A4A"/>
                <w:sz w:val="20"/>
              </w:rPr>
              <w:t>Caveat on the ADC12 enclosure grade. ADC12 is the material called out on a Chinese enclosure-component manufacturer's drawing for a related die-cast sub-component (“Universal Base,” part no. BP18-1Z, from the same casing-partner supply chain — Section 2.6.a); the “GLD ATEX CASE v3” drawing of the main enclosure body itself does not carry its own material callout. ADC12 has been confirmed as the enclosure grade on the basis that the same casing manufacturer's die-cast product line uses this alloy consistently — an extrapolation from the supplier's sub-component drawing, not a direct material callout on the main enclosure drawing. This should be verified against the casing partner's own datasheet for the enclosure body before formal ExCB submission.</w:t>
            </w:r>
          </w:p>
        </w:tc>
      </w:tr>
    </w:tbl>
    <w:p>
      <w:pPr>
        <w:spacing w:after="80"/>
      </w:pPr>
    </w:p>
    <w:tbl>
      <w:tblPr>
        <w:tblW w:type="auto" w:w="0"/>
        <w:jc w:val="center"/>
        <w:tblLook w:firstColumn="1" w:firstRow="1" w:lastColumn="0" w:lastRow="0" w:noHBand="0" w:noVBand="1" w:val="04A0"/>
      </w:tblPr>
      <w:tblGrid>
        <w:gridCol w:w="9746"/>
      </w:tblGrid>
      <w:tr>
        <w:tc>
          <w:tcPr>
            <w:tcW w:type="dxa" w:w="9746"/>
            <w:shd w:val="clear" w:color="auto" w:fill="FDF1E6"/>
            <w:tcBorders>
              <w:top w:val="single" w:sz="4" w:color="E8C79A"/>
              <w:left w:val="single" w:sz="4" w:color="E8C79A"/>
              <w:bottom w:val="single" w:sz="4" w:color="E8C79A"/>
              <w:right w:val="single" w:sz="4" w:color="E8C79A"/>
            </w:tcBorders>
          </w:tcPr>
          <w:p>
            <w:pPr>
              <w:spacing w:after="40"/>
            </w:pPr>
            <w:r>
              <w:rPr>
                <w:color w:val="4A4A4A"/>
                <w:sz w:val="20"/>
              </w:rPr>
              <w:t>Caveat on cable gland. M20×1.5 matches the thread size used on the BP18-1Z reference drawing from the same casing manufacturer (Section 2.6.a) and is a standard, IP66-rated gland size well suited to a 2-conductor cable with ≈0.75 mm conductors — selected by engineering judgment from that reference, not from an independent gland datasheet or fit test on GLD's own enclosure. This should be confirmed by test/fit-check before formal ExCB submission. The operating temperature and humidity ranges above are current project-specification values (24 Sep 2026), not yet documented against a calibrated test record.</w:t>
            </w:r>
          </w:p>
        </w:tc>
      </w:tr>
    </w:tbl>
    <w:p>
      <w:pPr>
        <w:spacing w:after="80"/>
      </w:pPr>
    </w:p>
    <w:p>
      <w:pPr>
        <w:spacing w:after="160"/>
      </w:pPr>
      <w:r>
        <w:rPr>
          <w:b w:val="0"/>
          <w:i w:val="0"/>
          <w:sz w:val="21"/>
        </w:rPr>
        <w:t>Three operating modes are distinguished at firmware level:</w:t>
      </w:r>
    </w:p>
    <w:tbl>
      <w:tblPr>
        <w:tblStyle w:val="TableGrid"/>
        <w:tblW w:type="auto" w:w="0"/>
        <w:jc w:val="center"/>
        <w:tblLook w:firstColumn="1" w:firstRow="1" w:lastColumn="0" w:lastRow="0" w:noHBand="0" w:noVBand="1" w:val="04A0"/>
      </w:tblPr>
      <w:tblGrid>
        <w:gridCol w:w="3249"/>
        <w:gridCol w:w="3249"/>
        <w:gridCol w:w="3249"/>
      </w:tblGrid>
      <w:tr>
        <w:tc>
          <w:tcPr>
            <w:tcW w:type="dxa" w:w="1872"/>
            <w:shd w:val="clear" w:color="auto" w:fill="EFEFEF"/>
          </w:tcPr>
          <w:p>
            <w:pPr>
              <w:spacing w:after="40"/>
            </w:pPr>
            <w:r>
              <w:rPr>
                <w:b/>
                <w:color w:val="4A4A4A"/>
                <w:sz w:val="18"/>
              </w:rPr>
              <w:t>Mode</w:t>
            </w:r>
          </w:p>
        </w:tc>
        <w:tc>
          <w:tcPr>
            <w:tcW w:type="dxa" w:w="4464"/>
            <w:shd w:val="clear" w:color="auto" w:fill="EFEFEF"/>
          </w:tcPr>
          <w:p>
            <w:pPr>
              <w:spacing w:after="40"/>
            </w:pPr>
            <w:r>
              <w:rPr>
                <w:b/>
                <w:color w:val="4A4A4A"/>
                <w:sz w:val="18"/>
              </w:rPr>
              <w:t>Purpose</w:t>
            </w:r>
          </w:p>
        </w:tc>
        <w:tc>
          <w:tcPr>
            <w:tcW w:type="dxa" w:w="3312"/>
            <w:shd w:val="clear" w:color="auto" w:fill="EFEFEF"/>
          </w:tcPr>
          <w:p>
            <w:pPr>
              <w:spacing w:after="40"/>
            </w:pPr>
            <w:r>
              <w:rPr>
                <w:b/>
                <w:color w:val="4A4A4A"/>
                <w:sz w:val="18"/>
              </w:rPr>
              <w:t>Use restriction</w:t>
            </w:r>
          </w:p>
        </w:tc>
      </w:tr>
      <w:tr>
        <w:tc>
          <w:tcPr>
            <w:tcW w:type="dxa" w:w="1872"/>
          </w:tcPr>
          <w:p>
            <w:pPr>
              <w:spacing w:after="40"/>
            </w:pPr>
            <w:r>
              <w:rPr>
                <w:sz w:val="19"/>
              </w:rPr>
              <w:t>Inference</w:t>
            </w:r>
          </w:p>
        </w:tc>
        <w:tc>
          <w:tcPr>
            <w:tcW w:type="dxa" w:w="4464"/>
          </w:tcPr>
          <w:p>
            <w:pPr>
              <w:spacing w:after="40"/>
            </w:pPr>
            <w:r>
              <w:rPr>
                <w:sz w:val="19"/>
              </w:rPr>
              <w:t>Normal gas-class inference and alarm operation</w:t>
            </w:r>
          </w:p>
        </w:tc>
        <w:tc>
          <w:tcPr>
            <w:tcW w:type="dxa" w:w="3312"/>
          </w:tcPr>
          <w:p>
            <w:pPr>
              <w:spacing w:after="40"/>
            </w:pPr>
            <w:r>
              <w:rPr>
                <w:sz w:val="19"/>
              </w:rPr>
              <w:t>Production operating mode after commissioning</w:t>
            </w:r>
          </w:p>
        </w:tc>
      </w:tr>
      <w:tr>
        <w:tc>
          <w:tcPr>
            <w:tcW w:type="dxa" w:w="1872"/>
          </w:tcPr>
          <w:p>
            <w:pPr>
              <w:spacing w:after="40"/>
            </w:pPr>
            <w:r>
              <w:rPr>
                <w:sz w:val="19"/>
              </w:rPr>
              <w:t>Dataset</w:t>
            </w:r>
          </w:p>
        </w:tc>
        <w:tc>
          <w:tcPr>
            <w:tcW w:type="dxa" w:w="4464"/>
          </w:tcPr>
          <w:p>
            <w:pPr>
              <w:spacing w:after="40"/>
            </w:pPr>
            <w:r>
              <w:rPr>
                <w:sz w:val="19"/>
              </w:rPr>
              <w:t>Engineering / data-collection activity</w:t>
            </w:r>
          </w:p>
        </w:tc>
        <w:tc>
          <w:tcPr>
            <w:tcW w:type="dxa" w:w="3312"/>
          </w:tcPr>
          <w:p>
            <w:pPr>
              <w:spacing w:after="40"/>
            </w:pPr>
            <w:r>
              <w:rPr>
                <w:sz w:val="19"/>
              </w:rPr>
              <w:t>Not a substitute for approved detection operation</w:t>
            </w:r>
          </w:p>
        </w:tc>
      </w:tr>
      <w:tr>
        <w:tc>
          <w:tcPr>
            <w:tcW w:type="dxa" w:w="1872"/>
          </w:tcPr>
          <w:p>
            <w:pPr>
              <w:spacing w:after="40"/>
            </w:pPr>
            <w:r>
              <w:rPr>
                <w:sz w:val="19"/>
              </w:rPr>
              <w:t>Nulling</w:t>
            </w:r>
          </w:p>
        </w:tc>
        <w:tc>
          <w:tcPr>
            <w:tcW w:type="dxa" w:w="4464"/>
          </w:tcPr>
          <w:p>
            <w:pPr>
              <w:spacing w:after="40"/>
            </w:pPr>
            <w:r>
              <w:rPr>
                <w:sz w:val="19"/>
              </w:rPr>
              <w:t>Sensor baseline / calibration activity</w:t>
            </w:r>
          </w:p>
        </w:tc>
        <w:tc>
          <w:tcPr>
            <w:tcW w:type="dxa" w:w="3312"/>
          </w:tcPr>
          <w:p>
            <w:pPr>
              <w:spacing w:after="40"/>
            </w:pPr>
            <w:r>
              <w:rPr>
                <w:sz w:val="19"/>
              </w:rPr>
              <w:t>Clean air only; approved procedure; requires complete 8/8 result</w:t>
            </w:r>
          </w:p>
        </w:tc>
      </w:tr>
    </w:tbl>
    <w:p>
      <w:pPr>
        <w:spacing w:after="120"/>
      </w:pPr>
    </w:p>
    <w:p>
      <w:pPr>
        <w:pStyle w:val="Heading2"/>
      </w:pPr>
      <w:r>
        <w:t>2.4 · Clear Product Photos (Overall and Key Components)</w:t>
      </w:r>
    </w:p>
    <w:p>
      <w:pPr>
        <w:spacing w:after="160"/>
      </w:pPr>
      <w:r>
        <w:rPr>
          <w:b w:val="0"/>
          <w:i w:val="0"/>
          <w:sz w:val="21"/>
        </w:rPr>
        <w:t>The photographs below were taken directly from the Node Sensor (GLD) V2 prototype unit.</w:t>
      </w:r>
    </w:p>
    <w:p>
      <w:pPr>
        <w:jc w:val="center"/>
      </w:pPr>
      <w:r>
        <w:drawing>
          <wp:inline xmlns:a="http://schemas.openxmlformats.org/drawingml/2006/main" xmlns:pic="http://schemas.openxmlformats.org/drawingml/2006/picture">
            <wp:extent cx="1987074" cy="3291840"/>
            <wp:docPr id="1" name="Picture 1"/>
            <wp:cNvGraphicFramePr>
              <a:graphicFrameLocks noChangeAspect="1"/>
            </wp:cNvGraphicFramePr>
            <a:graphic>
              <a:graphicData uri="http://schemas.openxmlformats.org/drawingml/2006/picture">
                <pic:pic>
                  <pic:nvPicPr>
                    <pic:cNvPr id="0" name="3._Motherboard_ModulSensor_PenutupMesh_Casing_Antena_ModulAlarm.jpg"/>
                    <pic:cNvPicPr/>
                  </pic:nvPicPr>
                  <pic:blipFill>
                    <a:blip r:embed="rId11"/>
                    <a:stretch>
                      <a:fillRect/>
                    </a:stretch>
                  </pic:blipFill>
                  <pic:spPr>
                    <a:xfrm>
                      <a:off x="0" y="0"/>
                      <a:ext cx="1987074" cy="3291840"/>
                    </a:xfrm>
                    <a:prstGeom prst="rect"/>
                  </pic:spPr>
                </pic:pic>
              </a:graphicData>
            </a:graphic>
          </wp:inline>
        </w:drawing>
      </w:r>
    </w:p>
    <w:p>
      <w:pPr>
        <w:spacing w:after="240"/>
        <w:jc w:val="center"/>
      </w:pPr>
      <w:r>
        <w:rPr>
          <w:i/>
          <w:color w:val="4A4A4A"/>
          <w:sz w:val="17"/>
        </w:rPr>
        <w:t>Assembled unit — motherboard, sensor module, mesh cover, casing, external antenna, and local alarm module.</w:t>
      </w:r>
    </w:p>
    <w:p>
      <w:pPr>
        <w:jc w:val="center"/>
      </w:pPr>
      <w:r>
        <w:drawing>
          <wp:inline xmlns:a="http://schemas.openxmlformats.org/drawingml/2006/main" xmlns:pic="http://schemas.openxmlformats.org/drawingml/2006/picture">
            <wp:extent cx="2468880" cy="3291840"/>
            <wp:docPr id="2" name="Picture 2"/>
            <wp:cNvGraphicFramePr>
              <a:graphicFrameLocks noChangeAspect="1"/>
            </wp:cNvGraphicFramePr>
            <a:graphic>
              <a:graphicData uri="http://schemas.openxmlformats.org/drawingml/2006/picture">
                <pic:pic>
                  <pic:nvPicPr>
                    <pic:cNvPr id="0" name="Casing_Belakang.jpg"/>
                    <pic:cNvPicPr/>
                  </pic:nvPicPr>
                  <pic:blipFill>
                    <a:blip r:embed="rId12"/>
                    <a:stretch>
                      <a:fillRect/>
                    </a:stretch>
                  </pic:blipFill>
                  <pic:spPr>
                    <a:xfrm>
                      <a:off x="0" y="0"/>
                      <a:ext cx="2468880" cy="3291840"/>
                    </a:xfrm>
                    <a:prstGeom prst="rect"/>
                  </pic:spPr>
                </pic:pic>
              </a:graphicData>
            </a:graphic>
          </wp:inline>
        </w:drawing>
      </w:r>
    </w:p>
    <w:p>
      <w:pPr>
        <w:spacing w:after="240"/>
        <w:jc w:val="center"/>
      </w:pPr>
      <w:r>
        <w:rPr>
          <w:i/>
          <w:color w:val="4A4A4A"/>
          <w:sz w:val="17"/>
        </w:rPr>
        <w:t>Enclosure, rear view — mounting flange and cable-entry area.</w:t>
      </w:r>
    </w:p>
    <w:p>
      <w:pPr>
        <w:pStyle w:val="Heading4"/>
      </w:pPr>
      <w:r>
        <w:t>2.4.2 Current production configuration — assembly photo set (7 October 2026)</w:t>
      </w:r>
    </w:p>
    <w:p>
      <w:pPr>
        <w:spacing w:after="120"/>
      </w:pPr>
      <w:r>
        <w:rPr>
          <w:sz w:val="19"/>
        </w:rPr>
        <w:t>Photographs of one unit of the current production configuration (latest enclosure and main board), taken in assembly order from the empty base enclosure to the closed unit. No Ex marking is shown; the MQ sensor mesh is not described as flame-arresting.</w:t>
      </w:r>
    </w:p>
    <w:tbl>
      <w:tblPr>
        <w:tblW w:type="auto" w:w="0"/>
        <w:jc w:val="center"/>
        <w:tblLook w:firstColumn="1" w:firstRow="1" w:lastColumn="0" w:lastRow="0" w:noHBand="0" w:noVBand="1" w:val="04A0"/>
      </w:tblPr>
      <w:tblGrid>
        <w:gridCol w:w="4873"/>
        <w:gridCol w:w="4873"/>
      </w:tblGrid>
      <w:tr>
        <w:tc>
          <w:tcPr>
            <w:tcW w:type="dxa" w:w="4873"/>
          </w:tcPr>
          <w:p>
            <w:pPr>
              <w:jc w:val="center"/>
            </w:pPr>
            <w:r>
              <w:drawing>
                <wp:inline xmlns:a="http://schemas.openxmlformats.org/drawingml/2006/main" xmlns:pic="http://schemas.openxmlformats.org/drawingml/2006/picture">
                  <wp:extent cx="2125980" cy="2834640"/>
                  <wp:docPr id="3" name="Picture 3"/>
                  <wp:cNvGraphicFramePr>
                    <a:graphicFrameLocks noChangeAspect="1"/>
                  </wp:cNvGraphicFramePr>
                  <a:graphic>
                    <a:graphicData uri="http://schemas.openxmlformats.org/drawingml/2006/picture">
                      <pic:pic>
                        <pic:nvPicPr>
                          <pic:cNvPr id="0" name="IMG_14.02.34.jpg"/>
                          <pic:cNvPicPr/>
                        </pic:nvPicPr>
                        <pic:blipFill>
                          <a:blip r:embed="rId13"/>
                          <a:stretch>
                            <a:fillRect/>
                          </a:stretch>
                        </pic:blipFill>
                        <pic:spPr>
                          <a:xfrm>
                            <a:off x="0" y="0"/>
                            <a:ext cx="2125980" cy="2834640"/>
                          </a:xfrm>
                          <a:prstGeom prst="rect"/>
                        </pic:spPr>
                      </pic:pic>
                    </a:graphicData>
                  </a:graphic>
                </wp:inline>
              </w:drawing>
            </w:r>
          </w:p>
          <w:p>
            <w:pPr>
              <w:spacing w:after="160"/>
              <w:jc w:val="center"/>
            </w:pPr>
            <w:r>
              <w:rPr>
                <w:b/>
                <w:color w:val="1B335F"/>
                <w:sz w:val="17"/>
              </w:rPr>
              <w:t>Figure 4-101. GLD V2 – Base enclosure before assembly.</w:t>
              <w:br/>
            </w:r>
            <w:r>
              <w:rPr>
                <w:color w:val="555B66"/>
                <w:sz w:val="16"/>
              </w:rPr>
              <w:t>Machined bore of the base enclosure with the PCB mounting bosses; the external antenna is fitted at the top and its internal coaxial lead (U.FL) is routed inside.</w:t>
            </w:r>
          </w:p>
        </w:tc>
        <w:tc>
          <w:tcPr>
            <w:tcW w:type="dxa" w:w="4873"/>
          </w:tcPr>
          <w:p>
            <w:pPr>
              <w:jc w:val="center"/>
            </w:pPr>
            <w:r>
              <w:drawing>
                <wp:inline xmlns:a="http://schemas.openxmlformats.org/drawingml/2006/main" xmlns:pic="http://schemas.openxmlformats.org/drawingml/2006/picture">
                  <wp:extent cx="2125980" cy="2834640"/>
                  <wp:docPr id="4" name="Picture 4"/>
                  <wp:cNvGraphicFramePr>
                    <a:graphicFrameLocks noChangeAspect="1"/>
                  </wp:cNvGraphicFramePr>
                  <a:graphic>
                    <a:graphicData uri="http://schemas.openxmlformats.org/drawingml/2006/picture">
                      <pic:pic>
                        <pic:nvPicPr>
                          <pic:cNvPr id="0" name="IMG_14.03.09.jpg"/>
                          <pic:cNvPicPr/>
                        </pic:nvPicPr>
                        <pic:blipFill>
                          <a:blip r:embed="rId14"/>
                          <a:stretch>
                            <a:fillRect/>
                          </a:stretch>
                        </pic:blipFill>
                        <pic:spPr>
                          <a:xfrm>
                            <a:off x="0" y="0"/>
                            <a:ext cx="2125980" cy="2834640"/>
                          </a:xfrm>
                          <a:prstGeom prst="rect"/>
                        </pic:spPr>
                      </pic:pic>
                    </a:graphicData>
                  </a:graphic>
                </wp:inline>
              </w:drawing>
            </w:r>
          </w:p>
          <w:p>
            <w:pPr>
              <w:spacing w:after="160"/>
              <w:jc w:val="center"/>
            </w:pPr>
            <w:r>
              <w:rPr>
                <w:b/>
                <w:color w:val="1B335F"/>
                <w:sz w:val="17"/>
              </w:rPr>
              <w:t>Figure 4-102. GLD V2 – Main board placed in the base enclosure.</w:t>
              <w:br/>
            </w:r>
            <w:r>
              <w:rPr>
                <w:color w:val="555B66"/>
                <w:sz w:val="16"/>
              </w:rPr>
              <w:t>Main PCB with the ESP32-S3 module and LoRa module seated on the mounting bosses.</w:t>
            </w:r>
          </w:p>
        </w:tc>
      </w:tr>
      <w:tr>
        <w:tc>
          <w:tcPr>
            <w:tcW w:type="dxa" w:w="4873"/>
          </w:tcPr>
          <w:p>
            <w:pPr>
              <w:jc w:val="center"/>
            </w:pPr>
            <w:r>
              <w:drawing>
                <wp:inline xmlns:a="http://schemas.openxmlformats.org/drawingml/2006/main" xmlns:pic="http://schemas.openxmlformats.org/drawingml/2006/picture">
                  <wp:extent cx="2125980" cy="2834640"/>
                  <wp:docPr id="5" name="Picture 5"/>
                  <wp:cNvGraphicFramePr>
                    <a:graphicFrameLocks noChangeAspect="1"/>
                  </wp:cNvGraphicFramePr>
                  <a:graphic>
                    <a:graphicData uri="http://schemas.openxmlformats.org/drawingml/2006/picture">
                      <pic:pic>
                        <pic:nvPicPr>
                          <pic:cNvPr id="0" name="IMG_14.03.33.jpg"/>
                          <pic:cNvPicPr/>
                        </pic:nvPicPr>
                        <pic:blipFill>
                          <a:blip r:embed="rId15"/>
                          <a:stretch>
                            <a:fillRect/>
                          </a:stretch>
                        </pic:blipFill>
                        <pic:spPr>
                          <a:xfrm>
                            <a:off x="0" y="0"/>
                            <a:ext cx="2125980" cy="2834640"/>
                          </a:xfrm>
                          <a:prstGeom prst="rect"/>
                        </pic:spPr>
                      </pic:pic>
                    </a:graphicData>
                  </a:graphic>
                </wp:inline>
              </w:drawing>
            </w:r>
          </w:p>
          <w:p>
            <w:pPr>
              <w:spacing w:after="160"/>
              <w:jc w:val="center"/>
            </w:pPr>
            <w:r>
              <w:rPr>
                <w:b/>
                <w:color w:val="1B335F"/>
                <w:sz w:val="17"/>
              </w:rPr>
              <w:t>Figure 4-103. GLD V2 – Antenna lead connected to the main board.</w:t>
              <w:br/>
            </w:r>
            <w:r>
              <w:rPr>
                <w:color w:val="555B66"/>
                <w:sz w:val="16"/>
              </w:rPr>
              <w:t>U.FL coaxial connector of the antenna lead plugged onto the main board.</w:t>
            </w:r>
          </w:p>
        </w:tc>
        <w:tc>
          <w:tcPr>
            <w:tcW w:type="dxa" w:w="4873"/>
          </w:tcPr>
          <w:p>
            <w:pPr>
              <w:jc w:val="center"/>
            </w:pPr>
            <w:r>
              <w:drawing>
                <wp:inline xmlns:a="http://schemas.openxmlformats.org/drawingml/2006/main" xmlns:pic="http://schemas.openxmlformats.org/drawingml/2006/picture">
                  <wp:extent cx="2125980" cy="2834640"/>
                  <wp:docPr id="6" name="Picture 6"/>
                  <wp:cNvGraphicFramePr>
                    <a:graphicFrameLocks noChangeAspect="1"/>
                  </wp:cNvGraphicFramePr>
                  <a:graphic>
                    <a:graphicData uri="http://schemas.openxmlformats.org/drawingml/2006/picture">
                      <pic:pic>
                        <pic:nvPicPr>
                          <pic:cNvPr id="0" name="IMG_14.03.58.jpg"/>
                          <pic:cNvPicPr/>
                        </pic:nvPicPr>
                        <pic:blipFill>
                          <a:blip r:embed="rId16"/>
                          <a:stretch>
                            <a:fillRect/>
                          </a:stretch>
                        </pic:blipFill>
                        <pic:spPr>
                          <a:xfrm>
                            <a:off x="0" y="0"/>
                            <a:ext cx="2125980" cy="2834640"/>
                          </a:xfrm>
                          <a:prstGeom prst="rect"/>
                        </pic:spPr>
                      </pic:pic>
                    </a:graphicData>
                  </a:graphic>
                </wp:inline>
              </w:drawing>
            </w:r>
          </w:p>
          <w:p>
            <w:pPr>
              <w:spacing w:after="160"/>
              <w:jc w:val="center"/>
            </w:pPr>
            <w:r>
              <w:rPr>
                <w:b/>
                <w:color w:val="1B335F"/>
                <w:sz w:val="17"/>
              </w:rPr>
              <w:t>Figure 4-104. GLD V2 – PCB cover / terminal board fitted.</w:t>
              <w:br/>
            </w:r>
            <w:r>
              <w:rPr>
                <w:color w:val="555B66"/>
                <w:sz w:val="16"/>
              </w:rPr>
              <w:t>Terminal board with screw terminals labelled RS485 A/B, FAN 5V/0V, ALARM, BAT −/+ and 24V +/−; eight 2×4 headers for the sensor modules and a micro-USB service port.</w:t>
            </w:r>
          </w:p>
        </w:tc>
      </w:tr>
      <w:tr>
        <w:tc>
          <w:tcPr>
            <w:tcW w:type="dxa" w:w="4873"/>
          </w:tcPr>
          <w:p>
            <w:pPr>
              <w:jc w:val="center"/>
            </w:pPr>
            <w:r>
              <w:drawing>
                <wp:inline xmlns:a="http://schemas.openxmlformats.org/drawingml/2006/main" xmlns:pic="http://schemas.openxmlformats.org/drawingml/2006/picture">
                  <wp:extent cx="2125980" cy="2834640"/>
                  <wp:docPr id="7" name="Picture 7"/>
                  <wp:cNvGraphicFramePr>
                    <a:graphicFrameLocks noChangeAspect="1"/>
                  </wp:cNvGraphicFramePr>
                  <a:graphic>
                    <a:graphicData uri="http://schemas.openxmlformats.org/drawingml/2006/picture">
                      <pic:pic>
                        <pic:nvPicPr>
                          <pic:cNvPr id="0" name="IMG_14.04.17.jpg"/>
                          <pic:cNvPicPr/>
                        </pic:nvPicPr>
                        <pic:blipFill>
                          <a:blip r:embed="rId17"/>
                          <a:stretch>
                            <a:fillRect/>
                          </a:stretch>
                        </pic:blipFill>
                        <pic:spPr>
                          <a:xfrm>
                            <a:off x="0" y="0"/>
                            <a:ext cx="2125980" cy="2834640"/>
                          </a:xfrm>
                          <a:prstGeom prst="rect"/>
                        </pic:spPr>
                      </pic:pic>
                    </a:graphicData>
                  </a:graphic>
                </wp:inline>
              </w:drawing>
            </w:r>
          </w:p>
          <w:p>
            <w:pPr>
              <w:spacing w:after="160"/>
              <w:jc w:val="center"/>
            </w:pPr>
            <w:r>
              <w:rPr>
                <w:b/>
                <w:color w:val="1B335F"/>
                <w:sz w:val="17"/>
              </w:rPr>
              <w:t>Figure 4-105. GLD V2 – Sensor module.</w:t>
              <w:br/>
            </w:r>
            <w:r>
              <w:rPr>
                <w:color w:val="555B66"/>
                <w:sz w:val="16"/>
              </w:rPr>
              <w:t>MQ-series sensor with its integrated stainless-steel protective mesh, mounted on a round carrier board.</w:t>
            </w:r>
          </w:p>
        </w:tc>
        <w:tc>
          <w:tcPr>
            <w:tcW w:type="dxa" w:w="4873"/>
          </w:tcPr>
          <w:p>
            <w:pPr>
              <w:jc w:val="center"/>
            </w:pPr>
            <w:r>
              <w:drawing>
                <wp:inline xmlns:a="http://schemas.openxmlformats.org/drawingml/2006/main" xmlns:pic="http://schemas.openxmlformats.org/drawingml/2006/picture">
                  <wp:extent cx="2125980" cy="2834640"/>
                  <wp:docPr id="8" name="Picture 8"/>
                  <wp:cNvGraphicFramePr>
                    <a:graphicFrameLocks noChangeAspect="1"/>
                  </wp:cNvGraphicFramePr>
                  <a:graphic>
                    <a:graphicData uri="http://schemas.openxmlformats.org/drawingml/2006/picture">
                      <pic:pic>
                        <pic:nvPicPr>
                          <pic:cNvPr id="0" name="IMG_14.04.34.jpg"/>
                          <pic:cNvPicPr/>
                        </pic:nvPicPr>
                        <pic:blipFill>
                          <a:blip r:embed="rId18"/>
                          <a:stretch>
                            <a:fillRect/>
                          </a:stretch>
                        </pic:blipFill>
                        <pic:spPr>
                          <a:xfrm>
                            <a:off x="0" y="0"/>
                            <a:ext cx="2125980" cy="2834640"/>
                          </a:xfrm>
                          <a:prstGeom prst="rect"/>
                        </pic:spPr>
                      </pic:pic>
                    </a:graphicData>
                  </a:graphic>
                </wp:inline>
              </w:drawing>
            </w:r>
          </w:p>
          <w:p>
            <w:pPr>
              <w:spacing w:after="160"/>
              <w:jc w:val="center"/>
            </w:pPr>
            <w:r>
              <w:rPr>
                <w:b/>
                <w:color w:val="1B335F"/>
                <w:sz w:val="17"/>
              </w:rPr>
              <w:t>Figure 4-106. GLD V2 – Sensor module being inserted.</w:t>
              <w:br/>
            </w:r>
            <w:r>
              <w:rPr>
                <w:color w:val="555B66"/>
                <w:sz w:val="16"/>
              </w:rPr>
              <w:t>Sensor module plugged into one of the eight headers.</w:t>
            </w:r>
          </w:p>
        </w:tc>
      </w:tr>
      <w:tr>
        <w:tc>
          <w:tcPr>
            <w:tcW w:type="dxa" w:w="4873"/>
          </w:tcPr>
          <w:p>
            <w:pPr>
              <w:jc w:val="center"/>
            </w:pPr>
            <w:r>
              <w:drawing>
                <wp:inline xmlns:a="http://schemas.openxmlformats.org/drawingml/2006/main" xmlns:pic="http://schemas.openxmlformats.org/drawingml/2006/picture">
                  <wp:extent cx="2125980" cy="2834640"/>
                  <wp:docPr id="9" name="Picture 9"/>
                  <wp:cNvGraphicFramePr>
                    <a:graphicFrameLocks noChangeAspect="1"/>
                  </wp:cNvGraphicFramePr>
                  <a:graphic>
                    <a:graphicData uri="http://schemas.openxmlformats.org/drawingml/2006/picture">
                      <pic:pic>
                        <pic:nvPicPr>
                          <pic:cNvPr id="0" name="IMG_14.04.49.jpg"/>
                          <pic:cNvPicPr/>
                        </pic:nvPicPr>
                        <pic:blipFill>
                          <a:blip r:embed="rId19"/>
                          <a:stretch>
                            <a:fillRect/>
                          </a:stretch>
                        </pic:blipFill>
                        <pic:spPr>
                          <a:xfrm>
                            <a:off x="0" y="0"/>
                            <a:ext cx="2125980" cy="2834640"/>
                          </a:xfrm>
                          <a:prstGeom prst="rect"/>
                        </pic:spPr>
                      </pic:pic>
                    </a:graphicData>
                  </a:graphic>
                </wp:inline>
              </w:drawing>
            </w:r>
          </w:p>
          <w:p>
            <w:pPr>
              <w:spacing w:after="160"/>
              <w:jc w:val="center"/>
            </w:pPr>
            <w:r>
              <w:rPr>
                <w:b/>
                <w:color w:val="1B335F"/>
                <w:sz w:val="17"/>
              </w:rPr>
              <w:t>Figure 4-107. GLD V2 – Sensor modules fitted.</w:t>
              <w:br/>
            </w:r>
            <w:r>
              <w:rPr>
                <w:color w:val="555B66"/>
                <w:sz w:val="16"/>
              </w:rPr>
              <w:t>Sensor modules installed on the terminal board positions.</w:t>
            </w:r>
          </w:p>
        </w:tc>
        <w:tc>
          <w:tcPr>
            <w:tcW w:type="dxa" w:w="4873"/>
          </w:tcPr>
          <w:p>
            <w:pPr>
              <w:jc w:val="center"/>
            </w:pPr>
            <w:r>
              <w:drawing>
                <wp:inline xmlns:a="http://schemas.openxmlformats.org/drawingml/2006/main" xmlns:pic="http://schemas.openxmlformats.org/drawingml/2006/picture">
                  <wp:extent cx="2125980" cy="2834640"/>
                  <wp:docPr id="10" name="Picture 10"/>
                  <wp:cNvGraphicFramePr>
                    <a:graphicFrameLocks noChangeAspect="1"/>
                  </wp:cNvGraphicFramePr>
                  <a:graphic>
                    <a:graphicData uri="http://schemas.openxmlformats.org/drawingml/2006/picture">
                      <pic:pic>
                        <pic:nvPicPr>
                          <pic:cNvPr id="0" name="IMG_14.05.01.jpg"/>
                          <pic:cNvPicPr/>
                        </pic:nvPicPr>
                        <pic:blipFill>
                          <a:blip r:embed="rId20"/>
                          <a:stretch>
                            <a:fillRect/>
                          </a:stretch>
                        </pic:blipFill>
                        <pic:spPr>
                          <a:xfrm>
                            <a:off x="0" y="0"/>
                            <a:ext cx="2125980" cy="2834640"/>
                          </a:xfrm>
                          <a:prstGeom prst="rect"/>
                        </pic:spPr>
                      </pic:pic>
                    </a:graphicData>
                  </a:graphic>
                </wp:inline>
              </w:drawing>
            </w:r>
          </w:p>
          <w:p>
            <w:pPr>
              <w:spacing w:after="160"/>
              <w:jc w:val="center"/>
            </w:pPr>
            <w:r>
              <w:rPr>
                <w:b/>
                <w:color w:val="1B335F"/>
                <w:sz w:val="17"/>
              </w:rPr>
              <w:t>Figure 4-108. GLD V2 – DC sampling fan.</w:t>
              <w:br/>
            </w:r>
            <w:r>
              <w:rPr>
                <w:color w:val="555B66"/>
                <w:sz w:val="16"/>
              </w:rPr>
              <w:t>CIXIKEJI DC brushless fan, model CX5010B5H, DC 5 V 0.23 A (label marks CE, FC, RoHS), with ferrule-terminated leads.</w:t>
            </w:r>
          </w:p>
        </w:tc>
      </w:tr>
      <w:tr>
        <w:tc>
          <w:tcPr>
            <w:tcW w:type="dxa" w:w="4873"/>
          </w:tcPr>
          <w:p>
            <w:pPr>
              <w:jc w:val="center"/>
            </w:pPr>
            <w:r>
              <w:drawing>
                <wp:inline xmlns:a="http://schemas.openxmlformats.org/drawingml/2006/main" xmlns:pic="http://schemas.openxmlformats.org/drawingml/2006/picture">
                  <wp:extent cx="2653223" cy="2834640"/>
                  <wp:docPr id="11" name="Picture 11"/>
                  <wp:cNvGraphicFramePr>
                    <a:graphicFrameLocks noChangeAspect="1"/>
                  </wp:cNvGraphicFramePr>
                  <a:graphic>
                    <a:graphicData uri="http://schemas.openxmlformats.org/drawingml/2006/picture">
                      <pic:pic>
                        <pic:nvPicPr>
                          <pic:cNvPr id="0" name="IMG_14.05.32.jpg"/>
                          <pic:cNvPicPr/>
                        </pic:nvPicPr>
                        <pic:blipFill>
                          <a:blip r:embed="rId21"/>
                          <a:stretch>
                            <a:fillRect/>
                          </a:stretch>
                        </pic:blipFill>
                        <pic:spPr>
                          <a:xfrm>
                            <a:off x="0" y="0"/>
                            <a:ext cx="2653223" cy="2834640"/>
                          </a:xfrm>
                          <a:prstGeom prst="rect"/>
                        </pic:spPr>
                      </pic:pic>
                    </a:graphicData>
                  </a:graphic>
                </wp:inline>
              </w:drawing>
            </w:r>
          </w:p>
          <w:p>
            <w:pPr>
              <w:spacing w:after="160"/>
              <w:jc w:val="center"/>
            </w:pPr>
            <w:r>
              <w:rPr>
                <w:b/>
                <w:color w:val="1B335F"/>
                <w:sz w:val="17"/>
              </w:rPr>
              <w:t>Figure 4-109. GLD V2 – Fan leads terminated.</w:t>
              <w:br/>
            </w:r>
            <w:r>
              <w:rPr>
                <w:color w:val="555B66"/>
                <w:sz w:val="16"/>
              </w:rPr>
              <w:t>Fan leads connected to the FAN 5V/0V terminal.</w:t>
            </w:r>
          </w:p>
        </w:tc>
        <w:tc>
          <w:tcPr>
            <w:tcW w:type="dxa" w:w="4873"/>
          </w:tcPr>
          <w:p>
            <w:pPr>
              <w:jc w:val="center"/>
            </w:pPr>
            <w:r>
              <w:drawing>
                <wp:inline xmlns:a="http://schemas.openxmlformats.org/drawingml/2006/main" xmlns:pic="http://schemas.openxmlformats.org/drawingml/2006/picture">
                  <wp:extent cx="2743200" cy="2570378"/>
                  <wp:docPr id="12" name="Picture 12"/>
                  <wp:cNvGraphicFramePr>
                    <a:graphicFrameLocks noChangeAspect="1"/>
                  </wp:cNvGraphicFramePr>
                  <a:graphic>
                    <a:graphicData uri="http://schemas.openxmlformats.org/drawingml/2006/picture">
                      <pic:pic>
                        <pic:nvPicPr>
                          <pic:cNvPr id="0" name="IMG_14.06.08.jpg"/>
                          <pic:cNvPicPr/>
                        </pic:nvPicPr>
                        <pic:blipFill>
                          <a:blip r:embed="rId22"/>
                          <a:stretch>
                            <a:fillRect/>
                          </a:stretch>
                        </pic:blipFill>
                        <pic:spPr>
                          <a:xfrm>
                            <a:off x="0" y="0"/>
                            <a:ext cx="2743200" cy="2570378"/>
                          </a:xfrm>
                          <a:prstGeom prst="rect"/>
                        </pic:spPr>
                      </pic:pic>
                    </a:graphicData>
                  </a:graphic>
                </wp:inline>
              </w:drawing>
            </w:r>
          </w:p>
          <w:p>
            <w:pPr>
              <w:spacing w:after="160"/>
              <w:jc w:val="center"/>
            </w:pPr>
            <w:r>
              <w:rPr>
                <w:b/>
                <w:color w:val="1B335F"/>
                <w:sz w:val="17"/>
              </w:rPr>
              <w:t>Figure 4-110. GLD V2 – Alarm beacon fitted.</w:t>
              <w:br/>
            </w:r>
            <w:r>
              <w:rPr>
                <w:color w:val="555B66"/>
                <w:sz w:val="16"/>
              </w:rPr>
              <w:t>Visual/audible alarm beacon (stainless-steel body, red dome) threaded into the right-hand entry; its leads are routed to the terminal board.</w:t>
            </w:r>
          </w:p>
        </w:tc>
      </w:tr>
      <w:tr>
        <w:tc>
          <w:tcPr>
            <w:tcW w:type="dxa" w:w="4873"/>
          </w:tcPr>
          <w:p>
            <w:pPr>
              <w:jc w:val="center"/>
            </w:pPr>
            <w:r>
              <w:drawing>
                <wp:inline xmlns:a="http://schemas.openxmlformats.org/drawingml/2006/main" xmlns:pic="http://schemas.openxmlformats.org/drawingml/2006/picture">
                  <wp:extent cx="2743200" cy="2389327"/>
                  <wp:docPr id="13" name="Picture 13"/>
                  <wp:cNvGraphicFramePr>
                    <a:graphicFrameLocks noChangeAspect="1"/>
                  </wp:cNvGraphicFramePr>
                  <a:graphic>
                    <a:graphicData uri="http://schemas.openxmlformats.org/drawingml/2006/picture">
                      <pic:pic>
                        <pic:nvPicPr>
                          <pic:cNvPr id="0" name="IMG_14.07.08.jpg"/>
                          <pic:cNvPicPr/>
                        </pic:nvPicPr>
                        <pic:blipFill>
                          <a:blip r:embed="rId23"/>
                          <a:stretch>
                            <a:fillRect/>
                          </a:stretch>
                        </pic:blipFill>
                        <pic:spPr>
                          <a:xfrm>
                            <a:off x="0" y="0"/>
                            <a:ext cx="2743200" cy="2389327"/>
                          </a:xfrm>
                          <a:prstGeom prst="rect"/>
                        </pic:spPr>
                      </pic:pic>
                    </a:graphicData>
                  </a:graphic>
                </wp:inline>
              </w:drawing>
            </w:r>
          </w:p>
          <w:p>
            <w:pPr>
              <w:spacing w:after="160"/>
              <w:jc w:val="center"/>
            </w:pPr>
            <w:r>
              <w:rPr>
                <w:b/>
                <w:color w:val="1B335F"/>
                <w:sz w:val="17"/>
              </w:rPr>
              <w:t>Figure 4-111. GLD V2 – Alarm leads terminated.</w:t>
              <w:br/>
            </w:r>
            <w:r>
              <w:rPr>
                <w:color w:val="555B66"/>
                <w:sz w:val="16"/>
              </w:rPr>
              <w:t>Beacon leads connected to the ALARM terminal.</w:t>
            </w:r>
          </w:p>
        </w:tc>
        <w:tc>
          <w:tcPr>
            <w:tcW w:type="dxa" w:w="4873"/>
          </w:tcPr>
          <w:p>
            <w:pPr>
              <w:jc w:val="center"/>
            </w:pPr>
            <w:r>
              <w:drawing>
                <wp:inline xmlns:a="http://schemas.openxmlformats.org/drawingml/2006/main" xmlns:pic="http://schemas.openxmlformats.org/drawingml/2006/picture">
                  <wp:extent cx="2743200" cy="2586838"/>
                  <wp:docPr id="14" name="Picture 14"/>
                  <wp:cNvGraphicFramePr>
                    <a:graphicFrameLocks noChangeAspect="1"/>
                  </wp:cNvGraphicFramePr>
                  <a:graphic>
                    <a:graphicData uri="http://schemas.openxmlformats.org/drawingml/2006/picture">
                      <pic:pic>
                        <pic:nvPicPr>
                          <pic:cNvPr id="0" name="IMG_14.08.05.jpg"/>
                          <pic:cNvPicPr/>
                        </pic:nvPicPr>
                        <pic:blipFill>
                          <a:blip r:embed="rId24"/>
                          <a:stretch>
                            <a:fillRect/>
                          </a:stretch>
                        </pic:blipFill>
                        <pic:spPr>
                          <a:xfrm>
                            <a:off x="0" y="0"/>
                            <a:ext cx="2743200" cy="2586838"/>
                          </a:xfrm>
                          <a:prstGeom prst="rect"/>
                        </pic:spPr>
                      </pic:pic>
                    </a:graphicData>
                  </a:graphic>
                </wp:inline>
              </w:drawing>
            </w:r>
          </w:p>
          <w:p>
            <w:pPr>
              <w:spacing w:after="160"/>
              <w:jc w:val="center"/>
            </w:pPr>
            <w:r>
              <w:rPr>
                <w:b/>
                <w:color w:val="1B335F"/>
                <w:sz w:val="17"/>
              </w:rPr>
              <w:t>Figure 4-112. GLD V2 – Cable gland fitted to the left-hand entry.</w:t>
              <w:br/>
            </w:r>
            <w:r>
              <w:rPr>
                <w:color w:val="555B66"/>
                <w:sz w:val="16"/>
              </w:rPr>
              <w:t>Cable gland of the current prototype (black polymer body) installed in the power-cable entry.</w:t>
            </w:r>
          </w:p>
        </w:tc>
      </w:tr>
      <w:tr>
        <w:tc>
          <w:tcPr>
            <w:tcW w:type="dxa" w:w="4873"/>
          </w:tcPr>
          <w:p>
            <w:pPr>
              <w:jc w:val="center"/>
            </w:pPr>
            <w:r>
              <w:drawing>
                <wp:inline xmlns:a="http://schemas.openxmlformats.org/drawingml/2006/main" xmlns:pic="http://schemas.openxmlformats.org/drawingml/2006/picture">
                  <wp:extent cx="2548341" cy="2834640"/>
                  <wp:docPr id="15" name="Picture 15"/>
                  <wp:cNvGraphicFramePr>
                    <a:graphicFrameLocks noChangeAspect="1"/>
                  </wp:cNvGraphicFramePr>
                  <a:graphic>
                    <a:graphicData uri="http://schemas.openxmlformats.org/drawingml/2006/picture">
                      <pic:pic>
                        <pic:nvPicPr>
                          <pic:cNvPr id="0" name="IMG_14.09.23.jpg"/>
                          <pic:cNvPicPr/>
                        </pic:nvPicPr>
                        <pic:blipFill>
                          <a:blip r:embed="rId25"/>
                          <a:stretch>
                            <a:fillRect/>
                          </a:stretch>
                        </pic:blipFill>
                        <pic:spPr>
                          <a:xfrm>
                            <a:off x="0" y="0"/>
                            <a:ext cx="2548341" cy="2834640"/>
                          </a:xfrm>
                          <a:prstGeom prst="rect"/>
                        </pic:spPr>
                      </pic:pic>
                    </a:graphicData>
                  </a:graphic>
                </wp:inline>
              </w:drawing>
            </w:r>
          </w:p>
          <w:p>
            <w:pPr>
              <w:spacing w:after="160"/>
              <w:jc w:val="center"/>
            </w:pPr>
            <w:r>
              <w:rPr>
                <w:b/>
                <w:color w:val="1B335F"/>
                <w:sz w:val="17"/>
              </w:rPr>
              <w:t>Figure 4-113. GLD V2 – 24 VDC cable inserted.</w:t>
              <w:br/>
            </w:r>
            <w:r>
              <w:rPr>
                <w:color w:val="555B66"/>
                <w:sz w:val="16"/>
              </w:rPr>
              <w:t>24 VDC supply cable passed through the cable gland.</w:t>
            </w:r>
          </w:p>
        </w:tc>
        <w:tc>
          <w:tcPr>
            <w:tcW w:type="dxa" w:w="4873"/>
          </w:tcPr>
          <w:p>
            <w:pPr>
              <w:jc w:val="center"/>
            </w:pPr>
            <w:r>
              <w:drawing>
                <wp:inline xmlns:a="http://schemas.openxmlformats.org/drawingml/2006/main" xmlns:pic="http://schemas.openxmlformats.org/drawingml/2006/picture">
                  <wp:extent cx="2743200" cy="2723998"/>
                  <wp:docPr id="16" name="Picture 16"/>
                  <wp:cNvGraphicFramePr>
                    <a:graphicFrameLocks noChangeAspect="1"/>
                  </wp:cNvGraphicFramePr>
                  <a:graphic>
                    <a:graphicData uri="http://schemas.openxmlformats.org/drawingml/2006/picture">
                      <pic:pic>
                        <pic:nvPicPr>
                          <pic:cNvPr id="0" name="IMG_14.10.55.jpg"/>
                          <pic:cNvPicPr/>
                        </pic:nvPicPr>
                        <pic:blipFill>
                          <a:blip r:embed="rId26"/>
                          <a:stretch>
                            <a:fillRect/>
                          </a:stretch>
                        </pic:blipFill>
                        <pic:spPr>
                          <a:xfrm>
                            <a:off x="0" y="0"/>
                            <a:ext cx="2743200" cy="2723998"/>
                          </a:xfrm>
                          <a:prstGeom prst="rect"/>
                        </pic:spPr>
                      </pic:pic>
                    </a:graphicData>
                  </a:graphic>
                </wp:inline>
              </w:drawing>
            </w:r>
          </w:p>
          <w:p>
            <w:pPr>
              <w:spacing w:after="160"/>
              <w:jc w:val="center"/>
            </w:pPr>
            <w:r>
              <w:rPr>
                <w:b/>
                <w:color w:val="1B335F"/>
                <w:sz w:val="17"/>
              </w:rPr>
              <w:t>Figure 4-114. GLD V2 – 24 VDC conductors terminated.</w:t>
              <w:br/>
            </w:r>
            <w:r>
              <w:rPr>
                <w:color w:val="555B66"/>
                <w:sz w:val="16"/>
              </w:rPr>
              <w:t>Supply conductors connected to the 24V +/− terminal.</w:t>
            </w:r>
          </w:p>
        </w:tc>
      </w:tr>
      <w:tr>
        <w:tc>
          <w:tcPr>
            <w:tcW w:type="dxa" w:w="4873"/>
          </w:tcPr>
          <w:p>
            <w:pPr>
              <w:jc w:val="center"/>
            </w:pPr>
            <w:r>
              <w:drawing>
                <wp:inline xmlns:a="http://schemas.openxmlformats.org/drawingml/2006/main" xmlns:pic="http://schemas.openxmlformats.org/drawingml/2006/picture">
                  <wp:extent cx="2743200" cy="2359152"/>
                  <wp:docPr id="17" name="Picture 17"/>
                  <wp:cNvGraphicFramePr>
                    <a:graphicFrameLocks noChangeAspect="1"/>
                  </wp:cNvGraphicFramePr>
                  <a:graphic>
                    <a:graphicData uri="http://schemas.openxmlformats.org/drawingml/2006/picture">
                      <pic:pic>
                        <pic:nvPicPr>
                          <pic:cNvPr id="0" name="IMG_14.12.07.jpg"/>
                          <pic:cNvPicPr/>
                        </pic:nvPicPr>
                        <pic:blipFill>
                          <a:blip r:embed="rId27"/>
                          <a:stretch>
                            <a:fillRect/>
                          </a:stretch>
                        </pic:blipFill>
                        <pic:spPr>
                          <a:xfrm>
                            <a:off x="0" y="0"/>
                            <a:ext cx="2743200" cy="2359152"/>
                          </a:xfrm>
                          <a:prstGeom prst="rect"/>
                        </pic:spPr>
                      </pic:pic>
                    </a:graphicData>
                  </a:graphic>
                </wp:inline>
              </w:drawing>
            </w:r>
          </w:p>
          <w:p>
            <w:pPr>
              <w:spacing w:after="160"/>
              <w:jc w:val="center"/>
            </w:pPr>
            <w:r>
              <w:rPr>
                <w:b/>
                <w:color w:val="1B335F"/>
                <w:sz w:val="17"/>
              </w:rPr>
              <w:t>Figure 4-115. GLD V2 – Cover with sampling fan.</w:t>
              <w:br/>
            </w:r>
            <w:r>
              <w:rPr>
                <w:color w:val="555B66"/>
                <w:sz w:val="16"/>
              </w:rPr>
              <w:t>Enclosure cover with the DC fan mounted directly behind the stainless-steel mesh; cover being fitted.</w:t>
            </w:r>
          </w:p>
        </w:tc>
        <w:tc>
          <w:tcPr>
            <w:tcW w:type="dxa" w:w="4873"/>
          </w:tcPr>
          <w:p>
            <w:pPr>
              <w:jc w:val="center"/>
            </w:pPr>
            <w:r>
              <w:drawing>
                <wp:inline xmlns:a="http://schemas.openxmlformats.org/drawingml/2006/main" xmlns:pic="http://schemas.openxmlformats.org/drawingml/2006/picture">
                  <wp:extent cx="2743200" cy="2328977"/>
                  <wp:docPr id="18" name="Picture 18"/>
                  <wp:cNvGraphicFramePr>
                    <a:graphicFrameLocks noChangeAspect="1"/>
                  </wp:cNvGraphicFramePr>
                  <a:graphic>
                    <a:graphicData uri="http://schemas.openxmlformats.org/drawingml/2006/picture">
                      <pic:pic>
                        <pic:nvPicPr>
                          <pic:cNvPr id="0" name="IMG_14.17.20.jpg"/>
                          <pic:cNvPicPr/>
                        </pic:nvPicPr>
                        <pic:blipFill>
                          <a:blip r:embed="rId28"/>
                          <a:stretch>
                            <a:fillRect/>
                          </a:stretch>
                        </pic:blipFill>
                        <pic:spPr>
                          <a:xfrm>
                            <a:off x="0" y="0"/>
                            <a:ext cx="2743200" cy="2328977"/>
                          </a:xfrm>
                          <a:prstGeom prst="rect"/>
                        </pic:spPr>
                      </pic:pic>
                    </a:graphicData>
                  </a:graphic>
                </wp:inline>
              </w:drawing>
            </w:r>
          </w:p>
          <w:p>
            <w:pPr>
              <w:spacing w:after="160"/>
              <w:jc w:val="center"/>
            </w:pPr>
            <w:r>
              <w:rPr>
                <w:b/>
                <w:color w:val="1B335F"/>
                <w:sz w:val="17"/>
              </w:rPr>
              <w:t>Figure 4-116. GLD V2 – Assembled unit — grounding.</w:t>
              <w:br/>
            </w:r>
            <w:r>
              <w:rPr>
                <w:color w:val="555B66"/>
                <w:sz w:val="16"/>
              </w:rPr>
              <w:t>Cover closed; the external grounding screw beside the cable gland is being tightened.</w:t>
            </w:r>
          </w:p>
        </w:tc>
      </w:tr>
      <w:tr>
        <w:tc>
          <w:tcPr>
            <w:tcW w:type="dxa" w:w="4873"/>
          </w:tcPr>
          <w:p>
            <w:pPr>
              <w:jc w:val="center"/>
            </w:pPr>
            <w:r>
              <w:drawing>
                <wp:inline xmlns:a="http://schemas.openxmlformats.org/drawingml/2006/main" xmlns:pic="http://schemas.openxmlformats.org/drawingml/2006/picture">
                  <wp:extent cx="2743200" cy="2416759"/>
                  <wp:docPr id="19" name="Picture 19"/>
                  <wp:cNvGraphicFramePr>
                    <a:graphicFrameLocks noChangeAspect="1"/>
                  </wp:cNvGraphicFramePr>
                  <a:graphic>
                    <a:graphicData uri="http://schemas.openxmlformats.org/drawingml/2006/picture">
                      <pic:pic>
                        <pic:nvPicPr>
                          <pic:cNvPr id="0" name="IMG_14.34.54.jpg"/>
                          <pic:cNvPicPr/>
                        </pic:nvPicPr>
                        <pic:blipFill>
                          <a:blip r:embed="rId29"/>
                          <a:stretch>
                            <a:fillRect/>
                          </a:stretch>
                        </pic:blipFill>
                        <pic:spPr>
                          <a:xfrm>
                            <a:off x="0" y="0"/>
                            <a:ext cx="2743200" cy="2416759"/>
                          </a:xfrm>
                          <a:prstGeom prst="rect"/>
                        </pic:spPr>
                      </pic:pic>
                    </a:graphicData>
                  </a:graphic>
                </wp:inline>
              </w:drawing>
            </w:r>
          </w:p>
          <w:p>
            <w:pPr>
              <w:spacing w:after="160"/>
              <w:jc w:val="center"/>
            </w:pPr>
            <w:r>
              <w:rPr>
                <w:b/>
                <w:color w:val="1B335F"/>
                <w:sz w:val="17"/>
              </w:rPr>
              <w:t>Figure 4-117. GLD V2 – Threaded cover being closed.</w:t>
              <w:br/>
            </w:r>
            <w:r>
              <w:rPr>
                <w:color w:val="555B66"/>
                <w:sz w:val="16"/>
              </w:rPr>
              <w:t>The threaded cover is screwed onto the base by hand.</w:t>
            </w:r>
          </w:p>
        </w:tc>
        <w:tc>
          <w:tcPr>
            <w:tcW w:type="dxa" w:w="4873"/>
          </w:tcPr>
          <w:p>
            <w:pPr>
              <w:jc w:val="center"/>
            </w:pPr>
            <w:r>
              <w:drawing>
                <wp:inline xmlns:a="http://schemas.openxmlformats.org/drawingml/2006/main" xmlns:pic="http://schemas.openxmlformats.org/drawingml/2006/picture">
                  <wp:extent cx="2743200" cy="2021738"/>
                  <wp:docPr id="20" name="Picture 20"/>
                  <wp:cNvGraphicFramePr>
                    <a:graphicFrameLocks noChangeAspect="1"/>
                  </wp:cNvGraphicFramePr>
                  <a:graphic>
                    <a:graphicData uri="http://schemas.openxmlformats.org/drawingml/2006/picture">
                      <pic:pic>
                        <pic:nvPicPr>
                          <pic:cNvPr id="0" name="IMG_14.35.32.jpg"/>
                          <pic:cNvPicPr/>
                        </pic:nvPicPr>
                        <pic:blipFill>
                          <a:blip r:embed="rId30"/>
                          <a:stretch>
                            <a:fillRect/>
                          </a:stretch>
                        </pic:blipFill>
                        <pic:spPr>
                          <a:xfrm>
                            <a:off x="0" y="0"/>
                            <a:ext cx="2743200" cy="2021738"/>
                          </a:xfrm>
                          <a:prstGeom prst="rect"/>
                        </pic:spPr>
                      </pic:pic>
                    </a:graphicData>
                  </a:graphic>
                </wp:inline>
              </w:drawing>
            </w:r>
          </w:p>
          <w:p>
            <w:pPr>
              <w:spacing w:after="160"/>
              <w:jc w:val="center"/>
            </w:pPr>
            <w:r>
              <w:rPr>
                <w:b/>
                <w:color w:val="1B335F"/>
                <w:sz w:val="17"/>
              </w:rPr>
              <w:t>Figure 4-118. GLD V2 – Assembled unit — front view.</w:t>
              <w:br/>
            </w:r>
            <w:r>
              <w:rPr>
                <w:color w:val="555B66"/>
                <w:sz w:val="16"/>
              </w:rPr>
              <w:t>Stainless-steel mesh sensing face; cable gland (left), alarm beacon (right), antenna (top).</w:t>
            </w:r>
          </w:p>
        </w:tc>
      </w:tr>
      <w:tr>
        <w:tc>
          <w:tcPr>
            <w:tcW w:type="dxa" w:w="4873"/>
          </w:tcPr>
          <w:p>
            <w:pPr>
              <w:jc w:val="center"/>
            </w:pPr>
            <w:r>
              <w:drawing>
                <wp:inline xmlns:a="http://schemas.openxmlformats.org/drawingml/2006/main" xmlns:pic="http://schemas.openxmlformats.org/drawingml/2006/picture">
                  <wp:extent cx="2743200" cy="1870862"/>
                  <wp:docPr id="21" name="Picture 21"/>
                  <wp:cNvGraphicFramePr>
                    <a:graphicFrameLocks noChangeAspect="1"/>
                  </wp:cNvGraphicFramePr>
                  <a:graphic>
                    <a:graphicData uri="http://schemas.openxmlformats.org/drawingml/2006/picture">
                      <pic:pic>
                        <pic:nvPicPr>
                          <pic:cNvPr id="0" name="IMG_14.35.54.jpg"/>
                          <pic:cNvPicPr/>
                        </pic:nvPicPr>
                        <pic:blipFill>
                          <a:blip r:embed="rId31"/>
                          <a:stretch>
                            <a:fillRect/>
                          </a:stretch>
                        </pic:blipFill>
                        <pic:spPr>
                          <a:xfrm>
                            <a:off x="0" y="0"/>
                            <a:ext cx="2743200" cy="1870862"/>
                          </a:xfrm>
                          <a:prstGeom prst="rect"/>
                        </pic:spPr>
                      </pic:pic>
                    </a:graphicData>
                  </a:graphic>
                </wp:inline>
              </w:drawing>
            </w:r>
          </w:p>
          <w:p>
            <w:pPr>
              <w:spacing w:after="160"/>
              <w:jc w:val="center"/>
            </w:pPr>
            <w:r>
              <w:rPr>
                <w:b/>
                <w:color w:val="1B335F"/>
                <w:sz w:val="17"/>
              </w:rPr>
              <w:t>Figure 4-119. GLD V2 – Assembled unit — side view with blanking plug.</w:t>
              <w:br/>
            </w:r>
            <w:r>
              <w:rPr>
                <w:color w:val="555B66"/>
                <w:sz w:val="16"/>
              </w:rPr>
              <w:t>Hexagon blanking plug closing the lower entry; alarm beacon on the right.</w:t>
            </w:r>
          </w:p>
        </w:tc>
        <w:tc>
          <w:tcPr>
            <w:tcW w:type="dxa" w:w="4873"/>
          </w:tcPr>
          <w:p>
            <w:pPr>
              <w:jc w:val="center"/>
            </w:pPr>
            <w:r>
              <w:drawing>
                <wp:inline xmlns:a="http://schemas.openxmlformats.org/drawingml/2006/main" xmlns:pic="http://schemas.openxmlformats.org/drawingml/2006/picture">
                  <wp:extent cx="2743200" cy="1881835"/>
                  <wp:docPr id="22" name="Picture 22"/>
                  <wp:cNvGraphicFramePr>
                    <a:graphicFrameLocks noChangeAspect="1"/>
                  </wp:cNvGraphicFramePr>
                  <a:graphic>
                    <a:graphicData uri="http://schemas.openxmlformats.org/drawingml/2006/picture">
                      <pic:pic>
                        <pic:nvPicPr>
                          <pic:cNvPr id="0" name="IMG_14.36.39.jpg"/>
                          <pic:cNvPicPr/>
                        </pic:nvPicPr>
                        <pic:blipFill>
                          <a:blip r:embed="rId32"/>
                          <a:stretch>
                            <a:fillRect/>
                          </a:stretch>
                        </pic:blipFill>
                        <pic:spPr>
                          <a:xfrm>
                            <a:off x="0" y="0"/>
                            <a:ext cx="2743200" cy="1881835"/>
                          </a:xfrm>
                          <a:prstGeom prst="rect"/>
                        </pic:spPr>
                      </pic:pic>
                    </a:graphicData>
                  </a:graphic>
                </wp:inline>
              </w:drawing>
            </w:r>
          </w:p>
          <w:p>
            <w:pPr>
              <w:spacing w:after="160"/>
              <w:jc w:val="center"/>
            </w:pPr>
            <w:r>
              <w:rPr>
                <w:b/>
                <w:color w:val="1B335F"/>
                <w:sz w:val="17"/>
              </w:rPr>
              <w:t>Figure 4-120. GLD V2 – Assembled unit — side view with cable entry.</w:t>
              <w:br/>
            </w:r>
            <w:r>
              <w:rPr>
                <w:color w:val="555B66"/>
                <w:sz w:val="16"/>
              </w:rPr>
              <w:t>Cable gland, external grounding screw and antenna.</w:t>
            </w:r>
          </w:p>
        </w:tc>
      </w:tr>
      <w:tr>
        <w:tc>
          <w:tcPr>
            <w:tcW w:type="dxa" w:w="4873"/>
          </w:tcPr>
          <w:p>
            <w:pPr>
              <w:jc w:val="center"/>
            </w:pPr>
            <w:r>
              <w:drawing>
                <wp:inline xmlns:a="http://schemas.openxmlformats.org/drawingml/2006/main" xmlns:pic="http://schemas.openxmlformats.org/drawingml/2006/picture">
                  <wp:extent cx="2743200" cy="2153412"/>
                  <wp:docPr id="23" name="Picture 23"/>
                  <wp:cNvGraphicFramePr>
                    <a:graphicFrameLocks noChangeAspect="1"/>
                  </wp:cNvGraphicFramePr>
                  <a:graphic>
                    <a:graphicData uri="http://schemas.openxmlformats.org/drawingml/2006/picture">
                      <pic:pic>
                        <pic:nvPicPr>
                          <pic:cNvPr id="0" name="IMG_14.37.03.jpg"/>
                          <pic:cNvPicPr/>
                        </pic:nvPicPr>
                        <pic:blipFill>
                          <a:blip r:embed="rId33"/>
                          <a:stretch>
                            <a:fillRect/>
                          </a:stretch>
                        </pic:blipFill>
                        <pic:spPr>
                          <a:xfrm>
                            <a:off x="0" y="0"/>
                            <a:ext cx="2743200" cy="2153412"/>
                          </a:xfrm>
                          <a:prstGeom prst="rect"/>
                        </pic:spPr>
                      </pic:pic>
                    </a:graphicData>
                  </a:graphic>
                </wp:inline>
              </w:drawing>
            </w:r>
          </w:p>
          <w:p>
            <w:pPr>
              <w:spacing w:after="160"/>
              <w:jc w:val="center"/>
            </w:pPr>
            <w:r>
              <w:rPr>
                <w:b/>
                <w:color w:val="1B335F"/>
                <w:sz w:val="17"/>
              </w:rPr>
              <w:t>Figure 4-121. GLD V2 – Assembled unit — side view with beacon.</w:t>
              <w:br/>
            </w:r>
            <w:r>
              <w:rPr>
                <w:color w:val="555B66"/>
                <w:sz w:val="16"/>
              </w:rPr>
              <w:t>Alarm beacon and mounting lugs.</w:t>
            </w:r>
          </w:p>
        </w:tc>
        <w:tc>
          <w:tcPr>
            <w:tcW w:type="dxa" w:w="4873"/>
          </w:tcPr>
          <w:p>
            <w:pPr>
              <w:jc w:val="center"/>
            </w:pPr>
            <w:r>
              <w:drawing>
                <wp:inline xmlns:a="http://schemas.openxmlformats.org/drawingml/2006/main" xmlns:pic="http://schemas.openxmlformats.org/drawingml/2006/picture">
                  <wp:extent cx="2743200" cy="1868119"/>
                  <wp:docPr id="24" name="Picture 24"/>
                  <wp:cNvGraphicFramePr>
                    <a:graphicFrameLocks noChangeAspect="1"/>
                  </wp:cNvGraphicFramePr>
                  <a:graphic>
                    <a:graphicData uri="http://schemas.openxmlformats.org/drawingml/2006/picture">
                      <pic:pic>
                        <pic:nvPicPr>
                          <pic:cNvPr id="0" name="IMG_14.37.30.jpg"/>
                          <pic:cNvPicPr/>
                        </pic:nvPicPr>
                        <pic:blipFill>
                          <a:blip r:embed="rId34"/>
                          <a:stretch>
                            <a:fillRect/>
                          </a:stretch>
                        </pic:blipFill>
                        <pic:spPr>
                          <a:xfrm>
                            <a:off x="0" y="0"/>
                            <a:ext cx="2743200" cy="1868119"/>
                          </a:xfrm>
                          <a:prstGeom prst="rect"/>
                        </pic:spPr>
                      </pic:pic>
                    </a:graphicData>
                  </a:graphic>
                </wp:inline>
              </w:drawing>
            </w:r>
          </w:p>
          <w:p>
            <w:pPr>
              <w:spacing w:after="160"/>
              <w:jc w:val="center"/>
            </w:pPr>
            <w:r>
              <w:rPr>
                <w:b/>
                <w:color w:val="1B335F"/>
                <w:sz w:val="17"/>
              </w:rPr>
              <w:t>Figure 4-122. GLD V2 – Assembled unit — side view of the base.</w:t>
              <w:br/>
            </w:r>
            <w:r>
              <w:rPr>
                <w:color w:val="555B66"/>
                <w:sz w:val="16"/>
              </w:rPr>
              <w:t>Beacon entry (left), cable gland (right) and antenna.</w:t>
            </w:r>
          </w:p>
        </w:tc>
      </w:tr>
      <w:tr>
        <w:tc>
          <w:tcPr>
            <w:tcW w:type="dxa" w:w="4873"/>
          </w:tcPr>
          <w:p>
            <w:pPr>
              <w:jc w:val="center"/>
            </w:pPr>
            <w:r>
              <w:drawing>
                <wp:inline xmlns:a="http://schemas.openxmlformats.org/drawingml/2006/main" xmlns:pic="http://schemas.openxmlformats.org/drawingml/2006/picture">
                  <wp:extent cx="2743200" cy="2029968"/>
                  <wp:docPr id="25" name="Picture 25"/>
                  <wp:cNvGraphicFramePr>
                    <a:graphicFrameLocks noChangeAspect="1"/>
                  </wp:cNvGraphicFramePr>
                  <a:graphic>
                    <a:graphicData uri="http://schemas.openxmlformats.org/drawingml/2006/picture">
                      <pic:pic>
                        <pic:nvPicPr>
                          <pic:cNvPr id="0" name="IMG_14.38.01.jpg"/>
                          <pic:cNvPicPr/>
                        </pic:nvPicPr>
                        <pic:blipFill>
                          <a:blip r:embed="rId35"/>
                          <a:stretch>
                            <a:fillRect/>
                          </a:stretch>
                        </pic:blipFill>
                        <pic:spPr>
                          <a:xfrm>
                            <a:off x="0" y="0"/>
                            <a:ext cx="2743200" cy="2029968"/>
                          </a:xfrm>
                          <a:prstGeom prst="rect"/>
                        </pic:spPr>
                      </pic:pic>
                    </a:graphicData>
                  </a:graphic>
                </wp:inline>
              </w:drawing>
            </w:r>
          </w:p>
          <w:p>
            <w:pPr>
              <w:spacing w:after="160"/>
              <w:jc w:val="center"/>
            </w:pPr>
            <w:r>
              <w:rPr>
                <w:b/>
                <w:color w:val="1B335F"/>
                <w:sz w:val="17"/>
              </w:rPr>
              <w:t>Figure 4-123. GLD V2 – Assembled unit — rear view.</w:t>
              <w:br/>
            </w:r>
            <w:r>
              <w:rPr>
                <w:color w:val="555B66"/>
                <w:sz w:val="16"/>
              </w:rPr>
              <w:t>Rear face of the base with mounting lugs; antenna (top), beacon (left), cable gland (right).</w:t>
            </w:r>
          </w:p>
        </w:tc>
        <w:tc>
          <w:tcPr>
            <w:tcW w:type="dxa" w:w="4873"/>
          </w:tcPr>
          <w:p/>
        </w:tc>
      </w:tr>
    </w:tbl>
    <w:p>
      <w:pPr>
        <w:spacing w:after="80"/>
      </w:pPr>
    </w:p>
    <w:p>
      <w:pPr>
        <w:pStyle w:val="Heading4"/>
      </w:pPr>
      <w:r>
        <w:t>2.4.1 Photo-set coverage against the revision guide</w:t>
      </w:r>
    </w:p>
    <w:p>
      <w:pPr>
        <w:spacing w:after="100"/>
      </w:pPr>
      <w:r>
        <w:rPr>
          <w:b w:val="0"/>
          <w:i w:val="0"/>
          <w:color w:val="262321"/>
          <w:sz w:val="19"/>
        </w:rPr>
        <w:t>The revision guide asks for a photo set covering twelve views. The table maps each requested view to the figures already included in this document and lists the views still to be photographed on the current production configuration (latest enclosure and PCB). Captions follow the format “Figure 4-n. GLD V2 – &lt;title&gt;” with a one-sentence description; no Ex marking is shown as final and the MQ sensor mesh is not described as flame-arresting.</w:t>
      </w:r>
    </w:p>
    <w:tbl>
      <w:tblPr>
        <w:tblStyle w:val="TableGrid"/>
        <w:tblW w:type="auto" w:w="0"/>
        <w:jc w:val="center"/>
        <w:tblLayout w:type="fixed"/>
        <w:tblLook w:firstColumn="1" w:firstRow="1" w:lastColumn="0" w:lastRow="0" w:noHBand="0" w:noVBand="1" w:val="04A0"/>
        <w:tblLayout w:type="fixed"/>
      </w:tblPr>
      <w:tblGrid>
        <w:gridCol w:w="432"/>
        <w:gridCol w:w="3168"/>
        <w:gridCol w:w="1296"/>
        <w:gridCol w:w="4608"/>
      </w:tblGrid>
      <w:tr>
        <w:trPr>
          <w:tblHeader w:val="true"/>
        </w:trPr>
        <w:tc>
          <w:tcPr>
            <w:tcW w:type="dxa" w:w="432"/>
            <w:shd w:val="clear" w:fill="EAEFF9"/>
          </w:tcPr>
          <w:p>
            <w:pPr>
              <w:spacing w:after="20"/>
            </w:pPr>
            <w:r>
              <w:rPr>
                <w:b/>
                <w:color w:val="1B335F"/>
                <w:sz w:val="16"/>
              </w:rPr>
              <w:t>#</w:t>
            </w:r>
          </w:p>
        </w:tc>
        <w:tc>
          <w:tcPr>
            <w:tcW w:type="dxa" w:w="3168"/>
            <w:shd w:val="clear" w:fill="EAEFF9"/>
          </w:tcPr>
          <w:p>
            <w:pPr>
              <w:spacing w:after="20"/>
            </w:pPr>
            <w:r>
              <w:rPr>
                <w:b/>
                <w:color w:val="1B335F"/>
                <w:sz w:val="16"/>
              </w:rPr>
              <w:t>Requested view</w:t>
            </w:r>
          </w:p>
        </w:tc>
        <w:tc>
          <w:tcPr>
            <w:tcW w:type="dxa" w:w="1296"/>
            <w:shd w:val="clear" w:fill="EAEFF9"/>
          </w:tcPr>
          <w:p>
            <w:pPr>
              <w:spacing w:after="20"/>
            </w:pPr>
            <w:r>
              <w:rPr>
                <w:b/>
                <w:color w:val="1B335F"/>
                <w:sz w:val="16"/>
              </w:rPr>
              <w:t>Status</w:t>
            </w:r>
          </w:p>
        </w:tc>
        <w:tc>
          <w:tcPr>
            <w:tcW w:type="dxa" w:w="4608"/>
            <w:shd w:val="clear" w:fill="EAEFF9"/>
          </w:tcPr>
          <w:p>
            <w:pPr>
              <w:spacing w:after="20"/>
            </w:pPr>
            <w:r>
              <w:rPr>
                <w:b/>
                <w:color w:val="1B335F"/>
                <w:sz w:val="16"/>
              </w:rPr>
              <w:t>Where shown / action</w:t>
            </w:r>
          </w:p>
        </w:tc>
      </w:tr>
      <w:tr>
        <w:trPr>
          <w:cantSplit/>
        </w:trPr>
        <w:tc>
          <w:tcPr>
            <w:tcW w:type="dxa" w:w="432"/>
          </w:tcPr>
          <w:p>
            <w:pPr>
              <w:spacing w:after="20"/>
            </w:pPr>
            <w:r>
              <w:rPr>
                <w:b/>
                <w:sz w:val="16"/>
              </w:rPr>
              <w:t>1</w:t>
            </w:r>
          </w:p>
        </w:tc>
        <w:tc>
          <w:tcPr>
            <w:tcW w:type="dxa" w:w="3168"/>
          </w:tcPr>
          <w:p>
            <w:pPr>
              <w:spacing w:after="20"/>
            </w:pPr>
            <w:r>
              <w:rPr>
                <w:sz w:val="16"/>
              </w:rPr>
              <w:t>Overall external view — front, rear, left, right, top, bottom</w:t>
            </w:r>
          </w:p>
        </w:tc>
        <w:tc>
          <w:tcPr>
            <w:tcW w:type="dxa" w:w="1296"/>
            <w:shd w:val="clear" w:fill="E3F1E6"/>
          </w:tcPr>
          <w:p>
            <w:pPr>
              <w:spacing w:after="20"/>
            </w:pPr>
            <w:r>
              <w:rPr>
                <w:b/>
                <w:sz w:val="16"/>
              </w:rPr>
              <w:t>Available</w:t>
            </w:r>
          </w:p>
        </w:tc>
        <w:tc>
          <w:tcPr>
            <w:tcW w:type="dxa" w:w="4608"/>
          </w:tcPr>
          <w:p>
            <w:pPr>
              <w:spacing w:after="20"/>
            </w:pPr>
            <w:r>
              <w:rPr>
                <w:sz w:val="16"/>
              </w:rPr>
              <w:t>Current production unit: Figures 4-118 (front), 4-119…4-122 (sides), 4-123 (rear), 4-116 (closed, top); CAD views M-A2 and M-B1…M-B4.</w:t>
            </w:r>
          </w:p>
        </w:tc>
      </w:tr>
      <w:tr>
        <w:trPr>
          <w:cantSplit/>
        </w:trPr>
        <w:tc>
          <w:tcPr>
            <w:tcW w:type="dxa" w:w="432"/>
          </w:tcPr>
          <w:p>
            <w:pPr>
              <w:spacing w:after="20"/>
            </w:pPr>
            <w:r>
              <w:rPr>
                <w:b/>
                <w:sz w:val="16"/>
              </w:rPr>
              <w:t>2</w:t>
            </w:r>
          </w:p>
        </w:tc>
        <w:tc>
          <w:tcPr>
            <w:tcW w:type="dxa" w:w="3168"/>
          </w:tcPr>
          <w:p>
            <w:pPr>
              <w:spacing w:after="20"/>
            </w:pPr>
            <w:r>
              <w:rPr>
                <w:sz w:val="16"/>
              </w:rPr>
              <w:t>Product identification / nameplate area</w:t>
            </w:r>
          </w:p>
        </w:tc>
        <w:tc>
          <w:tcPr>
            <w:tcW w:type="dxa" w:w="1296"/>
            <w:shd w:val="clear" w:fill="FBEEE4"/>
          </w:tcPr>
          <w:p>
            <w:pPr>
              <w:spacing w:after="20"/>
            </w:pPr>
            <w:r>
              <w:rPr>
                <w:b/>
                <w:sz w:val="16"/>
              </w:rPr>
              <w:t>Open</w:t>
            </w:r>
          </w:p>
        </w:tc>
        <w:tc>
          <w:tcPr>
            <w:tcW w:type="dxa" w:w="4608"/>
          </w:tcPr>
          <w:p>
            <w:pPr>
              <w:spacing w:after="20"/>
            </w:pPr>
            <w:r>
              <w:rPr>
                <w:sz w:val="16"/>
              </w:rPr>
              <w:t>To be photographed once the nameplate position is fixed; caption to state that the marking is draft.</w:t>
            </w:r>
          </w:p>
        </w:tc>
      </w:tr>
      <w:tr>
        <w:trPr>
          <w:cantSplit/>
        </w:trPr>
        <w:tc>
          <w:tcPr>
            <w:tcW w:type="dxa" w:w="432"/>
          </w:tcPr>
          <w:p>
            <w:pPr>
              <w:spacing w:after="20"/>
            </w:pPr>
            <w:r>
              <w:rPr>
                <w:b/>
                <w:sz w:val="16"/>
              </w:rPr>
              <w:t>3</w:t>
            </w:r>
          </w:p>
        </w:tc>
        <w:tc>
          <w:tcPr>
            <w:tcW w:type="dxa" w:w="3168"/>
          </w:tcPr>
          <w:p>
            <w:pPr>
              <w:spacing w:after="20"/>
            </w:pPr>
            <w:r>
              <w:rPr>
                <w:sz w:val="16"/>
              </w:rPr>
              <w:t>Front sensing area (mesh, cover, fan behind it)</w:t>
            </w:r>
          </w:p>
        </w:tc>
        <w:tc>
          <w:tcPr>
            <w:tcW w:type="dxa" w:w="1296"/>
            <w:shd w:val="clear" w:fill="E3F1E6"/>
          </w:tcPr>
          <w:p>
            <w:pPr>
              <w:spacing w:after="20"/>
            </w:pPr>
            <w:r>
              <w:rPr>
                <w:b/>
                <w:sz w:val="16"/>
              </w:rPr>
              <w:t>Available</w:t>
            </w:r>
          </w:p>
        </w:tc>
        <w:tc>
          <w:tcPr>
            <w:tcW w:type="dxa" w:w="4608"/>
          </w:tcPr>
          <w:p>
            <w:pPr>
              <w:spacing w:after="20"/>
            </w:pPr>
            <w:r>
              <w:rPr>
                <w:sz w:val="16"/>
              </w:rPr>
              <w:t>Figure 4-115 (fan behind the mesh in the cover), 4-118 (mesh face); M-D4.</w:t>
            </w:r>
          </w:p>
        </w:tc>
      </w:tr>
      <w:tr>
        <w:trPr>
          <w:cantSplit/>
        </w:trPr>
        <w:tc>
          <w:tcPr>
            <w:tcW w:type="dxa" w:w="432"/>
          </w:tcPr>
          <w:p>
            <w:pPr>
              <w:spacing w:after="20"/>
            </w:pPr>
            <w:r>
              <w:rPr>
                <w:b/>
                <w:sz w:val="16"/>
              </w:rPr>
              <w:t>4</w:t>
            </w:r>
          </w:p>
        </w:tc>
        <w:tc>
          <w:tcPr>
            <w:tcW w:type="dxa" w:w="3168"/>
          </w:tcPr>
          <w:p>
            <w:pPr>
              <w:spacing w:after="20"/>
            </w:pPr>
            <w:r>
              <w:rPr>
                <w:sz w:val="16"/>
              </w:rPr>
              <w:t>Internal sensing section (8 MQ sensors, fan, chamber)</w:t>
            </w:r>
          </w:p>
        </w:tc>
        <w:tc>
          <w:tcPr>
            <w:tcW w:type="dxa" w:w="1296"/>
            <w:shd w:val="clear" w:fill="E3F1E6"/>
          </w:tcPr>
          <w:p>
            <w:pPr>
              <w:spacing w:after="20"/>
            </w:pPr>
            <w:r>
              <w:rPr>
                <w:b/>
                <w:sz w:val="16"/>
              </w:rPr>
              <w:t>Available</w:t>
            </w:r>
          </w:p>
        </w:tc>
        <w:tc>
          <w:tcPr>
            <w:tcW w:type="dxa" w:w="4608"/>
          </w:tcPr>
          <w:p>
            <w:pPr>
              <w:spacing w:after="20"/>
            </w:pPr>
            <w:r>
              <w:rPr>
                <w:sz w:val="16"/>
              </w:rPr>
              <w:t>Figures 4-107, 4-109…4-115 (sensor modules fitted, fan and cover); M-D6.</w:t>
            </w:r>
          </w:p>
        </w:tc>
      </w:tr>
      <w:tr>
        <w:trPr>
          <w:cantSplit/>
        </w:trPr>
        <w:tc>
          <w:tcPr>
            <w:tcW w:type="dxa" w:w="432"/>
          </w:tcPr>
          <w:p>
            <w:pPr>
              <w:spacing w:after="20"/>
            </w:pPr>
            <w:r>
              <w:rPr>
                <w:b/>
                <w:sz w:val="16"/>
              </w:rPr>
              <w:t>5</w:t>
            </w:r>
          </w:p>
        </w:tc>
        <w:tc>
          <w:tcPr>
            <w:tcW w:type="dxa" w:w="3168"/>
          </w:tcPr>
          <w:p>
            <w:pPr>
              <w:spacing w:after="20"/>
            </w:pPr>
            <w:r>
              <w:rPr>
                <w:sz w:val="16"/>
              </w:rPr>
              <w:t>MQ sensor close-up (integrated protective mesh)</w:t>
            </w:r>
          </w:p>
        </w:tc>
        <w:tc>
          <w:tcPr>
            <w:tcW w:type="dxa" w:w="1296"/>
            <w:shd w:val="clear" w:fill="E3F1E6"/>
          </w:tcPr>
          <w:p>
            <w:pPr>
              <w:spacing w:after="20"/>
            </w:pPr>
            <w:r>
              <w:rPr>
                <w:b/>
                <w:sz w:val="16"/>
              </w:rPr>
              <w:t>Available</w:t>
            </w:r>
          </w:p>
        </w:tc>
        <w:tc>
          <w:tcPr>
            <w:tcW w:type="dxa" w:w="4608"/>
          </w:tcPr>
          <w:p>
            <w:pPr>
              <w:spacing w:after="20"/>
            </w:pPr>
            <w:r>
              <w:rPr>
                <w:sz w:val="16"/>
              </w:rPr>
              <w:t>Figure 4-105 (sensor module); M-D1.</w:t>
            </w:r>
          </w:p>
        </w:tc>
      </w:tr>
      <w:tr>
        <w:trPr>
          <w:cantSplit/>
        </w:trPr>
        <w:tc>
          <w:tcPr>
            <w:tcW w:type="dxa" w:w="432"/>
          </w:tcPr>
          <w:p>
            <w:pPr>
              <w:spacing w:after="20"/>
            </w:pPr>
            <w:r>
              <w:rPr>
                <w:b/>
                <w:sz w:val="16"/>
              </w:rPr>
              <w:t>6</w:t>
            </w:r>
          </w:p>
        </w:tc>
        <w:tc>
          <w:tcPr>
            <w:tcW w:type="dxa" w:w="3168"/>
          </w:tcPr>
          <w:p>
            <w:pPr>
              <w:spacing w:after="20"/>
            </w:pPr>
            <w:r>
              <w:rPr>
                <w:sz w:val="16"/>
              </w:rPr>
              <w:t>Main PCB — component side and underside</w:t>
            </w:r>
          </w:p>
        </w:tc>
        <w:tc>
          <w:tcPr>
            <w:tcW w:type="dxa" w:w="1296"/>
            <w:shd w:val="clear" w:fill="FFF4D6"/>
          </w:tcPr>
          <w:p>
            <w:pPr>
              <w:spacing w:after="20"/>
            </w:pPr>
            <w:r>
              <w:rPr>
                <w:b/>
                <w:sz w:val="16"/>
              </w:rPr>
              <w:t>Partial</w:t>
            </w:r>
          </w:p>
        </w:tc>
        <w:tc>
          <w:tcPr>
            <w:tcW w:type="dxa" w:w="4608"/>
          </w:tcPr>
          <w:p>
            <w:pPr>
              <w:spacing w:after="20"/>
            </w:pPr>
            <w:r>
              <w:rPr>
                <w:sz w:val="16"/>
              </w:rPr>
              <w:t>Figures 4-102, 4-103 (component side in the enclosure); PCB layout views 2.6.a.8. Underside photograph to be added.</w:t>
            </w:r>
          </w:p>
        </w:tc>
      </w:tr>
      <w:tr>
        <w:trPr>
          <w:cantSplit/>
        </w:trPr>
        <w:tc>
          <w:tcPr>
            <w:tcW w:type="dxa" w:w="432"/>
          </w:tcPr>
          <w:p>
            <w:pPr>
              <w:spacing w:after="20"/>
            </w:pPr>
            <w:r>
              <w:rPr>
                <w:b/>
                <w:sz w:val="16"/>
              </w:rPr>
              <w:t>7</w:t>
            </w:r>
          </w:p>
        </w:tc>
        <w:tc>
          <w:tcPr>
            <w:tcW w:type="dxa" w:w="3168"/>
          </w:tcPr>
          <w:p>
            <w:pPr>
              <w:spacing w:after="20"/>
            </w:pPr>
            <w:r>
              <w:rPr>
                <w:sz w:val="16"/>
              </w:rPr>
              <w:t>Power input and terminal area</w:t>
            </w:r>
          </w:p>
        </w:tc>
        <w:tc>
          <w:tcPr>
            <w:tcW w:type="dxa" w:w="1296"/>
            <w:shd w:val="clear" w:fill="E3F1E6"/>
          </w:tcPr>
          <w:p>
            <w:pPr>
              <w:spacing w:after="20"/>
            </w:pPr>
            <w:r>
              <w:rPr>
                <w:b/>
                <w:sz w:val="16"/>
              </w:rPr>
              <w:t>Available</w:t>
            </w:r>
          </w:p>
        </w:tc>
        <w:tc>
          <w:tcPr>
            <w:tcW w:type="dxa" w:w="4608"/>
          </w:tcPr>
          <w:p>
            <w:pPr>
              <w:spacing w:after="20"/>
            </w:pPr>
            <w:r>
              <w:rPr>
                <w:sz w:val="16"/>
              </w:rPr>
              <w:t>Figures 4-104 (labelled terminal board), 4-112…4-114 (gland, cable, 24V termination).</w:t>
            </w:r>
          </w:p>
        </w:tc>
      </w:tr>
      <w:tr>
        <w:trPr>
          <w:cantSplit/>
        </w:trPr>
        <w:tc>
          <w:tcPr>
            <w:tcW w:type="dxa" w:w="432"/>
          </w:tcPr>
          <w:p>
            <w:pPr>
              <w:spacing w:after="20"/>
            </w:pPr>
            <w:r>
              <w:rPr>
                <w:b/>
                <w:sz w:val="16"/>
              </w:rPr>
              <w:t>8</w:t>
            </w:r>
          </w:p>
        </w:tc>
        <w:tc>
          <w:tcPr>
            <w:tcW w:type="dxa" w:w="3168"/>
          </w:tcPr>
          <w:p>
            <w:pPr>
              <w:spacing w:after="20"/>
            </w:pPr>
            <w:r>
              <w:rPr>
                <w:sz w:val="16"/>
              </w:rPr>
              <w:t>Grounding / bonding point</w:t>
            </w:r>
          </w:p>
        </w:tc>
        <w:tc>
          <w:tcPr>
            <w:tcW w:type="dxa" w:w="1296"/>
            <w:shd w:val="clear" w:fill="FFF4D6"/>
          </w:tcPr>
          <w:p>
            <w:pPr>
              <w:spacing w:after="20"/>
            </w:pPr>
            <w:r>
              <w:rPr>
                <w:b/>
                <w:sz w:val="16"/>
              </w:rPr>
              <w:t>Partial</w:t>
            </w:r>
          </w:p>
        </w:tc>
        <w:tc>
          <w:tcPr>
            <w:tcW w:type="dxa" w:w="4608"/>
          </w:tcPr>
          <w:p>
            <w:pPr>
              <w:spacing w:after="20"/>
            </w:pPr>
            <w:r>
              <w:rPr>
                <w:sz w:val="16"/>
              </w:rPr>
              <w:t>Figures 4-116, 4-120 (external grounding screw); close-up with lug and conductor to be added.</w:t>
            </w:r>
          </w:p>
        </w:tc>
      </w:tr>
      <w:tr>
        <w:trPr>
          <w:cantSplit/>
        </w:trPr>
        <w:tc>
          <w:tcPr>
            <w:tcW w:type="dxa" w:w="432"/>
          </w:tcPr>
          <w:p>
            <w:pPr>
              <w:spacing w:after="20"/>
            </w:pPr>
            <w:r>
              <w:rPr>
                <w:b/>
                <w:sz w:val="16"/>
              </w:rPr>
              <w:t>9</w:t>
            </w:r>
          </w:p>
        </w:tc>
        <w:tc>
          <w:tcPr>
            <w:tcW w:type="dxa" w:w="3168"/>
          </w:tcPr>
          <w:p>
            <w:pPr>
              <w:spacing w:after="20"/>
            </w:pPr>
            <w:r>
              <w:rPr>
                <w:sz w:val="16"/>
              </w:rPr>
              <w:t>Cable entry and antenna interface (all penetrations)</w:t>
            </w:r>
          </w:p>
        </w:tc>
        <w:tc>
          <w:tcPr>
            <w:tcW w:type="dxa" w:w="1296"/>
            <w:shd w:val="clear" w:fill="FFF4D6"/>
          </w:tcPr>
          <w:p>
            <w:pPr>
              <w:spacing w:after="20"/>
            </w:pPr>
            <w:r>
              <w:rPr>
                <w:b/>
                <w:sz w:val="16"/>
              </w:rPr>
              <w:t>Partial</w:t>
            </w:r>
          </w:p>
        </w:tc>
        <w:tc>
          <w:tcPr>
            <w:tcW w:type="dxa" w:w="4608"/>
          </w:tcPr>
          <w:p>
            <w:pPr>
              <w:spacing w:after="20"/>
            </w:pPr>
            <w:r>
              <w:rPr>
                <w:sz w:val="16"/>
              </w:rPr>
              <w:t>Figures 4-112 (cable gland), 4-110 (beacon entry), 4-119 (blanking plug), 4-101 (antenna); close-up of the antenna bulkhead to be added.</w:t>
            </w:r>
          </w:p>
        </w:tc>
      </w:tr>
      <w:tr>
        <w:trPr>
          <w:cantSplit/>
        </w:trPr>
        <w:tc>
          <w:tcPr>
            <w:tcW w:type="dxa" w:w="432"/>
          </w:tcPr>
          <w:p>
            <w:pPr>
              <w:spacing w:after="20"/>
            </w:pPr>
            <w:r>
              <w:rPr>
                <w:b/>
                <w:sz w:val="16"/>
              </w:rPr>
              <w:t>10</w:t>
            </w:r>
          </w:p>
        </w:tc>
        <w:tc>
          <w:tcPr>
            <w:tcW w:type="dxa" w:w="3168"/>
          </w:tcPr>
          <w:p>
            <w:pPr>
              <w:spacing w:after="20"/>
            </w:pPr>
            <w:r>
              <w:rPr>
                <w:sz w:val="16"/>
              </w:rPr>
              <w:t>Alarm module (LED/buzzer, gasket, fixing)</w:t>
            </w:r>
          </w:p>
        </w:tc>
        <w:tc>
          <w:tcPr>
            <w:tcW w:type="dxa" w:w="1296"/>
            <w:shd w:val="clear" w:fill="E3F1E6"/>
          </w:tcPr>
          <w:p>
            <w:pPr>
              <w:spacing w:after="20"/>
            </w:pPr>
            <w:r>
              <w:rPr>
                <w:b/>
                <w:sz w:val="16"/>
              </w:rPr>
              <w:t>Available</w:t>
            </w:r>
          </w:p>
        </w:tc>
        <w:tc>
          <w:tcPr>
            <w:tcW w:type="dxa" w:w="4608"/>
          </w:tcPr>
          <w:p>
            <w:pPr>
              <w:spacing w:after="20"/>
            </w:pPr>
            <w:r>
              <w:rPr>
                <w:sz w:val="16"/>
              </w:rPr>
              <w:t>Figures 4-110, 4-111; M-D5, M-E4.</w:t>
            </w:r>
          </w:p>
        </w:tc>
      </w:tr>
      <w:tr>
        <w:trPr>
          <w:cantSplit/>
        </w:trPr>
        <w:tc>
          <w:tcPr>
            <w:tcW w:type="dxa" w:w="432"/>
          </w:tcPr>
          <w:p>
            <w:pPr>
              <w:spacing w:after="20"/>
            </w:pPr>
            <w:r>
              <w:rPr>
                <w:b/>
                <w:sz w:val="16"/>
              </w:rPr>
              <w:t>11</w:t>
            </w:r>
          </w:p>
        </w:tc>
        <w:tc>
          <w:tcPr>
            <w:tcW w:type="dxa" w:w="3168"/>
          </w:tcPr>
          <w:p>
            <w:pPr>
              <w:spacing w:after="20"/>
            </w:pPr>
            <w:r>
              <w:rPr>
                <w:sz w:val="16"/>
              </w:rPr>
              <w:t>Enclosure opened — complete internal arrangement</w:t>
            </w:r>
          </w:p>
        </w:tc>
        <w:tc>
          <w:tcPr>
            <w:tcW w:type="dxa" w:w="1296"/>
            <w:shd w:val="clear" w:fill="E3F1E6"/>
          </w:tcPr>
          <w:p>
            <w:pPr>
              <w:spacing w:after="20"/>
            </w:pPr>
            <w:r>
              <w:rPr>
                <w:b/>
                <w:sz w:val="16"/>
              </w:rPr>
              <w:t>Available</w:t>
            </w:r>
          </w:p>
        </w:tc>
        <w:tc>
          <w:tcPr>
            <w:tcW w:type="dxa" w:w="4608"/>
          </w:tcPr>
          <w:p>
            <w:pPr>
              <w:spacing w:after="20"/>
            </w:pPr>
            <w:r>
              <w:rPr>
                <w:sz w:val="16"/>
              </w:rPr>
              <w:t>Figure 4-115 (open base with sensors and terminals next to the cover with fan).</w:t>
            </w:r>
          </w:p>
        </w:tc>
      </w:tr>
      <w:tr>
        <w:trPr>
          <w:cantSplit/>
        </w:trPr>
        <w:tc>
          <w:tcPr>
            <w:tcW w:type="dxa" w:w="432"/>
          </w:tcPr>
          <w:p>
            <w:pPr>
              <w:spacing w:after="20"/>
            </w:pPr>
            <w:r>
              <w:rPr>
                <w:b/>
                <w:sz w:val="16"/>
              </w:rPr>
              <w:t>12</w:t>
            </w:r>
          </w:p>
        </w:tc>
        <w:tc>
          <w:tcPr>
            <w:tcW w:type="dxa" w:w="3168"/>
          </w:tcPr>
          <w:p>
            <w:pPr>
              <w:spacing w:after="20"/>
            </w:pPr>
            <w:r>
              <w:rPr>
                <w:sz w:val="16"/>
              </w:rPr>
              <w:t>Exploded / assembly sequence photographs</w:t>
            </w:r>
          </w:p>
        </w:tc>
        <w:tc>
          <w:tcPr>
            <w:tcW w:type="dxa" w:w="1296"/>
            <w:shd w:val="clear" w:fill="E3F1E6"/>
          </w:tcPr>
          <w:p>
            <w:pPr>
              <w:spacing w:after="20"/>
            </w:pPr>
            <w:r>
              <w:rPr>
                <w:b/>
                <w:sz w:val="16"/>
              </w:rPr>
              <w:t>Available</w:t>
            </w:r>
          </w:p>
        </w:tc>
        <w:tc>
          <w:tcPr>
            <w:tcW w:type="dxa" w:w="4608"/>
          </w:tcPr>
          <w:p>
            <w:pPr>
              <w:spacing w:after="20"/>
            </w:pPr>
            <w:r>
              <w:rPr>
                <w:sz w:val="16"/>
              </w:rPr>
              <w:t>Figures 4-101…4-117 (complete assembly sequence); exploded illustrations M-D8, M-D9, M-E1.</w:t>
            </w:r>
          </w:p>
        </w:tc>
      </w:tr>
    </w:tbl>
    <w:p>
      <w:pPr>
        <w:spacing w:after="40"/>
      </w:pPr>
    </w:p>
    <w:p>
      <w:pPr>
        <w:pStyle w:val="Heading2"/>
      </w:pPr>
      <w:r>
        <w:t>2.5 · Description of Intended Use and Installation Environment</w:t>
      </w:r>
    </w:p>
    <w:p>
      <w:pPr>
        <w:spacing w:after="160"/>
      </w:pPr>
      <w:r>
        <w:rPr>
          <w:b w:val="0"/>
          <w:i w:val="0"/>
          <w:sz w:val="21"/>
        </w:rPr>
        <w:t>The GLD is intended for continuous, fixed-point monitoring of flammable and toxic gas leaks in oil &amp; gas refinery hazardous areas: process units, tank farms, pipe racks, and loading/unloading areas.</w:t>
      </w:r>
    </w:p>
    <w:tbl>
      <w:tblPr>
        <w:tblStyle w:val="TableGrid"/>
        <w:tblW w:type="auto" w:w="0"/>
        <w:jc w:val="center"/>
        <w:tblLook w:firstColumn="1" w:firstRow="1" w:lastColumn="0" w:lastRow="0" w:noHBand="0" w:noVBand="1" w:val="04A0"/>
      </w:tblPr>
      <w:tblGrid>
        <w:gridCol w:w="3249"/>
        <w:gridCol w:w="3249"/>
        <w:gridCol w:w="3249"/>
      </w:tblGrid>
      <w:tr>
        <w:tc>
          <w:tcPr>
            <w:tcW w:type="dxa" w:w="2592"/>
            <w:shd w:val="clear" w:color="auto" w:fill="EFEFEF"/>
          </w:tcPr>
          <w:p>
            <w:pPr>
              <w:spacing w:after="40"/>
            </w:pPr>
            <w:r>
              <w:rPr>
                <w:b/>
                <w:color w:val="4A4A4A"/>
                <w:sz w:val="18"/>
              </w:rPr>
              <w:t>Parameter</w:t>
            </w:r>
          </w:p>
        </w:tc>
        <w:tc>
          <w:tcPr>
            <w:tcW w:type="dxa" w:w="4176"/>
            <w:shd w:val="clear" w:color="auto" w:fill="EFEFEF"/>
          </w:tcPr>
          <w:p>
            <w:pPr>
              <w:spacing w:after="40"/>
            </w:pPr>
            <w:r>
              <w:rPr>
                <w:b/>
                <w:color w:val="4A4A4A"/>
                <w:sz w:val="18"/>
              </w:rPr>
              <w:t>Value</w:t>
            </w:r>
          </w:p>
        </w:tc>
        <w:tc>
          <w:tcPr>
            <w:tcW w:type="dxa" w:w="2880"/>
            <w:shd w:val="clear" w:color="auto" w:fill="EFEFEF"/>
          </w:tcPr>
          <w:p>
            <w:pPr>
              <w:spacing w:after="40"/>
            </w:pPr>
            <w:r>
              <w:rPr>
                <w:b/>
                <w:color w:val="4A4A4A"/>
                <w:sz w:val="18"/>
              </w:rPr>
              <w:t>Status</w:t>
            </w:r>
          </w:p>
        </w:tc>
      </w:tr>
      <w:tr>
        <w:tc>
          <w:tcPr>
            <w:tcW w:type="dxa" w:w="2592"/>
          </w:tcPr>
          <w:p>
            <w:pPr>
              <w:spacing w:after="40"/>
            </w:pPr>
            <w:r>
              <w:rPr>
                <w:sz w:val="19"/>
              </w:rPr>
              <w:t>Gas group</w:t>
            </w:r>
          </w:p>
        </w:tc>
        <w:tc>
          <w:tcPr>
            <w:tcW w:type="dxa" w:w="4176"/>
          </w:tcPr>
          <w:p>
            <w:pPr>
              <w:spacing w:after="40"/>
            </w:pPr>
            <w:r>
              <w:rPr>
                <w:sz w:val="19"/>
              </w:rPr>
              <w:t>IIC</w:t>
            </w:r>
          </w:p>
        </w:tc>
        <w:tc>
          <w:tcPr>
            <w:tcW w:type="dxa" w:w="2880"/>
          </w:tcPr>
          <w:p>
            <w:pPr>
              <w:spacing w:after="40"/>
            </w:pPr>
            <w:r>
              <w:rPr>
                <w:sz w:val="19"/>
              </w:rPr>
              <w:t>Internal recommendation, not an ExCB decision</w:t>
            </w:r>
          </w:p>
        </w:tc>
      </w:tr>
      <w:tr>
        <w:tc>
          <w:tcPr>
            <w:tcW w:type="dxa" w:w="2592"/>
          </w:tcPr>
          <w:p>
            <w:pPr>
              <w:spacing w:after="40"/>
            </w:pPr>
            <w:r>
              <w:rPr>
                <w:sz w:val="19"/>
              </w:rPr>
              <w:t>Temperature class</w:t>
            </w:r>
          </w:p>
        </w:tc>
        <w:tc>
          <w:tcPr>
            <w:tcW w:type="dxa" w:w="4176"/>
          </w:tcPr>
          <w:p>
            <w:pPr>
              <w:spacing w:after="40"/>
            </w:pPr>
            <w:r>
              <w:rPr>
                <w:sz w:val="19"/>
              </w:rPr>
              <w:t>T4 (≤135°C)</w:t>
            </w:r>
          </w:p>
        </w:tc>
        <w:tc>
          <w:tcPr>
            <w:tcW w:type="dxa" w:w="2880"/>
          </w:tcPr>
          <w:p>
            <w:pPr>
              <w:spacing w:after="40"/>
            </w:pPr>
            <w:r>
              <w:rPr>
                <w:sz w:val="19"/>
              </w:rPr>
              <w:t>Target — preliminary internal measurement supports it (Section 2.6.f); formal verification outstanding</w:t>
            </w:r>
          </w:p>
        </w:tc>
      </w:tr>
      <w:tr>
        <w:tc>
          <w:tcPr>
            <w:tcW w:type="dxa" w:w="2592"/>
          </w:tcPr>
          <w:p>
            <w:pPr>
              <w:spacing w:after="40"/>
            </w:pPr>
            <w:r>
              <w:rPr>
                <w:sz w:val="19"/>
              </w:rPr>
              <w:t>Area classification</w:t>
            </w:r>
          </w:p>
        </w:tc>
        <w:tc>
          <w:tcPr>
            <w:tcW w:type="dxa" w:w="4176"/>
          </w:tcPr>
          <w:p>
            <w:pPr>
              <w:spacing w:after="40"/>
            </w:pPr>
            <w:r>
              <w:rPr>
                <w:sz w:val="19"/>
              </w:rPr>
              <w:t>Zone 1, Equipment Category 2G, Group II</w:t>
            </w:r>
          </w:p>
        </w:tc>
        <w:tc>
          <w:tcPr>
            <w:tcW w:type="dxa" w:w="2880"/>
          </w:tcPr>
          <w:p>
            <w:pPr>
              <w:spacing w:after="40"/>
            </w:pPr>
            <w:r>
              <w:rPr>
                <w:sz w:val="19"/>
              </w:rPr>
              <w:t>Requested — subject to ExCB assessment</w:t>
            </w:r>
          </w:p>
        </w:tc>
      </w:tr>
      <w:tr>
        <w:tc>
          <w:tcPr>
            <w:tcW w:type="dxa" w:w="2592"/>
          </w:tcPr>
          <w:p>
            <w:pPr>
              <w:spacing w:after="40"/>
            </w:pPr>
            <w:r>
              <w:rPr>
                <w:sz w:val="19"/>
              </w:rPr>
              <w:t>Type of protection</w:t>
            </w:r>
          </w:p>
        </w:tc>
        <w:tc>
          <w:tcPr>
            <w:tcW w:type="dxa" w:w="4176"/>
          </w:tcPr>
          <w:p>
            <w:pPr>
              <w:spacing w:after="40"/>
            </w:pPr>
            <w:r>
              <w:rPr>
                <w:sz w:val="19"/>
              </w:rPr>
              <w:t>Ex d — flameproof enclosure</w:t>
            </w:r>
          </w:p>
        </w:tc>
        <w:tc>
          <w:tcPr>
            <w:tcW w:type="dxa" w:w="2880"/>
          </w:tcPr>
          <w:p>
            <w:pPr>
              <w:spacing w:after="40"/>
            </w:pPr>
            <w:r>
              <w:rPr>
                <w:sz w:val="19"/>
              </w:rPr>
              <w:t>Internal recommendation, not an ExCB decision</w:t>
            </w:r>
          </w:p>
        </w:tc>
      </w:tr>
    </w:tbl>
    <w:p>
      <w:pPr>
        <w:spacing w:after="120"/>
      </w:pPr>
    </w:p>
    <w:p>
      <w:pPr>
        <w:spacing w:after="160"/>
      </w:pPr>
      <w:r>
        <w:rPr>
          <w:b w:val="0"/>
          <w:i/>
          <w:sz w:val="19"/>
        </w:rPr>
        <w:t>Type of protection selected over Ex e and Ex i based on the existing enclosure design: a die-cast aluminum (ADC12) housing with a stainless-steel mesh cover over the sensing element, functioning as a flame path/flame arrestor — the same pattern used by the three comparable certified gas detectors reviewed as references (all Ex d). Ex i was set aside because the MQ-series sensor heaters draw continuous power (≈0.75 W each) directly from an unregulated 24 VDC supply rather than through certified current-limiting barriers, difficult to reconcile with intrinsically-safe energy limits for Group IIC.</w:t>
      </w:r>
    </w:p>
    <w:p>
      <w:pPr>
        <w:spacing w:after="160"/>
      </w:pPr>
      <w:r>
        <w:rPr>
          <w:b w:val="0"/>
          <w:i/>
          <w:sz w:val="19"/>
        </w:rPr>
        <w:t>These classification parameters are the applicant's proposal, recorded here as a request, not as an agreed or granted classification. Cluster Head and Gateway devices are assumed to always sit in a safe area (project assumption, not the result of a formal area-classification study by Pertamina).</w:t>
      </w:r>
    </w:p>
    <w:p>
      <w:pPr>
        <w:pStyle w:val="Heading2"/>
      </w:pPr>
      <w:r>
        <w:t>2.6 · Design and Manufacturing Information</w:t>
      </w:r>
    </w:p>
    <w:p>
      <w:pPr>
        <w:pStyle w:val="Heading3"/>
      </w:pPr>
      <w:r>
        <w:t>2.6.a · Complete Drawings (Assembly, Component, Electrical Schematic, PCB Layout, Enclosure Structure, Junction Box, Terminal, Grounding)</w:t>
      </w:r>
    </w:p>
    <w:p>
      <w:pPr>
        <w:spacing w:after="160"/>
      </w:pPr>
      <w:r>
        <w:rPr>
          <w:b w:val="0"/>
          <w:i w:val="0"/>
          <w:sz w:val="21"/>
        </w:rPr>
        <w:t>An electrical schematic capture and a corresponding 9-sheet block-diagram set exist for the GLD V2 main board, exported from the native EasyEDA/JLCPCB source project, with pin-to-net traceability evidence.</w:t>
      </w:r>
    </w:p>
    <w:p>
      <w:pPr>
        <w:jc w:val="center"/>
      </w:pPr>
      <w:r>
        <w:drawing>
          <wp:inline xmlns:a="http://schemas.openxmlformats.org/drawingml/2006/main" xmlns:pic="http://schemas.openxmlformats.org/drawingml/2006/picture">
            <wp:extent cx="5486400" cy="3657600"/>
            <wp:docPr id="26" name="Picture 26"/>
            <wp:cNvGraphicFramePr>
              <a:graphicFrameLocks noChangeAspect="1"/>
            </wp:cNvGraphicFramePr>
            <a:graphic>
              <a:graphicData uri="http://schemas.openxmlformats.org/drawingml/2006/picture">
                <pic:pic>
                  <pic:nvPicPr>
                    <pic:cNvPr id="0" name="02-diagram.png"/>
                    <pic:cNvPicPr/>
                  </pic:nvPicPr>
                  <pic:blipFill>
                    <a:blip r:embed="rId36"/>
                    <a:stretch>
                      <a:fillRect/>
                    </a:stretch>
                  </pic:blipFill>
                  <pic:spPr>
                    <a:xfrm>
                      <a:off x="0" y="0"/>
                      <a:ext cx="5486400" cy="3657600"/>
                    </a:xfrm>
                    <a:prstGeom prst="rect"/>
                  </pic:spPr>
                </pic:pic>
              </a:graphicData>
            </a:graphic>
          </wp:inline>
        </w:drawing>
      </w:r>
    </w:p>
    <w:p>
      <w:pPr>
        <w:spacing w:after="240"/>
        <w:jc w:val="center"/>
      </w:pPr>
      <w:r>
        <w:rPr>
          <w:i/>
          <w:color w:val="4A4A4A"/>
          <w:sz w:val="17"/>
        </w:rPr>
        <w:t>Schematic block diagram, sheet 2 of 9 — main power distribution.</w:t>
      </w:r>
    </w:p>
    <w:p>
      <w:pPr>
        <w:jc w:val="center"/>
      </w:pPr>
      <w:r>
        <w:drawing>
          <wp:inline xmlns:a="http://schemas.openxmlformats.org/drawingml/2006/main" xmlns:pic="http://schemas.openxmlformats.org/drawingml/2006/picture">
            <wp:extent cx="4188616" cy="4206240"/>
            <wp:docPr id="27" name="Picture 27"/>
            <wp:cNvGraphicFramePr>
              <a:graphicFrameLocks noChangeAspect="1"/>
            </wp:cNvGraphicFramePr>
            <a:graphic>
              <a:graphicData uri="http://schemas.openxmlformats.org/drawingml/2006/picture">
                <pic:pic>
                  <pic:nvPicPr>
                    <pic:cNvPr id="0" name="10-pcb-layout.png"/>
                    <pic:cNvPicPr/>
                  </pic:nvPicPr>
                  <pic:blipFill>
                    <a:blip r:embed="rId37"/>
                    <a:stretch>
                      <a:fillRect/>
                    </a:stretch>
                  </pic:blipFill>
                  <pic:spPr>
                    <a:xfrm>
                      <a:off x="0" y="0"/>
                      <a:ext cx="4188616" cy="4206240"/>
                    </a:xfrm>
                    <a:prstGeom prst="rect"/>
                  </pic:spPr>
                </pic:pic>
              </a:graphicData>
            </a:graphic>
          </wp:inline>
        </w:drawing>
      </w:r>
    </w:p>
    <w:p>
      <w:pPr>
        <w:spacing w:after="240"/>
        <w:jc w:val="center"/>
      </w:pPr>
      <w:r>
        <w:rPr>
          <w:i/>
          <w:color w:val="4A4A4A"/>
          <w:sz w:val="17"/>
        </w:rPr>
        <w:t>Main board PCB layout (top copper) — native EasyEDA/JLCPCB export, production-intent board.</w:t>
      </w:r>
    </w:p>
    <w:p>
      <w:pPr>
        <w:spacing w:after="160"/>
      </w:pPr>
      <w:r>
        <w:rPr>
          <w:b w:val="0"/>
          <w:i w:val="0"/>
          <w:sz w:val="21"/>
        </w:rPr>
        <w:t>A dimensioned mechanical drawing exists for the enclosure's external envelope and mounting hardware, drafted from a solid CAD model (STEP format, millimeter units):</w:t>
      </w:r>
    </w:p>
    <w:p>
      <w:pPr>
        <w:jc w:val="center"/>
      </w:pPr>
      <w:r>
        <w:drawing>
          <wp:inline xmlns:a="http://schemas.openxmlformats.org/drawingml/2006/main" xmlns:pic="http://schemas.openxmlformats.org/drawingml/2006/picture">
            <wp:extent cx="5669280" cy="3847707"/>
            <wp:docPr id="28" name="Picture 28"/>
            <wp:cNvGraphicFramePr>
              <a:graphicFrameLocks noChangeAspect="1"/>
            </wp:cNvGraphicFramePr>
            <a:graphic>
              <a:graphicData uri="http://schemas.openxmlformats.org/drawingml/2006/picture">
                <pic:pic>
                  <pic:nvPicPr>
                    <pic:cNvPr id="0" name="bracket-mounting-drawing.png"/>
                    <pic:cNvPicPr/>
                  </pic:nvPicPr>
                  <pic:blipFill>
                    <a:blip r:embed="rId38"/>
                    <a:stretch>
                      <a:fillRect/>
                    </a:stretch>
                  </pic:blipFill>
                  <pic:spPr>
                    <a:xfrm>
                      <a:off x="0" y="0"/>
                      <a:ext cx="5669280" cy="3847707"/>
                    </a:xfrm>
                    <a:prstGeom prst="rect"/>
                  </pic:spPr>
                </pic:pic>
              </a:graphicData>
            </a:graphic>
          </wp:inline>
        </w:drawing>
      </w:r>
    </w:p>
    <w:p>
      <w:pPr>
        <w:spacing w:after="240"/>
        <w:jc w:val="center"/>
      </w:pPr>
      <w:r>
        <w:rPr>
          <w:i/>
          <w:color w:val="4A4A4A"/>
          <w:sz w:val="17"/>
        </w:rPr>
        <w:t>Enclosure envelope &amp; U-bolt mounting plate assembly — dimensioned drawing sheet (drafted 31 Aug 2026, from a STEP solid model).</w:t>
      </w:r>
    </w:p>
    <w:p>
      <w:pPr>
        <w:spacing w:after="160"/>
      </w:pPr>
      <w:r>
        <w:rPr>
          <w:b w:val="0"/>
          <w:i w:val="0"/>
          <w:sz w:val="21"/>
        </w:rPr>
        <w:t>A separate, internal contingency/alternate enclosure design (“GLD ATEX CASE v3”) exists in parallel with the primary commercial-enclosure sourcing path referenced in Section 2.3:</w:t>
      </w:r>
    </w:p>
    <w:p>
      <w:pPr>
        <w:jc w:val="center"/>
      </w:pPr>
      <w:r>
        <w:drawing>
          <wp:inline xmlns:a="http://schemas.openxmlformats.org/drawingml/2006/main" xmlns:pic="http://schemas.openxmlformats.org/drawingml/2006/picture">
            <wp:extent cx="5669280" cy="3188136"/>
            <wp:docPr id="29" name="Picture 29"/>
            <wp:cNvGraphicFramePr>
              <a:graphicFrameLocks noChangeAspect="1"/>
            </wp:cNvGraphicFramePr>
            <a:graphic>
              <a:graphicData uri="http://schemas.openxmlformats.org/drawingml/2006/picture">
                <pic:pic>
                  <pic:nvPicPr>
                    <pic:cNvPr id="0" name="gld_atex_case_v3_dimensioned.png"/>
                    <pic:cNvPicPr/>
                  </pic:nvPicPr>
                  <pic:blipFill>
                    <a:blip r:embed="rId39"/>
                    <a:stretch>
                      <a:fillRect/>
                    </a:stretch>
                  </pic:blipFill>
                  <pic:spPr>
                    <a:xfrm>
                      <a:off x="0" y="0"/>
                      <a:ext cx="5669280" cy="3188136"/>
                    </a:xfrm>
                    <a:prstGeom prst="rect"/>
                  </pic:spPr>
                </pic:pic>
              </a:graphicData>
            </a:graphic>
          </wp:inline>
        </w:drawing>
      </w:r>
    </w:p>
    <w:p>
      <w:pPr>
        <w:spacing w:after="240"/>
        <w:jc w:val="center"/>
      </w:pPr>
      <w:r>
        <w:rPr>
          <w:i/>
          <w:color w:val="4A4A4A"/>
          <w:sz w:val="17"/>
        </w:rPr>
        <w:t>“GLD ATEX CASE v3” dimensioned drawing sheet (Farhan Budiman, 8 Sep 2026) — internal contingency/alternate enclosure design, not the confirmed production enclosure.</w:t>
      </w:r>
    </w:p>
    <w:p>
      <w:pPr>
        <w:spacing w:after="160"/>
      </w:pPr>
      <w:r>
        <w:rPr>
          <w:b w:val="0"/>
          <w:i w:val="0"/>
          <w:sz w:val="21"/>
        </w:rPr>
        <w:t>A candidate junction-box/terminal sub-component drawing has also been received via the casing partner's supply chain (Chinese enclosure-component manufacturer):</w:t>
      </w:r>
    </w:p>
    <w:p>
      <w:pPr>
        <w:jc w:val="center"/>
      </w:pPr>
      <w:r>
        <w:drawing>
          <wp:inline xmlns:a="http://schemas.openxmlformats.org/drawingml/2006/main" xmlns:pic="http://schemas.openxmlformats.org/drawingml/2006/picture">
            <wp:extent cx="5486400" cy="3875980"/>
            <wp:docPr id="30" name="Picture 30"/>
            <wp:cNvGraphicFramePr>
              <a:graphicFrameLocks noChangeAspect="1"/>
            </wp:cNvGraphicFramePr>
            <a:graphic>
              <a:graphicData uri="http://schemas.openxmlformats.org/drawingml/2006/picture">
                <pic:pic>
                  <pic:nvPicPr>
                    <pic:cNvPr id="0" name="bp18-1z_common_base_reference.png"/>
                    <pic:cNvPicPr/>
                  </pic:nvPicPr>
                  <pic:blipFill>
                    <a:blip r:embed="rId40"/>
                    <a:stretch>
                      <a:fillRect/>
                    </a:stretch>
                  </pic:blipFill>
                  <pic:spPr>
                    <a:xfrm>
                      <a:off x="0" y="0"/>
                      <a:ext cx="5486400" cy="3875980"/>
                    </a:xfrm>
                    <a:prstGeom prst="rect"/>
                  </pic:spPr>
                </pic:pic>
              </a:graphicData>
            </a:graphic>
          </wp:inline>
        </w:drawing>
      </w:r>
    </w:p>
    <w:p>
      <w:pPr>
        <w:spacing w:after="240"/>
        <w:jc w:val="center"/>
      </w:pPr>
      <w:r>
        <w:rPr>
          <w:i/>
          <w:color w:val="4A4A4A"/>
          <w:sz w:val="17"/>
        </w:rPr>
        <w:t>“Universal Base” BP18-1Z — supplier reference drawing (ADC12 die-cast aluminum alloy, 0.6 kg). Candidate component under evaluation; footprint does not match GLD's main enclosure, not yet confirmed as part of GLD's design.</w:t>
      </w:r>
    </w:p>
    <w:tbl>
      <w:tblPr>
        <w:tblStyle w:val="TableGrid"/>
        <w:tblW w:type="auto" w:w="0"/>
        <w:jc w:val="center"/>
        <w:tblLook w:firstColumn="1" w:firstRow="1" w:lastColumn="0" w:lastRow="0" w:noHBand="0" w:noVBand="1" w:val="04A0"/>
      </w:tblPr>
      <w:tblGrid>
        <w:gridCol w:w="4873"/>
        <w:gridCol w:w="4873"/>
      </w:tblGrid>
      <w:tr>
        <w:tc>
          <w:tcPr>
            <w:tcW w:type="dxa" w:w="4176"/>
            <w:shd w:val="clear" w:color="auto" w:fill="EFEFEF"/>
          </w:tcPr>
          <w:p>
            <w:pPr>
              <w:spacing w:after="40"/>
            </w:pPr>
            <w:r>
              <w:rPr>
                <w:b/>
                <w:color w:val="4A4A4A"/>
                <w:sz w:val="18"/>
              </w:rPr>
              <w:t>Drawing type</w:t>
            </w:r>
          </w:p>
        </w:tc>
        <w:tc>
          <w:tcPr>
            <w:tcW w:type="dxa" w:w="5184"/>
            <w:shd w:val="clear" w:color="auto" w:fill="EFEFEF"/>
          </w:tcPr>
          <w:p>
            <w:pPr>
              <w:spacing w:after="40"/>
            </w:pPr>
            <w:r>
              <w:rPr>
                <w:b/>
                <w:color w:val="4A4A4A"/>
                <w:sz w:val="18"/>
              </w:rPr>
              <w:t>Status</w:t>
            </w:r>
          </w:p>
        </w:tc>
      </w:tr>
      <w:tr>
        <w:tc>
          <w:tcPr>
            <w:tcW w:type="dxa" w:w="4176"/>
          </w:tcPr>
          <w:p>
            <w:pPr>
              <w:spacing w:after="40"/>
            </w:pPr>
            <w:r>
              <w:rPr>
                <w:sz w:val="19"/>
              </w:rPr>
              <w:t>Electrical schematic — main board</w:t>
            </w:r>
          </w:p>
        </w:tc>
        <w:tc>
          <w:tcPr>
            <w:tcW w:type="dxa" w:w="5184"/>
          </w:tcPr>
          <w:p>
            <w:pPr>
              <w:spacing w:after="40"/>
            </w:pPr>
            <w:r>
              <w:rPr>
                <w:sz w:val="19"/>
              </w:rPr>
              <w:t>Available — 26 sheets PGLD-GLD-V4-MB-SCH-01 to -26, rev. 1.0 (Section 2.6.a.7); sensor-module board schematic not yet included</w:t>
            </w:r>
          </w:p>
        </w:tc>
      </w:tr>
      <w:tr>
        <w:tc>
          <w:tcPr>
            <w:tcW w:type="dxa" w:w="4176"/>
          </w:tcPr>
          <w:p>
            <w:pPr>
              <w:spacing w:after="40"/>
            </w:pPr>
            <w:r>
              <w:rPr>
                <w:sz w:val="19"/>
              </w:rPr>
              <w:t>PCB layout — main board</w:t>
            </w:r>
          </w:p>
        </w:tc>
        <w:tc>
          <w:tcPr>
            <w:tcW w:type="dxa" w:w="5184"/>
          </w:tcPr>
          <w:p>
            <w:pPr>
              <w:spacing w:after="40"/>
            </w:pPr>
            <w:r>
              <w:rPr>
                <w:sz w:val="19"/>
              </w:rPr>
              <w:t>Partially available — 10 views PGLD-GLD-V4-MB-PCB-01 to -10 (Section 2.6.a.8); layout rev/date, laminate data and sensor-module board layout open</w:t>
            </w:r>
          </w:p>
        </w:tc>
      </w:tr>
      <w:tr>
        <w:tc>
          <w:tcPr>
            <w:tcW w:type="dxa" w:w="4176"/>
          </w:tcPr>
          <w:p>
            <w:pPr>
              <w:spacing w:after="40"/>
            </w:pPr>
            <w:r>
              <w:rPr>
                <w:sz w:val="19"/>
              </w:rPr>
              <w:t>Assembly drawing</w:t>
            </w:r>
          </w:p>
        </w:tc>
        <w:tc>
          <w:tcPr>
            <w:tcW w:type="dxa" w:w="5184"/>
          </w:tcPr>
          <w:p>
            <w:pPr>
              <w:spacing w:after="40"/>
            </w:pPr>
            <w:r>
              <w:rPr>
                <w:sz w:val="19"/>
              </w:rPr>
              <w:t>Partially available — covers external envelope and mounting hardware, not internal PCB/component assembly sequence</w:t>
            </w:r>
          </w:p>
        </w:tc>
      </w:tr>
      <w:tr>
        <w:tc>
          <w:tcPr>
            <w:tcW w:type="dxa" w:w="4176"/>
          </w:tcPr>
          <w:p>
            <w:pPr>
              <w:spacing w:after="40"/>
            </w:pPr>
            <w:r>
              <w:rPr>
                <w:sz w:val="19"/>
              </w:rPr>
              <w:t>Component drawing</w:t>
            </w:r>
          </w:p>
        </w:tc>
        <w:tc>
          <w:tcPr>
            <w:tcW w:type="dxa" w:w="5184"/>
          </w:tcPr>
          <w:p>
            <w:pPr>
              <w:spacing w:after="40"/>
            </w:pPr>
            <w:r>
              <w:rPr>
                <w:sz w:val="19"/>
              </w:rPr>
              <w:t>Not yet available</w:t>
            </w:r>
          </w:p>
        </w:tc>
      </w:tr>
      <w:tr>
        <w:tc>
          <w:tcPr>
            <w:tcW w:type="dxa" w:w="4176"/>
          </w:tcPr>
          <w:p>
            <w:pPr>
              <w:spacing w:after="40"/>
            </w:pPr>
            <w:r>
              <w:rPr>
                <w:sz w:val="19"/>
              </w:rPr>
              <w:t>Enclosure structure drawing (gap, length, volume)</w:t>
            </w:r>
          </w:p>
        </w:tc>
        <w:tc>
          <w:tcPr>
            <w:tcW w:type="dxa" w:w="5184"/>
          </w:tcPr>
          <w:p>
            <w:pPr>
              <w:spacing w:after="40"/>
            </w:pPr>
            <w:r>
              <w:rPr>
                <w:sz w:val="19"/>
              </w:rPr>
              <w:t>Partially available — external envelope dimensioned; Ex-d-specific flame-path parameters not yet called out</w:t>
            </w:r>
          </w:p>
        </w:tc>
      </w:tr>
      <w:tr>
        <w:tc>
          <w:tcPr>
            <w:tcW w:type="dxa" w:w="4176"/>
          </w:tcPr>
          <w:p>
            <w:pPr>
              <w:spacing w:after="40"/>
            </w:pPr>
            <w:r>
              <w:rPr>
                <w:sz w:val="19"/>
              </w:rPr>
              <w:t>Junction box / terminal / grounding connection drawings</w:t>
            </w:r>
          </w:p>
        </w:tc>
        <w:tc>
          <w:tcPr>
            <w:tcW w:type="dxa" w:w="5184"/>
          </w:tcPr>
          <w:p>
            <w:pPr>
              <w:spacing w:after="40"/>
            </w:pPr>
            <w:r>
              <w:rPr>
                <w:sz w:val="19"/>
              </w:rPr>
              <w:t>Candidate reference only — BP18-1Z drawing above, not yet confirmed as part of GLD's design</w:t>
            </w:r>
          </w:p>
        </w:tc>
      </w:tr>
    </w:tbl>
    <w:p>
      <w:pPr>
        <w:spacing w:after="120"/>
      </w:pPr>
    </w:p>
    <w:p>
      <w:r>
        <w:br w:type="page"/>
      </w:r>
    </w:p>
    <w:p>
      <w:pPr>
        <w:pStyle w:val="Heading4"/>
      </w:pPr>
      <w:r>
        <w:t>2.6.a.1 Mechanical, enclosure and assembly drawings — complete set</w:t>
      </w:r>
    </w:p>
    <w:p>
      <w:pPr>
        <w:spacing w:after="120"/>
      </w:pPr>
      <w:r>
        <w:rPr>
          <w:b w:val="0"/>
          <w:i w:val="0"/>
          <w:color w:val="262321"/>
          <w:sz w:val="20"/>
        </w:rPr>
        <w:t>This subsection reproduces every mechanical, enclosure and assembly drawing currently available for the GLD: the CAD drawings of the primary enclosure and mounting plate, the full sheet set of the GLD ATEX CASE v3 enclosure design, the supplier drawing of the candidate junction-box base, and the component, structure, terminal, grounding, assembly-sequence and sensor drawings of the manufacturer's design package. Each figure carries a reference number (M-xx) listed in the register below.</w:t>
      </w:r>
    </w:p>
    <w:p>
      <w:pPr>
        <w:keepNext/>
        <w:spacing w:after="80"/>
      </w:pPr>
      <w:r>
        <w:rPr>
          <w:b/>
          <w:i w:val="0"/>
          <w:color w:val="1B335F"/>
          <w:sz w:val="23"/>
        </w:rPr>
        <w:t>Drawing register</w:t>
      </w:r>
    </w:p>
    <w:tbl>
      <w:tblPr>
        <w:tblStyle w:val="TableGrid"/>
        <w:tblW w:type="auto" w:w="0"/>
        <w:jc w:val="center"/>
        <w:tblLayout w:type="fixed"/>
        <w:tblLook w:firstColumn="1" w:firstRow="1" w:lastColumn="0" w:lastRow="0" w:noHBand="0" w:noVBand="1" w:val="04A0"/>
        <w:tblLayout w:type="fixed"/>
      </w:tblPr>
      <w:tblGrid>
        <w:gridCol w:w="864"/>
        <w:gridCol w:w="5616"/>
        <w:gridCol w:w="2160"/>
        <w:gridCol w:w="864"/>
      </w:tblGrid>
      <w:tr>
        <w:trPr>
          <w:tblHeader w:val="true"/>
        </w:trPr>
        <w:tc>
          <w:tcPr>
            <w:tcW w:type="dxa" w:w="864"/>
            <w:shd w:val="clear" w:fill="EAEFF9"/>
          </w:tcPr>
          <w:p>
            <w:pPr>
              <w:spacing w:after="20"/>
            </w:pPr>
            <w:r>
              <w:rPr>
                <w:b/>
                <w:color w:val="1B335F"/>
                <w:sz w:val="17"/>
              </w:rPr>
              <w:t>Ref.</w:t>
            </w:r>
          </w:p>
        </w:tc>
        <w:tc>
          <w:tcPr>
            <w:tcW w:type="dxa" w:w="5616"/>
            <w:shd w:val="clear" w:fill="EAEFF9"/>
          </w:tcPr>
          <w:p>
            <w:pPr>
              <w:spacing w:after="20"/>
            </w:pPr>
            <w:r>
              <w:rPr>
                <w:b/>
                <w:color w:val="1B335F"/>
                <w:sz w:val="17"/>
              </w:rPr>
              <w:t>Title</w:t>
            </w:r>
          </w:p>
        </w:tc>
        <w:tc>
          <w:tcPr>
            <w:tcW w:type="dxa" w:w="2160"/>
            <w:shd w:val="clear" w:fill="EAEFF9"/>
          </w:tcPr>
          <w:p>
            <w:pPr>
              <w:spacing w:after="20"/>
            </w:pPr>
            <w:r>
              <w:rPr>
                <w:b/>
                <w:color w:val="1B335F"/>
                <w:sz w:val="17"/>
              </w:rPr>
              <w:t>Type</w:t>
            </w:r>
          </w:p>
        </w:tc>
        <w:tc>
          <w:tcPr>
            <w:tcW w:type="dxa" w:w="864"/>
            <w:shd w:val="clear" w:fill="EAEFF9"/>
          </w:tcPr>
          <w:p>
            <w:pPr>
              <w:spacing w:after="20"/>
            </w:pPr>
            <w:r>
              <w:rPr>
                <w:b/>
                <w:color w:val="1B335F"/>
                <w:sz w:val="17"/>
              </w:rPr>
              <w:t>Group</w:t>
            </w:r>
          </w:p>
        </w:tc>
      </w:tr>
      <w:tr>
        <w:trPr>
          <w:cantSplit/>
        </w:trPr>
        <w:tc>
          <w:tcPr>
            <w:tcW w:type="dxa" w:w="864"/>
          </w:tcPr>
          <w:p>
            <w:pPr>
              <w:spacing w:after="20"/>
            </w:pPr>
            <w:r>
              <w:rPr>
                <w:b/>
                <w:sz w:val="17"/>
              </w:rPr>
              <w:t>M-A1</w:t>
            </w:r>
          </w:p>
        </w:tc>
        <w:tc>
          <w:tcPr>
            <w:tcW w:type="dxa" w:w="5616"/>
          </w:tcPr>
          <w:p>
            <w:pPr>
              <w:spacing w:after="20"/>
            </w:pPr>
            <w:r>
              <w:rPr>
                <w:sz w:val="17"/>
              </w:rPr>
              <w:t>ATEX CASING v2 — enclosure envelope &amp; U-bolt mounting plate, dimensioned sheet</w:t>
            </w:r>
          </w:p>
        </w:tc>
        <w:tc>
          <w:tcPr>
            <w:tcW w:type="dxa" w:w="2160"/>
          </w:tcPr>
          <w:p>
            <w:pPr>
              <w:spacing w:after="20"/>
            </w:pPr>
            <w:r>
              <w:rPr>
                <w:sz w:val="17"/>
              </w:rPr>
              <w:t>Dimensioned CAD drawing</w:t>
            </w:r>
          </w:p>
        </w:tc>
        <w:tc>
          <w:tcPr>
            <w:tcW w:type="dxa" w:w="864"/>
          </w:tcPr>
          <w:p>
            <w:pPr>
              <w:spacing w:after="20"/>
            </w:pPr>
            <w:r>
              <w:rPr>
                <w:sz w:val="17"/>
              </w:rPr>
              <w:t>A</w:t>
            </w:r>
          </w:p>
        </w:tc>
      </w:tr>
      <w:tr>
        <w:trPr>
          <w:cantSplit/>
        </w:trPr>
        <w:tc>
          <w:tcPr>
            <w:tcW w:type="dxa" w:w="864"/>
          </w:tcPr>
          <w:p>
            <w:pPr>
              <w:spacing w:after="20"/>
            </w:pPr>
            <w:r>
              <w:rPr>
                <w:b/>
                <w:sz w:val="17"/>
              </w:rPr>
              <w:t>M-A2</w:t>
            </w:r>
          </w:p>
        </w:tc>
        <w:tc>
          <w:tcPr>
            <w:tcW w:type="dxa" w:w="5616"/>
          </w:tcPr>
          <w:p>
            <w:pPr>
              <w:spacing w:after="20"/>
            </w:pPr>
            <w:r>
              <w:rPr>
                <w:sz w:val="17"/>
              </w:rPr>
              <w:t>ATEX CASING v2 — six orthographic CAD views (front, rear, left, right, top, bottom)</w:t>
            </w:r>
          </w:p>
        </w:tc>
        <w:tc>
          <w:tcPr>
            <w:tcW w:type="dxa" w:w="2160"/>
          </w:tcPr>
          <w:p>
            <w:pPr>
              <w:spacing w:after="20"/>
            </w:pPr>
            <w:r>
              <w:rPr>
                <w:sz w:val="17"/>
              </w:rPr>
              <w:t>CAD render</w:t>
            </w:r>
          </w:p>
        </w:tc>
        <w:tc>
          <w:tcPr>
            <w:tcW w:type="dxa" w:w="864"/>
          </w:tcPr>
          <w:p>
            <w:pPr>
              <w:spacing w:after="20"/>
            </w:pPr>
            <w:r>
              <w:rPr>
                <w:sz w:val="17"/>
              </w:rPr>
              <w:t>A</w:t>
            </w:r>
          </w:p>
        </w:tc>
      </w:tr>
      <w:tr>
        <w:trPr>
          <w:cantSplit/>
        </w:trPr>
        <w:tc>
          <w:tcPr>
            <w:tcW w:type="dxa" w:w="864"/>
          </w:tcPr>
          <w:p>
            <w:pPr>
              <w:spacing w:after="20"/>
            </w:pPr>
            <w:r>
              <w:rPr>
                <w:b/>
                <w:sz w:val="17"/>
              </w:rPr>
              <w:t>M-B1</w:t>
            </w:r>
          </w:p>
        </w:tc>
        <w:tc>
          <w:tcPr>
            <w:tcW w:type="dxa" w:w="5616"/>
          </w:tcPr>
          <w:p>
            <w:pPr>
              <w:spacing w:after="20"/>
            </w:pPr>
            <w:r>
              <w:rPr>
                <w:sz w:val="17"/>
              </w:rPr>
              <w:t>GLD ATEX CASE v3 — sheet 1: isometric views of the assembled detector</w:t>
            </w:r>
          </w:p>
        </w:tc>
        <w:tc>
          <w:tcPr>
            <w:tcW w:type="dxa" w:w="2160"/>
          </w:tcPr>
          <w:p>
            <w:pPr>
              <w:spacing w:after="20"/>
            </w:pPr>
            <w:r>
              <w:rPr>
                <w:sz w:val="17"/>
              </w:rPr>
              <w:t>CAD render</w:t>
            </w:r>
          </w:p>
        </w:tc>
        <w:tc>
          <w:tcPr>
            <w:tcW w:type="dxa" w:w="864"/>
          </w:tcPr>
          <w:p>
            <w:pPr>
              <w:spacing w:after="20"/>
            </w:pPr>
            <w:r>
              <w:rPr>
                <w:sz w:val="17"/>
              </w:rPr>
              <w:t>B</w:t>
            </w:r>
          </w:p>
        </w:tc>
      </w:tr>
      <w:tr>
        <w:trPr>
          <w:cantSplit/>
        </w:trPr>
        <w:tc>
          <w:tcPr>
            <w:tcW w:type="dxa" w:w="864"/>
          </w:tcPr>
          <w:p>
            <w:pPr>
              <w:spacing w:after="20"/>
            </w:pPr>
            <w:r>
              <w:rPr>
                <w:b/>
                <w:sz w:val="17"/>
              </w:rPr>
              <w:t>M-B2</w:t>
            </w:r>
          </w:p>
        </w:tc>
        <w:tc>
          <w:tcPr>
            <w:tcW w:type="dxa" w:w="5616"/>
          </w:tcPr>
          <w:p>
            <w:pPr>
              <w:spacing w:after="20"/>
            </w:pPr>
            <w:r>
              <w:rPr>
                <w:sz w:val="17"/>
              </w:rPr>
              <w:t>GLD ATEX CASE v3 — sheet 2: top and bottom views</w:t>
            </w:r>
          </w:p>
        </w:tc>
        <w:tc>
          <w:tcPr>
            <w:tcW w:type="dxa" w:w="2160"/>
          </w:tcPr>
          <w:p>
            <w:pPr>
              <w:spacing w:after="20"/>
            </w:pPr>
            <w:r>
              <w:rPr>
                <w:sz w:val="17"/>
              </w:rPr>
              <w:t>CAD render</w:t>
            </w:r>
          </w:p>
        </w:tc>
        <w:tc>
          <w:tcPr>
            <w:tcW w:type="dxa" w:w="864"/>
          </w:tcPr>
          <w:p>
            <w:pPr>
              <w:spacing w:after="20"/>
            </w:pPr>
            <w:r>
              <w:rPr>
                <w:sz w:val="17"/>
              </w:rPr>
              <w:t>B</w:t>
            </w:r>
          </w:p>
        </w:tc>
      </w:tr>
      <w:tr>
        <w:trPr>
          <w:cantSplit/>
        </w:trPr>
        <w:tc>
          <w:tcPr>
            <w:tcW w:type="dxa" w:w="864"/>
          </w:tcPr>
          <w:p>
            <w:pPr>
              <w:spacing w:after="20"/>
            </w:pPr>
            <w:r>
              <w:rPr>
                <w:b/>
                <w:sz w:val="17"/>
              </w:rPr>
              <w:t>M-B3</w:t>
            </w:r>
          </w:p>
        </w:tc>
        <w:tc>
          <w:tcPr>
            <w:tcW w:type="dxa" w:w="5616"/>
          </w:tcPr>
          <w:p>
            <w:pPr>
              <w:spacing w:after="20"/>
            </w:pPr>
            <w:r>
              <w:rPr>
                <w:sz w:val="17"/>
              </w:rPr>
              <w:t>GLD ATEX CASE v3 — sheet 3: side and rear views</w:t>
            </w:r>
          </w:p>
        </w:tc>
        <w:tc>
          <w:tcPr>
            <w:tcW w:type="dxa" w:w="2160"/>
          </w:tcPr>
          <w:p>
            <w:pPr>
              <w:spacing w:after="20"/>
            </w:pPr>
            <w:r>
              <w:rPr>
                <w:sz w:val="17"/>
              </w:rPr>
              <w:t>CAD render</w:t>
            </w:r>
          </w:p>
        </w:tc>
        <w:tc>
          <w:tcPr>
            <w:tcW w:type="dxa" w:w="864"/>
          </w:tcPr>
          <w:p>
            <w:pPr>
              <w:spacing w:after="20"/>
            </w:pPr>
            <w:r>
              <w:rPr>
                <w:sz w:val="17"/>
              </w:rPr>
              <w:t>B</w:t>
            </w:r>
          </w:p>
        </w:tc>
      </w:tr>
      <w:tr>
        <w:trPr>
          <w:cantSplit/>
        </w:trPr>
        <w:tc>
          <w:tcPr>
            <w:tcW w:type="dxa" w:w="864"/>
          </w:tcPr>
          <w:p>
            <w:pPr>
              <w:spacing w:after="20"/>
            </w:pPr>
            <w:r>
              <w:rPr>
                <w:b/>
                <w:sz w:val="17"/>
              </w:rPr>
              <w:t>M-B4</w:t>
            </w:r>
          </w:p>
        </w:tc>
        <w:tc>
          <w:tcPr>
            <w:tcW w:type="dxa" w:w="5616"/>
          </w:tcPr>
          <w:p>
            <w:pPr>
              <w:spacing w:after="20"/>
            </w:pPr>
            <w:r>
              <w:rPr>
                <w:sz w:val="17"/>
              </w:rPr>
              <w:t>GLD ATEX CASE v3 — sheet 4: front/back and mounting-lug views</w:t>
            </w:r>
          </w:p>
        </w:tc>
        <w:tc>
          <w:tcPr>
            <w:tcW w:type="dxa" w:w="2160"/>
          </w:tcPr>
          <w:p>
            <w:pPr>
              <w:spacing w:after="20"/>
            </w:pPr>
            <w:r>
              <w:rPr>
                <w:sz w:val="17"/>
              </w:rPr>
              <w:t>CAD render</w:t>
            </w:r>
          </w:p>
        </w:tc>
        <w:tc>
          <w:tcPr>
            <w:tcW w:type="dxa" w:w="864"/>
          </w:tcPr>
          <w:p>
            <w:pPr>
              <w:spacing w:after="20"/>
            </w:pPr>
            <w:r>
              <w:rPr>
                <w:sz w:val="17"/>
              </w:rPr>
              <w:t>B</w:t>
            </w:r>
          </w:p>
        </w:tc>
      </w:tr>
      <w:tr>
        <w:trPr>
          <w:cantSplit/>
        </w:trPr>
        <w:tc>
          <w:tcPr>
            <w:tcW w:type="dxa" w:w="864"/>
          </w:tcPr>
          <w:p>
            <w:pPr>
              <w:spacing w:after="20"/>
            </w:pPr>
            <w:r>
              <w:rPr>
                <w:b/>
                <w:sz w:val="17"/>
              </w:rPr>
              <w:t>M-B5</w:t>
            </w:r>
          </w:p>
        </w:tc>
        <w:tc>
          <w:tcPr>
            <w:tcW w:type="dxa" w:w="5616"/>
          </w:tcPr>
          <w:p>
            <w:pPr>
              <w:spacing w:after="20"/>
            </w:pPr>
            <w:r>
              <w:rPr>
                <w:sz w:val="17"/>
              </w:rPr>
              <w:t>GLD ATEX CASE v3 — sheet 5: exploded views (four viewpoints)</w:t>
            </w:r>
          </w:p>
        </w:tc>
        <w:tc>
          <w:tcPr>
            <w:tcW w:type="dxa" w:w="2160"/>
          </w:tcPr>
          <w:p>
            <w:pPr>
              <w:spacing w:after="20"/>
            </w:pPr>
            <w:r>
              <w:rPr>
                <w:sz w:val="17"/>
              </w:rPr>
              <w:t>CAD exploded view</w:t>
            </w:r>
          </w:p>
        </w:tc>
        <w:tc>
          <w:tcPr>
            <w:tcW w:type="dxa" w:w="864"/>
          </w:tcPr>
          <w:p>
            <w:pPr>
              <w:spacing w:after="20"/>
            </w:pPr>
            <w:r>
              <w:rPr>
                <w:sz w:val="17"/>
              </w:rPr>
              <w:t>B</w:t>
            </w:r>
          </w:p>
        </w:tc>
      </w:tr>
      <w:tr>
        <w:trPr>
          <w:cantSplit/>
        </w:trPr>
        <w:tc>
          <w:tcPr>
            <w:tcW w:type="dxa" w:w="864"/>
          </w:tcPr>
          <w:p>
            <w:pPr>
              <w:spacing w:after="20"/>
            </w:pPr>
            <w:r>
              <w:rPr>
                <w:b/>
                <w:sz w:val="17"/>
              </w:rPr>
              <w:t>M-B6</w:t>
            </w:r>
          </w:p>
        </w:tc>
        <w:tc>
          <w:tcPr>
            <w:tcW w:type="dxa" w:w="5616"/>
          </w:tcPr>
          <w:p>
            <w:pPr>
              <w:spacing w:after="20"/>
            </w:pPr>
            <w:r>
              <w:rPr>
                <w:sz w:val="17"/>
              </w:rPr>
              <w:t>GLD ATEX CASE v3 — sheet 6: exploded views of the sensor-head stack</w:t>
            </w:r>
          </w:p>
        </w:tc>
        <w:tc>
          <w:tcPr>
            <w:tcW w:type="dxa" w:w="2160"/>
          </w:tcPr>
          <w:p>
            <w:pPr>
              <w:spacing w:after="20"/>
            </w:pPr>
            <w:r>
              <w:rPr>
                <w:sz w:val="17"/>
              </w:rPr>
              <w:t>CAD exploded view</w:t>
            </w:r>
          </w:p>
        </w:tc>
        <w:tc>
          <w:tcPr>
            <w:tcW w:type="dxa" w:w="864"/>
          </w:tcPr>
          <w:p>
            <w:pPr>
              <w:spacing w:after="20"/>
            </w:pPr>
            <w:r>
              <w:rPr>
                <w:sz w:val="17"/>
              </w:rPr>
              <w:t>B</w:t>
            </w:r>
          </w:p>
        </w:tc>
      </w:tr>
      <w:tr>
        <w:trPr>
          <w:cantSplit/>
        </w:trPr>
        <w:tc>
          <w:tcPr>
            <w:tcW w:type="dxa" w:w="864"/>
          </w:tcPr>
          <w:p>
            <w:pPr>
              <w:spacing w:after="20"/>
            </w:pPr>
            <w:r>
              <w:rPr>
                <w:b/>
                <w:sz w:val="17"/>
              </w:rPr>
              <w:t>M-B7</w:t>
            </w:r>
          </w:p>
        </w:tc>
        <w:tc>
          <w:tcPr>
            <w:tcW w:type="dxa" w:w="5616"/>
          </w:tcPr>
          <w:p>
            <w:pPr>
              <w:spacing w:after="20"/>
            </w:pPr>
            <w:r>
              <w:rPr>
                <w:sz w:val="17"/>
              </w:rPr>
              <w:t>GLD ATEX CASE v3 — sheet 7: dimensioned drawing with title block</w:t>
            </w:r>
          </w:p>
        </w:tc>
        <w:tc>
          <w:tcPr>
            <w:tcW w:type="dxa" w:w="2160"/>
          </w:tcPr>
          <w:p>
            <w:pPr>
              <w:spacing w:after="20"/>
            </w:pPr>
            <w:r>
              <w:rPr>
                <w:sz w:val="17"/>
              </w:rPr>
              <w:t>Dimensioned CAD drawing</w:t>
            </w:r>
          </w:p>
        </w:tc>
        <w:tc>
          <w:tcPr>
            <w:tcW w:type="dxa" w:w="864"/>
          </w:tcPr>
          <w:p>
            <w:pPr>
              <w:spacing w:after="20"/>
            </w:pPr>
            <w:r>
              <w:rPr>
                <w:sz w:val="17"/>
              </w:rPr>
              <w:t>B</w:t>
            </w:r>
          </w:p>
        </w:tc>
      </w:tr>
      <w:tr>
        <w:trPr>
          <w:cantSplit/>
        </w:trPr>
        <w:tc>
          <w:tcPr>
            <w:tcW w:type="dxa" w:w="864"/>
          </w:tcPr>
          <w:p>
            <w:pPr>
              <w:spacing w:after="20"/>
            </w:pPr>
            <w:r>
              <w:rPr>
                <w:b/>
                <w:sz w:val="17"/>
              </w:rPr>
              <w:t>M-C1</w:t>
            </w:r>
          </w:p>
        </w:tc>
        <w:tc>
          <w:tcPr>
            <w:tcW w:type="dxa" w:w="5616"/>
          </w:tcPr>
          <w:p>
            <w:pPr>
              <w:spacing w:after="20"/>
            </w:pPr>
            <w:r>
              <w:rPr>
                <w:sz w:val="17"/>
              </w:rPr>
              <w:t>Universal Base BP18-1Z — supplier reference drawing</w:t>
            </w:r>
          </w:p>
        </w:tc>
        <w:tc>
          <w:tcPr>
            <w:tcW w:type="dxa" w:w="2160"/>
          </w:tcPr>
          <w:p>
            <w:pPr>
              <w:spacing w:after="20"/>
            </w:pPr>
            <w:r>
              <w:rPr>
                <w:sz w:val="17"/>
              </w:rPr>
              <w:t>Supplier dimensioned drawing</w:t>
            </w:r>
          </w:p>
        </w:tc>
        <w:tc>
          <w:tcPr>
            <w:tcW w:type="dxa" w:w="864"/>
          </w:tcPr>
          <w:p>
            <w:pPr>
              <w:spacing w:after="20"/>
            </w:pPr>
            <w:r>
              <w:rPr>
                <w:sz w:val="17"/>
              </w:rPr>
              <w:t>C</w:t>
            </w:r>
          </w:p>
        </w:tc>
      </w:tr>
      <w:tr>
        <w:trPr>
          <w:cantSplit/>
        </w:trPr>
        <w:tc>
          <w:tcPr>
            <w:tcW w:type="dxa" w:w="864"/>
          </w:tcPr>
          <w:p>
            <w:pPr>
              <w:spacing w:after="20"/>
            </w:pPr>
            <w:r>
              <w:rPr>
                <w:b/>
                <w:sz w:val="17"/>
              </w:rPr>
              <w:t>M-D1</w:t>
            </w:r>
          </w:p>
        </w:tc>
        <w:tc>
          <w:tcPr>
            <w:tcW w:type="dxa" w:w="5616"/>
          </w:tcPr>
          <w:p>
            <w:pPr>
              <w:spacing w:after="20"/>
            </w:pPr>
            <w:r>
              <w:rPr>
                <w:sz w:val="17"/>
              </w:rPr>
              <w:t>LoRa antenna, MQ sensor and enclosure body &amp; cover</w:t>
            </w:r>
          </w:p>
        </w:tc>
        <w:tc>
          <w:tcPr>
            <w:tcW w:type="dxa" w:w="2160"/>
          </w:tcPr>
          <w:p>
            <w:pPr>
              <w:spacing w:after="20"/>
            </w:pPr>
            <w:r>
              <w:rPr>
                <w:sz w:val="17"/>
              </w:rPr>
              <w:t>Component photographs</w:t>
            </w:r>
          </w:p>
        </w:tc>
        <w:tc>
          <w:tcPr>
            <w:tcW w:type="dxa" w:w="864"/>
          </w:tcPr>
          <w:p>
            <w:pPr>
              <w:spacing w:after="20"/>
            </w:pPr>
            <w:r>
              <w:rPr>
                <w:sz w:val="17"/>
              </w:rPr>
              <w:t>D</w:t>
            </w:r>
          </w:p>
        </w:tc>
      </w:tr>
      <w:tr>
        <w:trPr>
          <w:cantSplit/>
        </w:trPr>
        <w:tc>
          <w:tcPr>
            <w:tcW w:type="dxa" w:w="864"/>
          </w:tcPr>
          <w:p>
            <w:pPr>
              <w:spacing w:after="20"/>
            </w:pPr>
            <w:r>
              <w:rPr>
                <w:b/>
                <w:sz w:val="17"/>
              </w:rPr>
              <w:t>M-D2</w:t>
            </w:r>
          </w:p>
        </w:tc>
        <w:tc>
          <w:tcPr>
            <w:tcW w:type="dxa" w:w="5616"/>
          </w:tcPr>
          <w:p>
            <w:pPr>
              <w:spacing w:after="20"/>
            </w:pPr>
            <w:r>
              <w:rPr>
                <w:sz w:val="17"/>
              </w:rPr>
              <w:t>Rubber gasket — locations</w:t>
            </w:r>
          </w:p>
        </w:tc>
        <w:tc>
          <w:tcPr>
            <w:tcW w:type="dxa" w:w="2160"/>
          </w:tcPr>
          <w:p>
            <w:pPr>
              <w:spacing w:after="20"/>
            </w:pPr>
            <w:r>
              <w:rPr>
                <w:sz w:val="17"/>
              </w:rPr>
              <w:t>Component photographs</w:t>
            </w:r>
          </w:p>
        </w:tc>
        <w:tc>
          <w:tcPr>
            <w:tcW w:type="dxa" w:w="864"/>
          </w:tcPr>
          <w:p>
            <w:pPr>
              <w:spacing w:after="20"/>
            </w:pPr>
            <w:r>
              <w:rPr>
                <w:sz w:val="17"/>
              </w:rPr>
              <w:t>D</w:t>
            </w:r>
          </w:p>
        </w:tc>
      </w:tr>
      <w:tr>
        <w:trPr>
          <w:cantSplit/>
        </w:trPr>
        <w:tc>
          <w:tcPr>
            <w:tcW w:type="dxa" w:w="864"/>
          </w:tcPr>
          <w:p>
            <w:pPr>
              <w:spacing w:after="20"/>
            </w:pPr>
            <w:r>
              <w:rPr>
                <w:b/>
                <w:sz w:val="17"/>
              </w:rPr>
              <w:t>M-D3</w:t>
            </w:r>
          </w:p>
        </w:tc>
        <w:tc>
          <w:tcPr>
            <w:tcW w:type="dxa" w:w="5616"/>
          </w:tcPr>
          <w:p>
            <w:pPr>
              <w:spacing w:after="20"/>
            </w:pPr>
            <w:r>
              <w:rPr>
                <w:sz w:val="17"/>
              </w:rPr>
              <w:t>Rubber gasket — part</w:t>
            </w:r>
          </w:p>
        </w:tc>
        <w:tc>
          <w:tcPr>
            <w:tcW w:type="dxa" w:w="2160"/>
          </w:tcPr>
          <w:p>
            <w:pPr>
              <w:spacing w:after="20"/>
            </w:pPr>
            <w:r>
              <w:rPr>
                <w:sz w:val="17"/>
              </w:rPr>
              <w:t>Component photograph</w:t>
            </w:r>
          </w:p>
        </w:tc>
        <w:tc>
          <w:tcPr>
            <w:tcW w:type="dxa" w:w="864"/>
          </w:tcPr>
          <w:p>
            <w:pPr>
              <w:spacing w:after="20"/>
            </w:pPr>
            <w:r>
              <w:rPr>
                <w:sz w:val="17"/>
              </w:rPr>
              <w:t>D</w:t>
            </w:r>
          </w:p>
        </w:tc>
      </w:tr>
      <w:tr>
        <w:trPr>
          <w:cantSplit/>
        </w:trPr>
        <w:tc>
          <w:tcPr>
            <w:tcW w:type="dxa" w:w="864"/>
          </w:tcPr>
          <w:p>
            <w:pPr>
              <w:spacing w:after="20"/>
            </w:pPr>
            <w:r>
              <w:rPr>
                <w:b/>
                <w:sz w:val="17"/>
              </w:rPr>
              <w:t>M-D4</w:t>
            </w:r>
          </w:p>
        </w:tc>
        <w:tc>
          <w:tcPr>
            <w:tcW w:type="dxa" w:w="5616"/>
          </w:tcPr>
          <w:p>
            <w:pPr>
              <w:spacing w:after="20"/>
            </w:pPr>
            <w:r>
              <w:rPr>
                <w:sz w:val="17"/>
              </w:rPr>
              <w:t>Stainless wire-mesh plate</w:t>
            </w:r>
          </w:p>
        </w:tc>
        <w:tc>
          <w:tcPr>
            <w:tcW w:type="dxa" w:w="2160"/>
          </w:tcPr>
          <w:p>
            <w:pPr>
              <w:spacing w:after="20"/>
            </w:pPr>
            <w:r>
              <w:rPr>
                <w:sz w:val="17"/>
              </w:rPr>
              <w:t>Component photographs</w:t>
            </w:r>
          </w:p>
        </w:tc>
        <w:tc>
          <w:tcPr>
            <w:tcW w:type="dxa" w:w="864"/>
          </w:tcPr>
          <w:p>
            <w:pPr>
              <w:spacing w:after="20"/>
            </w:pPr>
            <w:r>
              <w:rPr>
                <w:sz w:val="17"/>
              </w:rPr>
              <w:t>D</w:t>
            </w:r>
          </w:p>
        </w:tc>
      </w:tr>
      <w:tr>
        <w:trPr>
          <w:cantSplit/>
        </w:trPr>
        <w:tc>
          <w:tcPr>
            <w:tcW w:type="dxa" w:w="864"/>
          </w:tcPr>
          <w:p>
            <w:pPr>
              <w:spacing w:after="20"/>
            </w:pPr>
            <w:r>
              <w:rPr>
                <w:b/>
                <w:sz w:val="17"/>
              </w:rPr>
              <w:t>M-D5</w:t>
            </w:r>
          </w:p>
        </w:tc>
        <w:tc>
          <w:tcPr>
            <w:tcW w:type="dxa" w:w="5616"/>
          </w:tcPr>
          <w:p>
            <w:pPr>
              <w:spacing w:after="20"/>
            </w:pPr>
            <w:r>
              <w:rPr>
                <w:sz w:val="17"/>
              </w:rPr>
              <w:t>Visual/audible alarm beacon; motherboard inside base casing</w:t>
            </w:r>
          </w:p>
        </w:tc>
        <w:tc>
          <w:tcPr>
            <w:tcW w:type="dxa" w:w="2160"/>
          </w:tcPr>
          <w:p>
            <w:pPr>
              <w:spacing w:after="20"/>
            </w:pPr>
            <w:r>
              <w:rPr>
                <w:sz w:val="17"/>
              </w:rPr>
              <w:t>Component photographs</w:t>
            </w:r>
          </w:p>
        </w:tc>
        <w:tc>
          <w:tcPr>
            <w:tcW w:type="dxa" w:w="864"/>
          </w:tcPr>
          <w:p>
            <w:pPr>
              <w:spacing w:after="20"/>
            </w:pPr>
            <w:r>
              <w:rPr>
                <w:sz w:val="17"/>
              </w:rPr>
              <w:t>D</w:t>
            </w:r>
          </w:p>
        </w:tc>
      </w:tr>
      <w:tr>
        <w:trPr>
          <w:cantSplit/>
        </w:trPr>
        <w:tc>
          <w:tcPr>
            <w:tcW w:type="dxa" w:w="864"/>
          </w:tcPr>
          <w:p>
            <w:pPr>
              <w:spacing w:after="20"/>
            </w:pPr>
            <w:r>
              <w:rPr>
                <w:b/>
                <w:sz w:val="17"/>
              </w:rPr>
              <w:t>M-D6</w:t>
            </w:r>
          </w:p>
        </w:tc>
        <w:tc>
          <w:tcPr>
            <w:tcW w:type="dxa" w:w="5616"/>
          </w:tcPr>
          <w:p>
            <w:pPr>
              <w:spacing w:after="20"/>
            </w:pPr>
            <w:r>
              <w:rPr>
                <w:sz w:val="17"/>
              </w:rPr>
              <w:t>Motherboard with MQ sensors inside base casing</w:t>
            </w:r>
          </w:p>
        </w:tc>
        <w:tc>
          <w:tcPr>
            <w:tcW w:type="dxa" w:w="2160"/>
          </w:tcPr>
          <w:p>
            <w:pPr>
              <w:spacing w:after="20"/>
            </w:pPr>
            <w:r>
              <w:rPr>
                <w:sz w:val="17"/>
              </w:rPr>
              <w:t>Component photograph</w:t>
            </w:r>
          </w:p>
        </w:tc>
        <w:tc>
          <w:tcPr>
            <w:tcW w:type="dxa" w:w="864"/>
          </w:tcPr>
          <w:p>
            <w:pPr>
              <w:spacing w:after="20"/>
            </w:pPr>
            <w:r>
              <w:rPr>
                <w:sz w:val="17"/>
              </w:rPr>
              <w:t>D</w:t>
            </w:r>
          </w:p>
        </w:tc>
      </w:tr>
      <w:tr>
        <w:trPr>
          <w:cantSplit/>
        </w:trPr>
        <w:tc>
          <w:tcPr>
            <w:tcW w:type="dxa" w:w="864"/>
          </w:tcPr>
          <w:p>
            <w:pPr>
              <w:spacing w:after="20"/>
            </w:pPr>
            <w:r>
              <w:rPr>
                <w:b/>
                <w:sz w:val="17"/>
              </w:rPr>
              <w:t>M-D7</w:t>
            </w:r>
          </w:p>
        </w:tc>
        <w:tc>
          <w:tcPr>
            <w:tcW w:type="dxa" w:w="5616"/>
          </w:tcPr>
          <w:p>
            <w:pPr>
              <w:spacing w:after="20"/>
            </w:pPr>
            <w:r>
              <w:rPr>
                <w:sz w:val="17"/>
              </w:rPr>
              <w:t>Common base design</w:t>
            </w:r>
          </w:p>
        </w:tc>
        <w:tc>
          <w:tcPr>
            <w:tcW w:type="dxa" w:w="2160"/>
          </w:tcPr>
          <w:p>
            <w:pPr>
              <w:spacing w:after="20"/>
            </w:pPr>
            <w:r>
              <w:rPr>
                <w:sz w:val="17"/>
              </w:rPr>
              <w:t>Dimensioned drawing</w:t>
            </w:r>
          </w:p>
        </w:tc>
        <w:tc>
          <w:tcPr>
            <w:tcW w:type="dxa" w:w="864"/>
          </w:tcPr>
          <w:p>
            <w:pPr>
              <w:spacing w:after="20"/>
            </w:pPr>
            <w:r>
              <w:rPr>
                <w:sz w:val="17"/>
              </w:rPr>
              <w:t>D</w:t>
            </w:r>
          </w:p>
        </w:tc>
      </w:tr>
      <w:tr>
        <w:trPr>
          <w:cantSplit/>
        </w:trPr>
        <w:tc>
          <w:tcPr>
            <w:tcW w:type="dxa" w:w="864"/>
          </w:tcPr>
          <w:p>
            <w:pPr>
              <w:spacing w:after="20"/>
            </w:pPr>
            <w:r>
              <w:rPr>
                <w:b/>
                <w:sz w:val="17"/>
              </w:rPr>
              <w:t>M-D8</w:t>
            </w:r>
          </w:p>
        </w:tc>
        <w:tc>
          <w:tcPr>
            <w:tcW w:type="dxa" w:w="5616"/>
          </w:tcPr>
          <w:p>
            <w:pPr>
              <w:spacing w:after="20"/>
            </w:pPr>
            <w:r>
              <w:rPr>
                <w:sz w:val="17"/>
              </w:rPr>
              <w:t>Overall exploded views I and II</w:t>
            </w:r>
          </w:p>
        </w:tc>
        <w:tc>
          <w:tcPr>
            <w:tcW w:type="dxa" w:w="2160"/>
          </w:tcPr>
          <w:p>
            <w:pPr>
              <w:spacing w:after="20"/>
            </w:pPr>
            <w:r>
              <w:rPr>
                <w:sz w:val="17"/>
              </w:rPr>
              <w:t>Exploded line drawing</w:t>
            </w:r>
          </w:p>
        </w:tc>
        <w:tc>
          <w:tcPr>
            <w:tcW w:type="dxa" w:w="864"/>
          </w:tcPr>
          <w:p>
            <w:pPr>
              <w:spacing w:after="20"/>
            </w:pPr>
            <w:r>
              <w:rPr>
                <w:sz w:val="17"/>
              </w:rPr>
              <w:t>D</w:t>
            </w:r>
          </w:p>
        </w:tc>
      </w:tr>
      <w:tr>
        <w:trPr>
          <w:cantSplit/>
        </w:trPr>
        <w:tc>
          <w:tcPr>
            <w:tcW w:type="dxa" w:w="864"/>
          </w:tcPr>
          <w:p>
            <w:pPr>
              <w:spacing w:after="20"/>
            </w:pPr>
            <w:r>
              <w:rPr>
                <w:b/>
                <w:sz w:val="17"/>
              </w:rPr>
              <w:t>M-D9</w:t>
            </w:r>
          </w:p>
        </w:tc>
        <w:tc>
          <w:tcPr>
            <w:tcW w:type="dxa" w:w="5616"/>
          </w:tcPr>
          <w:p>
            <w:pPr>
              <w:spacing w:after="20"/>
            </w:pPr>
            <w:r>
              <w:rPr>
                <w:sz w:val="17"/>
              </w:rPr>
              <w:t>Overall exploded view III</w:t>
            </w:r>
          </w:p>
        </w:tc>
        <w:tc>
          <w:tcPr>
            <w:tcW w:type="dxa" w:w="2160"/>
          </w:tcPr>
          <w:p>
            <w:pPr>
              <w:spacing w:after="20"/>
            </w:pPr>
            <w:r>
              <w:rPr>
                <w:sz w:val="17"/>
              </w:rPr>
              <w:t>Exploded line drawing</w:t>
            </w:r>
          </w:p>
        </w:tc>
        <w:tc>
          <w:tcPr>
            <w:tcW w:type="dxa" w:w="864"/>
          </w:tcPr>
          <w:p>
            <w:pPr>
              <w:spacing w:after="20"/>
            </w:pPr>
            <w:r>
              <w:rPr>
                <w:sz w:val="17"/>
              </w:rPr>
              <w:t>D</w:t>
            </w:r>
          </w:p>
        </w:tc>
      </w:tr>
      <w:tr>
        <w:trPr>
          <w:cantSplit/>
        </w:trPr>
        <w:tc>
          <w:tcPr>
            <w:tcW w:type="dxa" w:w="864"/>
          </w:tcPr>
          <w:p>
            <w:pPr>
              <w:spacing w:after="20"/>
            </w:pPr>
            <w:r>
              <w:rPr>
                <w:b/>
                <w:sz w:val="17"/>
              </w:rPr>
              <w:t>M-D10</w:t>
            </w:r>
          </w:p>
        </w:tc>
        <w:tc>
          <w:tcPr>
            <w:tcW w:type="dxa" w:w="5616"/>
          </w:tcPr>
          <w:p>
            <w:pPr>
              <w:spacing w:after="20"/>
            </w:pPr>
            <w:r>
              <w:rPr>
                <w:sz w:val="17"/>
              </w:rPr>
              <w:t>Motherboard PCB power-in and PCB cover (terminal module)</w:t>
            </w:r>
          </w:p>
        </w:tc>
        <w:tc>
          <w:tcPr>
            <w:tcW w:type="dxa" w:w="2160"/>
          </w:tcPr>
          <w:p>
            <w:pPr>
              <w:spacing w:after="20"/>
            </w:pPr>
            <w:r>
              <w:rPr>
                <w:sz w:val="17"/>
              </w:rPr>
              <w:t>CAD render</w:t>
            </w:r>
          </w:p>
        </w:tc>
        <w:tc>
          <w:tcPr>
            <w:tcW w:type="dxa" w:w="864"/>
          </w:tcPr>
          <w:p>
            <w:pPr>
              <w:spacing w:after="20"/>
            </w:pPr>
            <w:r>
              <w:rPr>
                <w:sz w:val="17"/>
              </w:rPr>
              <w:t>D</w:t>
            </w:r>
          </w:p>
        </w:tc>
      </w:tr>
      <w:tr>
        <w:trPr>
          <w:cantSplit/>
        </w:trPr>
        <w:tc>
          <w:tcPr>
            <w:tcW w:type="dxa" w:w="864"/>
          </w:tcPr>
          <w:p>
            <w:pPr>
              <w:spacing w:after="20"/>
            </w:pPr>
            <w:r>
              <w:rPr>
                <w:b/>
                <w:sz w:val="17"/>
              </w:rPr>
              <w:t>M-D11</w:t>
            </w:r>
          </w:p>
        </w:tc>
        <w:tc>
          <w:tcPr>
            <w:tcW w:type="dxa" w:w="5616"/>
          </w:tcPr>
          <w:p>
            <w:pPr>
              <w:spacing w:after="20"/>
            </w:pPr>
            <w:r>
              <w:rPr>
                <w:sz w:val="17"/>
              </w:rPr>
              <w:t>Motherboard and PCB cover</w:t>
            </w:r>
          </w:p>
        </w:tc>
        <w:tc>
          <w:tcPr>
            <w:tcW w:type="dxa" w:w="2160"/>
          </w:tcPr>
          <w:p>
            <w:pPr>
              <w:spacing w:after="20"/>
            </w:pPr>
            <w:r>
              <w:rPr>
                <w:sz w:val="17"/>
              </w:rPr>
              <w:t>CAD render</w:t>
            </w:r>
          </w:p>
        </w:tc>
        <w:tc>
          <w:tcPr>
            <w:tcW w:type="dxa" w:w="864"/>
          </w:tcPr>
          <w:p>
            <w:pPr>
              <w:spacing w:after="20"/>
            </w:pPr>
            <w:r>
              <w:rPr>
                <w:sz w:val="17"/>
              </w:rPr>
              <w:t>D</w:t>
            </w:r>
          </w:p>
        </w:tc>
      </w:tr>
      <w:tr>
        <w:trPr>
          <w:cantSplit/>
        </w:trPr>
        <w:tc>
          <w:tcPr>
            <w:tcW w:type="dxa" w:w="864"/>
          </w:tcPr>
          <w:p>
            <w:pPr>
              <w:spacing w:after="20"/>
            </w:pPr>
            <w:r>
              <w:rPr>
                <w:b/>
                <w:sz w:val="17"/>
              </w:rPr>
              <w:t>M-D12</w:t>
            </w:r>
          </w:p>
        </w:tc>
        <w:tc>
          <w:tcPr>
            <w:tcW w:type="dxa" w:w="5616"/>
          </w:tcPr>
          <w:p>
            <w:pPr>
              <w:spacing w:after="20"/>
            </w:pPr>
            <w:r>
              <w:rPr>
                <w:sz w:val="17"/>
              </w:rPr>
              <w:t>Component drawing</w:t>
            </w:r>
          </w:p>
        </w:tc>
        <w:tc>
          <w:tcPr>
            <w:tcW w:type="dxa" w:w="2160"/>
          </w:tcPr>
          <w:p>
            <w:pPr>
              <w:spacing w:after="20"/>
            </w:pPr>
            <w:r>
              <w:rPr>
                <w:sz w:val="17"/>
              </w:rPr>
              <w:t>Component photographs</w:t>
            </w:r>
          </w:p>
        </w:tc>
        <w:tc>
          <w:tcPr>
            <w:tcW w:type="dxa" w:w="864"/>
          </w:tcPr>
          <w:p>
            <w:pPr>
              <w:spacing w:after="20"/>
            </w:pPr>
            <w:r>
              <w:rPr>
                <w:sz w:val="17"/>
              </w:rPr>
              <w:t>D</w:t>
            </w:r>
          </w:p>
        </w:tc>
      </w:tr>
      <w:tr>
        <w:trPr>
          <w:cantSplit/>
        </w:trPr>
        <w:tc>
          <w:tcPr>
            <w:tcW w:type="dxa" w:w="864"/>
          </w:tcPr>
          <w:p>
            <w:pPr>
              <w:spacing w:after="20"/>
            </w:pPr>
            <w:r>
              <w:rPr>
                <w:b/>
                <w:sz w:val="17"/>
              </w:rPr>
              <w:t>M-D13</w:t>
            </w:r>
          </w:p>
        </w:tc>
        <w:tc>
          <w:tcPr>
            <w:tcW w:type="dxa" w:w="5616"/>
          </w:tcPr>
          <w:p>
            <w:pPr>
              <w:spacing w:after="20"/>
            </w:pPr>
            <w:r>
              <w:rPr>
                <w:sz w:val="17"/>
              </w:rPr>
              <w:t>Electrical block diagram and enclosure structure</w:t>
            </w:r>
          </w:p>
        </w:tc>
        <w:tc>
          <w:tcPr>
            <w:tcW w:type="dxa" w:w="2160"/>
          </w:tcPr>
          <w:p>
            <w:pPr>
              <w:spacing w:after="20"/>
            </w:pPr>
            <w:r>
              <w:rPr>
                <w:sz w:val="17"/>
              </w:rPr>
              <w:t>Block diagram / dimensioned drawing</w:t>
            </w:r>
          </w:p>
        </w:tc>
        <w:tc>
          <w:tcPr>
            <w:tcW w:type="dxa" w:w="864"/>
          </w:tcPr>
          <w:p>
            <w:pPr>
              <w:spacing w:after="20"/>
            </w:pPr>
            <w:r>
              <w:rPr>
                <w:sz w:val="17"/>
              </w:rPr>
              <w:t>D</w:t>
            </w:r>
          </w:p>
        </w:tc>
      </w:tr>
      <w:tr>
        <w:trPr>
          <w:cantSplit/>
        </w:trPr>
        <w:tc>
          <w:tcPr>
            <w:tcW w:type="dxa" w:w="864"/>
          </w:tcPr>
          <w:p>
            <w:pPr>
              <w:spacing w:after="20"/>
            </w:pPr>
            <w:r>
              <w:rPr>
                <w:b/>
                <w:sz w:val="17"/>
              </w:rPr>
              <w:t>M-D14</w:t>
            </w:r>
          </w:p>
        </w:tc>
        <w:tc>
          <w:tcPr>
            <w:tcW w:type="dxa" w:w="5616"/>
          </w:tcPr>
          <w:p>
            <w:pPr>
              <w:spacing w:after="20"/>
            </w:pPr>
            <w:r>
              <w:rPr>
                <w:sz w:val="17"/>
              </w:rPr>
              <w:t>Terminal — 24 VDC power in</w:t>
            </w:r>
          </w:p>
        </w:tc>
        <w:tc>
          <w:tcPr>
            <w:tcW w:type="dxa" w:w="2160"/>
          </w:tcPr>
          <w:p>
            <w:pPr>
              <w:spacing w:after="20"/>
            </w:pPr>
            <w:r>
              <w:rPr>
                <w:sz w:val="17"/>
              </w:rPr>
              <w:t>Photographs</w:t>
            </w:r>
          </w:p>
        </w:tc>
        <w:tc>
          <w:tcPr>
            <w:tcW w:type="dxa" w:w="864"/>
          </w:tcPr>
          <w:p>
            <w:pPr>
              <w:spacing w:after="20"/>
            </w:pPr>
            <w:r>
              <w:rPr>
                <w:sz w:val="17"/>
              </w:rPr>
              <w:t>D</w:t>
            </w:r>
          </w:p>
        </w:tc>
      </w:tr>
      <w:tr>
        <w:trPr>
          <w:cantSplit/>
        </w:trPr>
        <w:tc>
          <w:tcPr>
            <w:tcW w:type="dxa" w:w="864"/>
          </w:tcPr>
          <w:p>
            <w:pPr>
              <w:spacing w:after="20"/>
            </w:pPr>
            <w:r>
              <w:rPr>
                <w:b/>
                <w:sz w:val="17"/>
              </w:rPr>
              <w:t>M-D15</w:t>
            </w:r>
          </w:p>
        </w:tc>
        <w:tc>
          <w:tcPr>
            <w:tcW w:type="dxa" w:w="5616"/>
          </w:tcPr>
          <w:p>
            <w:pPr>
              <w:spacing w:after="20"/>
            </w:pPr>
            <w:r>
              <w:rPr>
                <w:sz w:val="17"/>
              </w:rPr>
              <w:t>Grounding</w:t>
            </w:r>
          </w:p>
        </w:tc>
        <w:tc>
          <w:tcPr>
            <w:tcW w:type="dxa" w:w="2160"/>
          </w:tcPr>
          <w:p>
            <w:pPr>
              <w:spacing w:after="20"/>
            </w:pPr>
            <w:r>
              <w:rPr>
                <w:sz w:val="17"/>
              </w:rPr>
              <w:t>Photograph</w:t>
            </w:r>
          </w:p>
        </w:tc>
        <w:tc>
          <w:tcPr>
            <w:tcW w:type="dxa" w:w="864"/>
          </w:tcPr>
          <w:p>
            <w:pPr>
              <w:spacing w:after="20"/>
            </w:pPr>
            <w:r>
              <w:rPr>
                <w:sz w:val="17"/>
              </w:rPr>
              <w:t>D</w:t>
            </w:r>
          </w:p>
        </w:tc>
      </w:tr>
      <w:tr>
        <w:trPr>
          <w:cantSplit/>
        </w:trPr>
        <w:tc>
          <w:tcPr>
            <w:tcW w:type="dxa" w:w="864"/>
          </w:tcPr>
          <w:p>
            <w:pPr>
              <w:spacing w:after="20"/>
            </w:pPr>
            <w:r>
              <w:rPr>
                <w:b/>
                <w:sz w:val="17"/>
              </w:rPr>
              <w:t>M-E1</w:t>
            </w:r>
          </w:p>
        </w:tc>
        <w:tc>
          <w:tcPr>
            <w:tcW w:type="dxa" w:w="5616"/>
          </w:tcPr>
          <w:p>
            <w:pPr>
              <w:spacing w:after="20"/>
            </w:pPr>
            <w:r>
              <w:rPr>
                <w:sz w:val="17"/>
              </w:rPr>
              <w:t>Assembly drawing — exploded view</w:t>
            </w:r>
          </w:p>
        </w:tc>
        <w:tc>
          <w:tcPr>
            <w:tcW w:type="dxa" w:w="2160"/>
          </w:tcPr>
          <w:p>
            <w:pPr>
              <w:spacing w:after="20"/>
            </w:pPr>
            <w:r>
              <w:rPr>
                <w:sz w:val="17"/>
              </w:rPr>
              <w:t>Assembly illustration</w:t>
            </w:r>
          </w:p>
        </w:tc>
        <w:tc>
          <w:tcPr>
            <w:tcW w:type="dxa" w:w="864"/>
          </w:tcPr>
          <w:p>
            <w:pPr>
              <w:spacing w:after="20"/>
            </w:pPr>
            <w:r>
              <w:rPr>
                <w:sz w:val="17"/>
              </w:rPr>
              <w:t>E</w:t>
            </w:r>
          </w:p>
        </w:tc>
      </w:tr>
      <w:tr>
        <w:trPr>
          <w:cantSplit/>
        </w:trPr>
        <w:tc>
          <w:tcPr>
            <w:tcW w:type="dxa" w:w="864"/>
          </w:tcPr>
          <w:p>
            <w:pPr>
              <w:spacing w:after="20"/>
            </w:pPr>
            <w:r>
              <w:rPr>
                <w:b/>
                <w:sz w:val="17"/>
              </w:rPr>
              <w:t>M-E2</w:t>
            </w:r>
          </w:p>
        </w:tc>
        <w:tc>
          <w:tcPr>
            <w:tcW w:type="dxa" w:w="5616"/>
          </w:tcPr>
          <w:p>
            <w:pPr>
              <w:spacing w:after="20"/>
            </w:pPr>
            <w:r>
              <w:rPr>
                <w:sz w:val="17"/>
              </w:rPr>
              <w:t>Assembly step — casing cover</w:t>
            </w:r>
          </w:p>
        </w:tc>
        <w:tc>
          <w:tcPr>
            <w:tcW w:type="dxa" w:w="2160"/>
          </w:tcPr>
          <w:p>
            <w:pPr>
              <w:spacing w:after="20"/>
            </w:pPr>
            <w:r>
              <w:rPr>
                <w:sz w:val="17"/>
              </w:rPr>
              <w:t>Assembly illustration</w:t>
            </w:r>
          </w:p>
        </w:tc>
        <w:tc>
          <w:tcPr>
            <w:tcW w:type="dxa" w:w="864"/>
          </w:tcPr>
          <w:p>
            <w:pPr>
              <w:spacing w:after="20"/>
            </w:pPr>
            <w:r>
              <w:rPr>
                <w:sz w:val="17"/>
              </w:rPr>
              <w:t>E</w:t>
            </w:r>
          </w:p>
        </w:tc>
      </w:tr>
      <w:tr>
        <w:trPr>
          <w:cantSplit/>
        </w:trPr>
        <w:tc>
          <w:tcPr>
            <w:tcW w:type="dxa" w:w="864"/>
          </w:tcPr>
          <w:p>
            <w:pPr>
              <w:spacing w:after="20"/>
            </w:pPr>
            <w:r>
              <w:rPr>
                <w:b/>
                <w:sz w:val="17"/>
              </w:rPr>
              <w:t>M-E3</w:t>
            </w:r>
          </w:p>
        </w:tc>
        <w:tc>
          <w:tcPr>
            <w:tcW w:type="dxa" w:w="5616"/>
          </w:tcPr>
          <w:p>
            <w:pPr>
              <w:spacing w:after="20"/>
            </w:pPr>
            <w:r>
              <w:rPr>
                <w:sz w:val="17"/>
              </w:rPr>
              <w:t>Assembly step — sensor case and rubber gasket</w:t>
            </w:r>
          </w:p>
        </w:tc>
        <w:tc>
          <w:tcPr>
            <w:tcW w:type="dxa" w:w="2160"/>
          </w:tcPr>
          <w:p>
            <w:pPr>
              <w:spacing w:after="20"/>
            </w:pPr>
            <w:r>
              <w:rPr>
                <w:sz w:val="17"/>
              </w:rPr>
              <w:t>Assembly illustration</w:t>
            </w:r>
          </w:p>
        </w:tc>
        <w:tc>
          <w:tcPr>
            <w:tcW w:type="dxa" w:w="864"/>
          </w:tcPr>
          <w:p>
            <w:pPr>
              <w:spacing w:after="20"/>
            </w:pPr>
            <w:r>
              <w:rPr>
                <w:sz w:val="17"/>
              </w:rPr>
              <w:t>E</w:t>
            </w:r>
          </w:p>
        </w:tc>
      </w:tr>
      <w:tr>
        <w:trPr>
          <w:cantSplit/>
        </w:trPr>
        <w:tc>
          <w:tcPr>
            <w:tcW w:type="dxa" w:w="864"/>
          </w:tcPr>
          <w:p>
            <w:pPr>
              <w:spacing w:after="20"/>
            </w:pPr>
            <w:r>
              <w:rPr>
                <w:b/>
                <w:sz w:val="17"/>
              </w:rPr>
              <w:t>M-E4</w:t>
            </w:r>
          </w:p>
        </w:tc>
        <w:tc>
          <w:tcPr>
            <w:tcW w:type="dxa" w:w="5616"/>
          </w:tcPr>
          <w:p>
            <w:pPr>
              <w:spacing w:after="20"/>
            </w:pPr>
            <w:r>
              <w:rPr>
                <w:sz w:val="17"/>
              </w:rPr>
              <w:t>Assembly step — LED &amp; buzzer</w:t>
            </w:r>
          </w:p>
        </w:tc>
        <w:tc>
          <w:tcPr>
            <w:tcW w:type="dxa" w:w="2160"/>
          </w:tcPr>
          <w:p>
            <w:pPr>
              <w:spacing w:after="20"/>
            </w:pPr>
            <w:r>
              <w:rPr>
                <w:sz w:val="17"/>
              </w:rPr>
              <w:t>Assembly illustration</w:t>
            </w:r>
          </w:p>
        </w:tc>
        <w:tc>
          <w:tcPr>
            <w:tcW w:type="dxa" w:w="864"/>
          </w:tcPr>
          <w:p>
            <w:pPr>
              <w:spacing w:after="20"/>
            </w:pPr>
            <w:r>
              <w:rPr>
                <w:sz w:val="17"/>
              </w:rPr>
              <w:t>E</w:t>
            </w:r>
          </w:p>
        </w:tc>
      </w:tr>
      <w:tr>
        <w:trPr>
          <w:cantSplit/>
        </w:trPr>
        <w:tc>
          <w:tcPr>
            <w:tcW w:type="dxa" w:w="864"/>
          </w:tcPr>
          <w:p>
            <w:pPr>
              <w:spacing w:after="20"/>
            </w:pPr>
            <w:r>
              <w:rPr>
                <w:b/>
                <w:sz w:val="17"/>
              </w:rPr>
              <w:t>M-E5</w:t>
            </w:r>
          </w:p>
        </w:tc>
        <w:tc>
          <w:tcPr>
            <w:tcW w:type="dxa" w:w="5616"/>
          </w:tcPr>
          <w:p>
            <w:pPr>
              <w:spacing w:after="20"/>
            </w:pPr>
            <w:r>
              <w:rPr>
                <w:sz w:val="17"/>
              </w:rPr>
              <w:t>Assembly step — 24 VDC power in</w:t>
            </w:r>
          </w:p>
        </w:tc>
        <w:tc>
          <w:tcPr>
            <w:tcW w:type="dxa" w:w="2160"/>
          </w:tcPr>
          <w:p>
            <w:pPr>
              <w:spacing w:after="20"/>
            </w:pPr>
            <w:r>
              <w:rPr>
                <w:sz w:val="17"/>
              </w:rPr>
              <w:t>Assembly illustration</w:t>
            </w:r>
          </w:p>
        </w:tc>
        <w:tc>
          <w:tcPr>
            <w:tcW w:type="dxa" w:w="864"/>
          </w:tcPr>
          <w:p>
            <w:pPr>
              <w:spacing w:after="20"/>
            </w:pPr>
            <w:r>
              <w:rPr>
                <w:sz w:val="17"/>
              </w:rPr>
              <w:t>E</w:t>
            </w:r>
          </w:p>
        </w:tc>
      </w:tr>
      <w:tr>
        <w:trPr>
          <w:cantSplit/>
        </w:trPr>
        <w:tc>
          <w:tcPr>
            <w:tcW w:type="dxa" w:w="864"/>
          </w:tcPr>
          <w:p>
            <w:pPr>
              <w:spacing w:after="20"/>
            </w:pPr>
            <w:r>
              <w:rPr>
                <w:b/>
                <w:sz w:val="17"/>
              </w:rPr>
              <w:t>M-E6</w:t>
            </w:r>
          </w:p>
        </w:tc>
        <w:tc>
          <w:tcPr>
            <w:tcW w:type="dxa" w:w="5616"/>
          </w:tcPr>
          <w:p>
            <w:pPr>
              <w:spacing w:after="20"/>
            </w:pPr>
            <w:r>
              <w:rPr>
                <w:sz w:val="17"/>
              </w:rPr>
              <w:t>Assembly step — put motherboard into base casing</w:t>
            </w:r>
          </w:p>
        </w:tc>
        <w:tc>
          <w:tcPr>
            <w:tcW w:type="dxa" w:w="2160"/>
          </w:tcPr>
          <w:p>
            <w:pPr>
              <w:spacing w:after="20"/>
            </w:pPr>
            <w:r>
              <w:rPr>
                <w:sz w:val="17"/>
              </w:rPr>
              <w:t>Assembly photographs</w:t>
            </w:r>
          </w:p>
        </w:tc>
        <w:tc>
          <w:tcPr>
            <w:tcW w:type="dxa" w:w="864"/>
          </w:tcPr>
          <w:p>
            <w:pPr>
              <w:spacing w:after="20"/>
            </w:pPr>
            <w:r>
              <w:rPr>
                <w:sz w:val="17"/>
              </w:rPr>
              <w:t>E</w:t>
            </w:r>
          </w:p>
        </w:tc>
      </w:tr>
      <w:tr>
        <w:trPr>
          <w:cantSplit/>
        </w:trPr>
        <w:tc>
          <w:tcPr>
            <w:tcW w:type="dxa" w:w="864"/>
          </w:tcPr>
          <w:p>
            <w:pPr>
              <w:spacing w:after="20"/>
            </w:pPr>
            <w:r>
              <w:rPr>
                <w:b/>
                <w:sz w:val="17"/>
              </w:rPr>
              <w:t>M-E7</w:t>
            </w:r>
          </w:p>
        </w:tc>
        <w:tc>
          <w:tcPr>
            <w:tcW w:type="dxa" w:w="5616"/>
          </w:tcPr>
          <w:p>
            <w:pPr>
              <w:spacing w:after="20"/>
            </w:pPr>
            <w:r>
              <w:rPr>
                <w:sz w:val="17"/>
              </w:rPr>
              <w:t>Assembly step — secure motherboard; install LoRa antenna cable</w:t>
            </w:r>
          </w:p>
        </w:tc>
        <w:tc>
          <w:tcPr>
            <w:tcW w:type="dxa" w:w="2160"/>
          </w:tcPr>
          <w:p>
            <w:pPr>
              <w:spacing w:after="20"/>
            </w:pPr>
            <w:r>
              <w:rPr>
                <w:sz w:val="17"/>
              </w:rPr>
              <w:t>Assembly photographs</w:t>
            </w:r>
          </w:p>
        </w:tc>
        <w:tc>
          <w:tcPr>
            <w:tcW w:type="dxa" w:w="864"/>
          </w:tcPr>
          <w:p>
            <w:pPr>
              <w:spacing w:after="20"/>
            </w:pPr>
            <w:r>
              <w:rPr>
                <w:sz w:val="17"/>
              </w:rPr>
              <w:t>E</w:t>
            </w:r>
          </w:p>
        </w:tc>
      </w:tr>
      <w:tr>
        <w:trPr>
          <w:cantSplit/>
        </w:trPr>
        <w:tc>
          <w:tcPr>
            <w:tcW w:type="dxa" w:w="864"/>
          </w:tcPr>
          <w:p>
            <w:pPr>
              <w:spacing w:after="20"/>
            </w:pPr>
            <w:r>
              <w:rPr>
                <w:b/>
                <w:sz w:val="17"/>
              </w:rPr>
              <w:t>M-E8</w:t>
            </w:r>
          </w:p>
        </w:tc>
        <w:tc>
          <w:tcPr>
            <w:tcW w:type="dxa" w:w="5616"/>
          </w:tcPr>
          <w:p>
            <w:pPr>
              <w:spacing w:after="20"/>
            </w:pPr>
            <w:r>
              <w:rPr>
                <w:sz w:val="17"/>
              </w:rPr>
              <w:t>Assembly step — antenna position</w:t>
            </w:r>
          </w:p>
        </w:tc>
        <w:tc>
          <w:tcPr>
            <w:tcW w:type="dxa" w:w="2160"/>
          </w:tcPr>
          <w:p>
            <w:pPr>
              <w:spacing w:after="20"/>
            </w:pPr>
            <w:r>
              <w:rPr>
                <w:sz w:val="17"/>
              </w:rPr>
              <w:t>Assembly photographs</w:t>
            </w:r>
          </w:p>
        </w:tc>
        <w:tc>
          <w:tcPr>
            <w:tcW w:type="dxa" w:w="864"/>
          </w:tcPr>
          <w:p>
            <w:pPr>
              <w:spacing w:after="20"/>
            </w:pPr>
            <w:r>
              <w:rPr>
                <w:sz w:val="17"/>
              </w:rPr>
              <w:t>E</w:t>
            </w:r>
          </w:p>
        </w:tc>
      </w:tr>
      <w:tr>
        <w:trPr>
          <w:cantSplit/>
        </w:trPr>
        <w:tc>
          <w:tcPr>
            <w:tcW w:type="dxa" w:w="864"/>
          </w:tcPr>
          <w:p>
            <w:pPr>
              <w:spacing w:after="20"/>
            </w:pPr>
            <w:r>
              <w:rPr>
                <w:b/>
                <w:sz w:val="17"/>
              </w:rPr>
              <w:t>M-E9</w:t>
            </w:r>
          </w:p>
        </w:tc>
        <w:tc>
          <w:tcPr>
            <w:tcW w:type="dxa" w:w="5616"/>
          </w:tcPr>
          <w:p>
            <w:pPr>
              <w:spacing w:after="20"/>
            </w:pPr>
            <w:r>
              <w:rPr>
                <w:sz w:val="17"/>
              </w:rPr>
              <w:t>Assembly step — alarm cables, DC fan and cover closure</w:t>
            </w:r>
          </w:p>
        </w:tc>
        <w:tc>
          <w:tcPr>
            <w:tcW w:type="dxa" w:w="2160"/>
          </w:tcPr>
          <w:p>
            <w:pPr>
              <w:spacing w:after="20"/>
            </w:pPr>
            <w:r>
              <w:rPr>
                <w:sz w:val="17"/>
              </w:rPr>
              <w:t>Assembly photographs</w:t>
            </w:r>
          </w:p>
        </w:tc>
        <w:tc>
          <w:tcPr>
            <w:tcW w:type="dxa" w:w="864"/>
          </w:tcPr>
          <w:p>
            <w:pPr>
              <w:spacing w:after="20"/>
            </w:pPr>
            <w:r>
              <w:rPr>
                <w:sz w:val="17"/>
              </w:rPr>
              <w:t>E</w:t>
            </w:r>
          </w:p>
        </w:tc>
      </w:tr>
      <w:tr>
        <w:trPr>
          <w:cantSplit/>
        </w:trPr>
        <w:tc>
          <w:tcPr>
            <w:tcW w:type="dxa" w:w="864"/>
          </w:tcPr>
          <w:p>
            <w:pPr>
              <w:spacing w:after="20"/>
            </w:pPr>
            <w:r>
              <w:rPr>
                <w:b/>
                <w:sz w:val="17"/>
              </w:rPr>
              <w:t>M-F1</w:t>
            </w:r>
          </w:p>
        </w:tc>
        <w:tc>
          <w:tcPr>
            <w:tcW w:type="dxa" w:w="5616"/>
          </w:tcPr>
          <w:p>
            <w:pPr>
              <w:spacing w:after="20"/>
            </w:pPr>
            <w:r>
              <w:rPr>
                <w:sz w:val="17"/>
              </w:rPr>
              <w:t>MQ-2 and MQ-3 — sensor parameters and dimension drawings</w:t>
            </w:r>
          </w:p>
        </w:tc>
        <w:tc>
          <w:tcPr>
            <w:tcW w:type="dxa" w:w="2160"/>
          </w:tcPr>
          <w:p>
            <w:pPr>
              <w:spacing w:after="20"/>
            </w:pPr>
            <w:r>
              <w:rPr>
                <w:sz w:val="17"/>
              </w:rPr>
              <w:t>Sensor data sheet</w:t>
            </w:r>
          </w:p>
        </w:tc>
        <w:tc>
          <w:tcPr>
            <w:tcW w:type="dxa" w:w="864"/>
          </w:tcPr>
          <w:p>
            <w:pPr>
              <w:spacing w:after="20"/>
            </w:pPr>
            <w:r>
              <w:rPr>
                <w:sz w:val="17"/>
              </w:rPr>
              <w:t>F</w:t>
            </w:r>
          </w:p>
        </w:tc>
      </w:tr>
      <w:tr>
        <w:trPr>
          <w:cantSplit/>
        </w:trPr>
        <w:tc>
          <w:tcPr>
            <w:tcW w:type="dxa" w:w="864"/>
          </w:tcPr>
          <w:p>
            <w:pPr>
              <w:spacing w:after="20"/>
            </w:pPr>
            <w:r>
              <w:rPr>
                <w:b/>
                <w:sz w:val="17"/>
              </w:rPr>
              <w:t>M-F2</w:t>
            </w:r>
          </w:p>
        </w:tc>
        <w:tc>
          <w:tcPr>
            <w:tcW w:type="dxa" w:w="5616"/>
          </w:tcPr>
          <w:p>
            <w:pPr>
              <w:spacing w:after="20"/>
            </w:pPr>
            <w:r>
              <w:rPr>
                <w:sz w:val="17"/>
              </w:rPr>
              <w:t>MQ-4 and MQ-5 — sensor parameters and dimension drawings</w:t>
            </w:r>
          </w:p>
        </w:tc>
        <w:tc>
          <w:tcPr>
            <w:tcW w:type="dxa" w:w="2160"/>
          </w:tcPr>
          <w:p>
            <w:pPr>
              <w:spacing w:after="20"/>
            </w:pPr>
            <w:r>
              <w:rPr>
                <w:sz w:val="17"/>
              </w:rPr>
              <w:t>Sensor data sheet</w:t>
            </w:r>
          </w:p>
        </w:tc>
        <w:tc>
          <w:tcPr>
            <w:tcW w:type="dxa" w:w="864"/>
          </w:tcPr>
          <w:p>
            <w:pPr>
              <w:spacing w:after="20"/>
            </w:pPr>
            <w:r>
              <w:rPr>
                <w:sz w:val="17"/>
              </w:rPr>
              <w:t>F</w:t>
            </w:r>
          </w:p>
        </w:tc>
      </w:tr>
      <w:tr>
        <w:trPr>
          <w:cantSplit/>
        </w:trPr>
        <w:tc>
          <w:tcPr>
            <w:tcW w:type="dxa" w:w="864"/>
          </w:tcPr>
          <w:p>
            <w:pPr>
              <w:spacing w:after="20"/>
            </w:pPr>
            <w:r>
              <w:rPr>
                <w:b/>
                <w:sz w:val="17"/>
              </w:rPr>
              <w:t>M-F3</w:t>
            </w:r>
          </w:p>
        </w:tc>
        <w:tc>
          <w:tcPr>
            <w:tcW w:type="dxa" w:w="5616"/>
          </w:tcPr>
          <w:p>
            <w:pPr>
              <w:spacing w:after="20"/>
            </w:pPr>
            <w:r>
              <w:rPr>
                <w:sz w:val="17"/>
              </w:rPr>
              <w:t>MQ-6 and MQ-7 — sensor parameters and dimension drawings</w:t>
            </w:r>
          </w:p>
        </w:tc>
        <w:tc>
          <w:tcPr>
            <w:tcW w:type="dxa" w:w="2160"/>
          </w:tcPr>
          <w:p>
            <w:pPr>
              <w:spacing w:after="20"/>
            </w:pPr>
            <w:r>
              <w:rPr>
                <w:sz w:val="17"/>
              </w:rPr>
              <w:t>Sensor data sheet</w:t>
            </w:r>
          </w:p>
        </w:tc>
        <w:tc>
          <w:tcPr>
            <w:tcW w:type="dxa" w:w="864"/>
          </w:tcPr>
          <w:p>
            <w:pPr>
              <w:spacing w:after="20"/>
            </w:pPr>
            <w:r>
              <w:rPr>
                <w:sz w:val="17"/>
              </w:rPr>
              <w:t>F</w:t>
            </w:r>
          </w:p>
        </w:tc>
      </w:tr>
      <w:tr>
        <w:trPr>
          <w:cantSplit/>
        </w:trPr>
        <w:tc>
          <w:tcPr>
            <w:tcW w:type="dxa" w:w="864"/>
          </w:tcPr>
          <w:p>
            <w:pPr>
              <w:spacing w:after="20"/>
            </w:pPr>
            <w:r>
              <w:rPr>
                <w:b/>
                <w:sz w:val="17"/>
              </w:rPr>
              <w:t>M-F4</w:t>
            </w:r>
          </w:p>
        </w:tc>
        <w:tc>
          <w:tcPr>
            <w:tcW w:type="dxa" w:w="5616"/>
          </w:tcPr>
          <w:p>
            <w:pPr>
              <w:spacing w:after="20"/>
            </w:pPr>
            <w:r>
              <w:rPr>
                <w:sz w:val="17"/>
              </w:rPr>
              <w:t>MQ-8 and MQ-135 — sensor parameters and dimension drawings</w:t>
            </w:r>
          </w:p>
        </w:tc>
        <w:tc>
          <w:tcPr>
            <w:tcW w:type="dxa" w:w="2160"/>
          </w:tcPr>
          <w:p>
            <w:pPr>
              <w:spacing w:after="20"/>
            </w:pPr>
            <w:r>
              <w:rPr>
                <w:sz w:val="17"/>
              </w:rPr>
              <w:t>Sensor data sheet</w:t>
            </w:r>
          </w:p>
        </w:tc>
        <w:tc>
          <w:tcPr>
            <w:tcW w:type="dxa" w:w="864"/>
          </w:tcPr>
          <w:p>
            <w:pPr>
              <w:spacing w:after="20"/>
            </w:pPr>
            <w:r>
              <w:rPr>
                <w:sz w:val="17"/>
              </w:rPr>
              <w:t>F</w:t>
            </w:r>
          </w:p>
        </w:tc>
      </w:tr>
    </w:tbl>
    <w:p>
      <w:pPr>
        <w:spacing w:after="40"/>
      </w:pPr>
    </w:p>
    <w:tbl>
      <w:tblPr>
        <w:tblW w:type="auto" w:w="0"/>
        <w:jc w:val="center"/>
        <w:tblLook w:firstColumn="1" w:firstRow="1" w:lastColumn="0" w:lastRow="0" w:noHBand="0" w:noVBand="1" w:val="04A0"/>
      </w:tblPr>
      <w:tblGrid>
        <w:gridCol w:w="9746"/>
      </w:tblGrid>
      <w:tr>
        <w:tc>
          <w:tcPr>
            <w:tcW w:type="dxa" w:w="9746"/>
            <w:shd w:val="clear" w:fill="FBEEE4"/>
          </w:tcPr>
          <w:p>
            <w:pPr>
              <w:spacing w:after="40"/>
            </w:pPr>
            <w:r>
              <w:rPr>
                <w:color w:val="555B66"/>
                <w:sz w:val="18"/>
              </w:rPr>
              <w:t>Status of this drawing set: the CAD sheets (M-A1, M-B7, M-C1, M-D7) carry real dimensions and title blocks; the remaining figures are CAD renders, line illustrations or photographs of production parts. Controlled, toleranced drawings that call out the Ex d flame-path parameters (joint gap and length, thread engagement, free internal volume) are still to be issued by the enclosure manufacturer. Two figures still show superseded details: M-E3 labels a battery case and M-D14 labels the power input as "battery or 24 VDC"; the production configuration is 24 VDC only. M-E8 records that the antenna has moved from the side to the top of the base enclosure.</w:t>
            </w:r>
          </w:p>
        </w:tc>
      </w:tr>
    </w:tbl>
    <w:p>
      <w:pPr>
        <w:spacing w:after="40"/>
      </w:pPr>
    </w:p>
    <w:p>
      <w:r>
        <w:br w:type="page"/>
      </w:r>
    </w:p>
    <w:p>
      <w:pPr>
        <w:keepNext/>
        <w:spacing w:after="80"/>
      </w:pPr>
      <w:r>
        <w:rPr>
          <w:b/>
          <w:i w:val="0"/>
          <w:color w:val="1B335F"/>
          <w:sz w:val="23"/>
        </w:rPr>
        <w:t>A. Primary enclosure and mounting — ATEX CASING v2</w:t>
      </w:r>
    </w:p>
    <w:p>
      <w:pPr>
        <w:keepNext/>
        <w:spacing w:after="40"/>
        <w:jc w:val="center"/>
      </w:pPr>
      <w:r>
        <w:drawing>
          <wp:inline xmlns:a="http://schemas.openxmlformats.org/drawingml/2006/main" xmlns:pic="http://schemas.openxmlformats.org/drawingml/2006/picture">
            <wp:extent cx="5669280" cy="3847707"/>
            <wp:docPr id="31" name="Picture 31"/>
            <wp:cNvGraphicFramePr>
              <a:graphicFrameLocks noChangeAspect="1"/>
            </wp:cNvGraphicFramePr>
            <a:graphic>
              <a:graphicData uri="http://schemas.openxmlformats.org/drawingml/2006/picture">
                <pic:pic>
                  <pic:nvPicPr>
                    <pic:cNvPr id="0" name="casing_v2_sheet.jpg"/>
                    <pic:cNvPicPr/>
                  </pic:nvPicPr>
                  <pic:blipFill>
                    <a:blip r:embed="rId41"/>
                    <a:stretch>
                      <a:fillRect/>
                    </a:stretch>
                  </pic:blipFill>
                  <pic:spPr>
                    <a:xfrm>
                      <a:off x="0" y="0"/>
                      <a:ext cx="5669280" cy="3847707"/>
                    </a:xfrm>
                    <a:prstGeom prst="rect"/>
                  </pic:spPr>
                </pic:pic>
              </a:graphicData>
            </a:graphic>
          </wp:inline>
        </w:drawing>
      </w:r>
    </w:p>
    <w:p>
      <w:pPr>
        <w:spacing w:after="240"/>
        <w:jc w:val="center"/>
      </w:pPr>
      <w:r>
        <w:rPr>
          <w:b/>
          <w:color w:val="1B335F"/>
          <w:sz w:val="19"/>
        </w:rPr>
        <w:t>M-A1. ATEX CASING v2 — enclosure envelope &amp; U-bolt mounting plate, dimensioned sheet</w:t>
        <w:br/>
      </w:r>
      <w:r>
        <w:rPr>
          <w:color w:val="555B66"/>
          <w:sz w:val="17"/>
        </w:rPr>
        <w:t>Orthographic and isometric views with real dimensions (enclosure neck Ø75 mm, overall probe height 191.51 mm, mounting plate 250 × 250 mm with toleranced hole pattern), U-bolt parameter table (2″/DN50, M10 thread) and title block (drafted 31 Aug 2026). Drawn from the STEP solid model (mm).</w:t>
      </w:r>
    </w:p>
    <w:tbl>
      <w:tblPr>
        <w:tblW w:type="auto" w:w="0"/>
        <w:jc w:val="center"/>
        <w:tblLook w:firstColumn="1" w:firstRow="1" w:lastColumn="0" w:lastRow="0" w:noHBand="0" w:noVBand="1" w:val="04A0"/>
      </w:tblPr>
      <w:tblGrid>
        <w:gridCol w:w="3249"/>
        <w:gridCol w:w="3249"/>
        <w:gridCol w:w="3249"/>
      </w:tblGrid>
      <w:tr>
        <w:tc>
          <w:tcPr>
            <w:tcW w:type="dxa" w:w="3249"/>
          </w:tcPr>
          <w:p>
            <w:pPr>
              <w:jc w:val="center"/>
            </w:pPr>
            <w:r>
              <w:drawing>
                <wp:inline xmlns:a="http://schemas.openxmlformats.org/drawingml/2006/main" xmlns:pic="http://schemas.openxmlformats.org/drawingml/2006/picture">
                  <wp:extent cx="1752600" cy="2069235"/>
                  <wp:docPr id="32" name="Picture 32"/>
                  <wp:cNvGraphicFramePr>
                    <a:graphicFrameLocks noChangeAspect="1"/>
                  </wp:cNvGraphicFramePr>
                  <a:graphic>
                    <a:graphicData uri="http://schemas.openxmlformats.org/drawingml/2006/picture">
                      <pic:pic>
                        <pic:nvPicPr>
                          <pic:cNvPr id="0" name="casing_v2_front.jpg"/>
                          <pic:cNvPicPr/>
                        </pic:nvPicPr>
                        <pic:blipFill>
                          <a:blip r:embed="rId42"/>
                          <a:stretch>
                            <a:fillRect/>
                          </a:stretch>
                        </pic:blipFill>
                        <pic:spPr>
                          <a:xfrm>
                            <a:off x="0" y="0"/>
                            <a:ext cx="1752600" cy="2069235"/>
                          </a:xfrm>
                          <a:prstGeom prst="rect"/>
                        </pic:spPr>
                      </pic:pic>
                    </a:graphicData>
                  </a:graphic>
                </wp:inline>
              </w:drawing>
            </w:r>
          </w:p>
          <w:p>
            <w:pPr>
              <w:jc w:val="center"/>
            </w:pPr>
            <w:r>
              <w:rPr>
                <w:color w:val="555B66"/>
                <w:sz w:val="17"/>
              </w:rPr>
              <w:t>Front view</w:t>
            </w:r>
          </w:p>
        </w:tc>
        <w:tc>
          <w:tcPr>
            <w:tcW w:type="dxa" w:w="3249"/>
          </w:tcPr>
          <w:p>
            <w:pPr>
              <w:jc w:val="center"/>
            </w:pPr>
            <w:r>
              <w:drawing>
                <wp:inline xmlns:a="http://schemas.openxmlformats.org/drawingml/2006/main" xmlns:pic="http://schemas.openxmlformats.org/drawingml/2006/picture">
                  <wp:extent cx="1752600" cy="1920766"/>
                  <wp:docPr id="33" name="Picture 33"/>
                  <wp:cNvGraphicFramePr>
                    <a:graphicFrameLocks noChangeAspect="1"/>
                  </wp:cNvGraphicFramePr>
                  <a:graphic>
                    <a:graphicData uri="http://schemas.openxmlformats.org/drawingml/2006/picture">
                      <pic:pic>
                        <pic:nvPicPr>
                          <pic:cNvPr id="0" name="casing_v2_rear.jpg"/>
                          <pic:cNvPicPr/>
                        </pic:nvPicPr>
                        <pic:blipFill>
                          <a:blip r:embed="rId43"/>
                          <a:stretch>
                            <a:fillRect/>
                          </a:stretch>
                        </pic:blipFill>
                        <pic:spPr>
                          <a:xfrm>
                            <a:off x="0" y="0"/>
                            <a:ext cx="1752600" cy="1920766"/>
                          </a:xfrm>
                          <a:prstGeom prst="rect"/>
                        </pic:spPr>
                      </pic:pic>
                    </a:graphicData>
                  </a:graphic>
                </wp:inline>
              </w:drawing>
            </w:r>
          </w:p>
          <w:p>
            <w:pPr>
              <w:jc w:val="center"/>
            </w:pPr>
            <w:r>
              <w:rPr>
                <w:color w:val="555B66"/>
                <w:sz w:val="17"/>
              </w:rPr>
              <w:t>Rear view</w:t>
            </w:r>
          </w:p>
        </w:tc>
        <w:tc>
          <w:tcPr>
            <w:tcW w:type="dxa" w:w="3249"/>
          </w:tcPr>
          <w:p>
            <w:pPr>
              <w:jc w:val="center"/>
            </w:pPr>
            <w:r>
              <w:drawing>
                <wp:inline xmlns:a="http://schemas.openxmlformats.org/drawingml/2006/main" xmlns:pic="http://schemas.openxmlformats.org/drawingml/2006/picture">
                  <wp:extent cx="1752600" cy="2118768"/>
                  <wp:docPr id="34" name="Picture 34"/>
                  <wp:cNvGraphicFramePr>
                    <a:graphicFrameLocks noChangeAspect="1"/>
                  </wp:cNvGraphicFramePr>
                  <a:graphic>
                    <a:graphicData uri="http://schemas.openxmlformats.org/drawingml/2006/picture">
                      <pic:pic>
                        <pic:nvPicPr>
                          <pic:cNvPr id="0" name="casing_v2_left.jpg"/>
                          <pic:cNvPicPr/>
                        </pic:nvPicPr>
                        <pic:blipFill>
                          <a:blip r:embed="rId44"/>
                          <a:stretch>
                            <a:fillRect/>
                          </a:stretch>
                        </pic:blipFill>
                        <pic:spPr>
                          <a:xfrm>
                            <a:off x="0" y="0"/>
                            <a:ext cx="1752600" cy="2118768"/>
                          </a:xfrm>
                          <a:prstGeom prst="rect"/>
                        </pic:spPr>
                      </pic:pic>
                    </a:graphicData>
                  </a:graphic>
                </wp:inline>
              </w:drawing>
            </w:r>
          </w:p>
          <w:p>
            <w:pPr>
              <w:jc w:val="center"/>
            </w:pPr>
            <w:r>
              <w:rPr>
                <w:color w:val="555B66"/>
                <w:sz w:val="17"/>
              </w:rPr>
              <w:t>Left view</w:t>
            </w:r>
          </w:p>
        </w:tc>
      </w:tr>
      <w:tr>
        <w:tc>
          <w:tcPr>
            <w:tcW w:type="dxa" w:w="3249"/>
          </w:tcPr>
          <w:p>
            <w:pPr>
              <w:jc w:val="center"/>
            </w:pPr>
            <w:r>
              <w:drawing>
                <wp:inline xmlns:a="http://schemas.openxmlformats.org/drawingml/2006/main" xmlns:pic="http://schemas.openxmlformats.org/drawingml/2006/picture">
                  <wp:extent cx="1752600" cy="2120130"/>
                  <wp:docPr id="35" name="Picture 35"/>
                  <wp:cNvGraphicFramePr>
                    <a:graphicFrameLocks noChangeAspect="1"/>
                  </wp:cNvGraphicFramePr>
                  <a:graphic>
                    <a:graphicData uri="http://schemas.openxmlformats.org/drawingml/2006/picture">
                      <pic:pic>
                        <pic:nvPicPr>
                          <pic:cNvPr id="0" name="casing_v2_right.jpg"/>
                          <pic:cNvPicPr/>
                        </pic:nvPicPr>
                        <pic:blipFill>
                          <a:blip r:embed="rId45"/>
                          <a:stretch>
                            <a:fillRect/>
                          </a:stretch>
                        </pic:blipFill>
                        <pic:spPr>
                          <a:xfrm>
                            <a:off x="0" y="0"/>
                            <a:ext cx="1752600" cy="2120130"/>
                          </a:xfrm>
                          <a:prstGeom prst="rect"/>
                        </pic:spPr>
                      </pic:pic>
                    </a:graphicData>
                  </a:graphic>
                </wp:inline>
              </w:drawing>
            </w:r>
          </w:p>
          <w:p>
            <w:pPr>
              <w:jc w:val="center"/>
            </w:pPr>
            <w:r>
              <w:rPr>
                <w:color w:val="555B66"/>
                <w:sz w:val="17"/>
              </w:rPr>
              <w:t>Right view</w:t>
            </w:r>
          </w:p>
        </w:tc>
        <w:tc>
          <w:tcPr>
            <w:tcW w:type="dxa" w:w="3249"/>
          </w:tcPr>
          <w:p>
            <w:pPr>
              <w:jc w:val="center"/>
            </w:pPr>
            <w:r>
              <w:drawing>
                <wp:inline xmlns:a="http://schemas.openxmlformats.org/drawingml/2006/main" xmlns:pic="http://schemas.openxmlformats.org/drawingml/2006/picture">
                  <wp:extent cx="1752600" cy="1992044"/>
                  <wp:docPr id="36" name="Picture 36"/>
                  <wp:cNvGraphicFramePr>
                    <a:graphicFrameLocks noChangeAspect="1"/>
                  </wp:cNvGraphicFramePr>
                  <a:graphic>
                    <a:graphicData uri="http://schemas.openxmlformats.org/drawingml/2006/picture">
                      <pic:pic>
                        <pic:nvPicPr>
                          <pic:cNvPr id="0" name="casing_v2_top.jpg"/>
                          <pic:cNvPicPr/>
                        </pic:nvPicPr>
                        <pic:blipFill>
                          <a:blip r:embed="rId46"/>
                          <a:stretch>
                            <a:fillRect/>
                          </a:stretch>
                        </pic:blipFill>
                        <pic:spPr>
                          <a:xfrm>
                            <a:off x="0" y="0"/>
                            <a:ext cx="1752600" cy="1992044"/>
                          </a:xfrm>
                          <a:prstGeom prst="rect"/>
                        </pic:spPr>
                      </pic:pic>
                    </a:graphicData>
                  </a:graphic>
                </wp:inline>
              </w:drawing>
            </w:r>
          </w:p>
          <w:p>
            <w:pPr>
              <w:jc w:val="center"/>
            </w:pPr>
            <w:r>
              <w:rPr>
                <w:color w:val="555B66"/>
                <w:sz w:val="17"/>
              </w:rPr>
              <w:t>Top view</w:t>
            </w:r>
          </w:p>
        </w:tc>
        <w:tc>
          <w:tcPr>
            <w:tcW w:type="dxa" w:w="3249"/>
          </w:tcPr>
          <w:p>
            <w:pPr>
              <w:jc w:val="center"/>
            </w:pPr>
            <w:r>
              <w:drawing>
                <wp:inline xmlns:a="http://schemas.openxmlformats.org/drawingml/2006/main" xmlns:pic="http://schemas.openxmlformats.org/drawingml/2006/picture">
                  <wp:extent cx="1752600" cy="1993207"/>
                  <wp:docPr id="37" name="Picture 37"/>
                  <wp:cNvGraphicFramePr>
                    <a:graphicFrameLocks noChangeAspect="1"/>
                  </wp:cNvGraphicFramePr>
                  <a:graphic>
                    <a:graphicData uri="http://schemas.openxmlformats.org/drawingml/2006/picture">
                      <pic:pic>
                        <pic:nvPicPr>
                          <pic:cNvPr id="0" name="casing_v2_bottom.jpg"/>
                          <pic:cNvPicPr/>
                        </pic:nvPicPr>
                        <pic:blipFill>
                          <a:blip r:embed="rId47"/>
                          <a:stretch>
                            <a:fillRect/>
                          </a:stretch>
                        </pic:blipFill>
                        <pic:spPr>
                          <a:xfrm>
                            <a:off x="0" y="0"/>
                            <a:ext cx="1752600" cy="1993207"/>
                          </a:xfrm>
                          <a:prstGeom prst="rect"/>
                        </pic:spPr>
                      </pic:pic>
                    </a:graphicData>
                  </a:graphic>
                </wp:inline>
              </w:drawing>
            </w:r>
          </w:p>
          <w:p>
            <w:pPr>
              <w:jc w:val="center"/>
            </w:pPr>
            <w:r>
              <w:rPr>
                <w:color w:val="555B66"/>
                <w:sz w:val="17"/>
              </w:rPr>
              <w:t>Bottom view</w:t>
            </w:r>
          </w:p>
        </w:tc>
      </w:tr>
    </w:tbl>
    <w:p>
      <w:pPr>
        <w:spacing w:after="240"/>
        <w:jc w:val="center"/>
      </w:pPr>
      <w:r>
        <w:rPr>
          <w:b/>
          <w:color w:val="1B335F"/>
          <w:sz w:val="19"/>
        </w:rPr>
        <w:t>M-A2. ATEX CASING v2 — six orthographic CAD views</w:t>
        <w:br/>
      </w:r>
      <w:r>
        <w:rPr>
          <w:color w:val="555B66"/>
          <w:sz w:val="17"/>
        </w:rPr>
        <w:t>Rendered from the same STEP solid model as M-A1 (enclosure, sensor head and U-bolt mounting plate).</w:t>
      </w:r>
    </w:p>
    <w:p>
      <w:r>
        <w:br w:type="page"/>
      </w:r>
    </w:p>
    <w:p>
      <w:pPr>
        <w:keepNext/>
        <w:spacing w:after="80"/>
      </w:pPr>
      <w:r>
        <w:rPr>
          <w:b/>
          <w:i w:val="0"/>
          <w:color w:val="1B335F"/>
          <w:sz w:val="23"/>
        </w:rPr>
        <w:t>B. Enclosure design GLD ATEX CASE v3 — complete sheet set</w:t>
      </w:r>
    </w:p>
    <w:p>
      <w:pPr>
        <w:keepNext/>
        <w:spacing w:after="40"/>
        <w:jc w:val="center"/>
      </w:pPr>
      <w:r>
        <w:drawing>
          <wp:inline xmlns:a="http://schemas.openxmlformats.org/drawingml/2006/main" xmlns:pic="http://schemas.openxmlformats.org/drawingml/2006/picture">
            <wp:extent cx="5669280" cy="3370574"/>
            <wp:docPr id="38" name="Picture 38"/>
            <wp:cNvGraphicFramePr>
              <a:graphicFrameLocks noChangeAspect="1"/>
            </wp:cNvGraphicFramePr>
            <a:graphic>
              <a:graphicData uri="http://schemas.openxmlformats.org/drawingml/2006/picture">
                <pic:pic>
                  <pic:nvPicPr>
                    <pic:cNvPr id="0" name="case_v3-1.jpg"/>
                    <pic:cNvPicPr/>
                  </pic:nvPicPr>
                  <pic:blipFill>
                    <a:blip r:embed="rId48"/>
                    <a:stretch>
                      <a:fillRect/>
                    </a:stretch>
                  </pic:blipFill>
                  <pic:spPr>
                    <a:xfrm>
                      <a:off x="0" y="0"/>
                      <a:ext cx="5669280" cy="3370574"/>
                    </a:xfrm>
                    <a:prstGeom prst="rect"/>
                  </pic:spPr>
                </pic:pic>
              </a:graphicData>
            </a:graphic>
          </wp:inline>
        </w:drawing>
      </w:r>
    </w:p>
    <w:p>
      <w:pPr>
        <w:spacing w:after="240"/>
        <w:jc w:val="center"/>
      </w:pPr>
      <w:r>
        <w:rPr>
          <w:b/>
          <w:color w:val="1B335F"/>
          <w:sz w:val="19"/>
        </w:rPr>
        <w:t>M-B1. GLD ATEX CASE v3 — sheet 1: isometric views of the assembled detector</w:t>
        <w:br/>
      </w:r>
      <w:r>
        <w:rPr>
          <w:color w:val="555B66"/>
          <w:sz w:val="17"/>
        </w:rPr>
        <w:t>Assembled enclosure with sensor head, external antenna and alarm beacon, three isometric viewpoints.</w:t>
      </w:r>
    </w:p>
    <w:p>
      <w:r>
        <w:br w:type="page"/>
      </w:r>
    </w:p>
    <w:p>
      <w:pPr>
        <w:keepNext/>
        <w:spacing w:after="40"/>
        <w:jc w:val="center"/>
      </w:pPr>
      <w:r>
        <w:drawing>
          <wp:inline xmlns:a="http://schemas.openxmlformats.org/drawingml/2006/main" xmlns:pic="http://schemas.openxmlformats.org/drawingml/2006/picture">
            <wp:extent cx="5669280" cy="1993015"/>
            <wp:docPr id="39" name="Picture 39"/>
            <wp:cNvGraphicFramePr>
              <a:graphicFrameLocks noChangeAspect="1"/>
            </wp:cNvGraphicFramePr>
            <a:graphic>
              <a:graphicData uri="http://schemas.openxmlformats.org/drawingml/2006/picture">
                <pic:pic>
                  <pic:nvPicPr>
                    <pic:cNvPr id="0" name="case_v3-2.jpg"/>
                    <pic:cNvPicPr/>
                  </pic:nvPicPr>
                  <pic:blipFill>
                    <a:blip r:embed="rId49"/>
                    <a:stretch>
                      <a:fillRect/>
                    </a:stretch>
                  </pic:blipFill>
                  <pic:spPr>
                    <a:xfrm>
                      <a:off x="0" y="0"/>
                      <a:ext cx="5669280" cy="1993015"/>
                    </a:xfrm>
                    <a:prstGeom prst="rect"/>
                  </pic:spPr>
                </pic:pic>
              </a:graphicData>
            </a:graphic>
          </wp:inline>
        </w:drawing>
      </w:r>
    </w:p>
    <w:p>
      <w:pPr>
        <w:spacing w:after="240"/>
        <w:jc w:val="center"/>
      </w:pPr>
      <w:r>
        <w:rPr>
          <w:b/>
          <w:color w:val="1B335F"/>
          <w:sz w:val="19"/>
        </w:rPr>
        <w:t>M-B2. GLD ATEX CASE v3 — sheet 2: top and bottom views</w:t>
        <w:br/>
      </w:r>
      <w:r>
        <w:rPr>
          <w:color w:val="555B66"/>
          <w:sz w:val="17"/>
        </w:rPr>
        <w:t>Top view (cable-entry bosses, alarm beacon, antenna) and bottom view (sensor-head mesh face).</w:t>
      </w:r>
    </w:p>
    <w:p>
      <w:r>
        <w:br w:type="page"/>
      </w:r>
    </w:p>
    <w:p>
      <w:pPr>
        <w:keepNext/>
        <w:spacing w:after="40"/>
        <w:jc w:val="center"/>
      </w:pPr>
      <w:r>
        <w:drawing>
          <wp:inline xmlns:a="http://schemas.openxmlformats.org/drawingml/2006/main" xmlns:pic="http://schemas.openxmlformats.org/drawingml/2006/picture">
            <wp:extent cx="5669280" cy="3145195"/>
            <wp:docPr id="40" name="Picture 40"/>
            <wp:cNvGraphicFramePr>
              <a:graphicFrameLocks noChangeAspect="1"/>
            </wp:cNvGraphicFramePr>
            <a:graphic>
              <a:graphicData uri="http://schemas.openxmlformats.org/drawingml/2006/picture">
                <pic:pic>
                  <pic:nvPicPr>
                    <pic:cNvPr id="0" name="case_v3-3.jpg"/>
                    <pic:cNvPicPr/>
                  </pic:nvPicPr>
                  <pic:blipFill>
                    <a:blip r:embed="rId50"/>
                    <a:stretch>
                      <a:fillRect/>
                    </a:stretch>
                  </pic:blipFill>
                  <pic:spPr>
                    <a:xfrm>
                      <a:off x="0" y="0"/>
                      <a:ext cx="5669280" cy="3145195"/>
                    </a:xfrm>
                    <a:prstGeom prst="rect"/>
                  </pic:spPr>
                </pic:pic>
              </a:graphicData>
            </a:graphic>
          </wp:inline>
        </w:drawing>
      </w:r>
    </w:p>
    <w:p>
      <w:pPr>
        <w:spacing w:after="240"/>
        <w:jc w:val="center"/>
      </w:pPr>
      <w:r>
        <w:rPr>
          <w:b/>
          <w:color w:val="1B335F"/>
          <w:sz w:val="19"/>
        </w:rPr>
        <w:t>M-B3. GLD ATEX CASE v3 — sheet 3: side and rear views</w:t>
        <w:br/>
      </w:r>
      <w:r>
        <w:rPr>
          <w:color w:val="555B66"/>
          <w:sz w:val="17"/>
        </w:rPr>
        <w:t>Left, right and rear-isometric views showing the base, sensor head, beacon and antenna positions.</w:t>
      </w:r>
    </w:p>
    <w:p>
      <w:r>
        <w:br w:type="page"/>
      </w:r>
    </w:p>
    <w:p>
      <w:pPr>
        <w:keepNext/>
        <w:spacing w:after="40"/>
        <w:jc w:val="center"/>
      </w:pPr>
      <w:r>
        <w:drawing>
          <wp:inline xmlns:a="http://schemas.openxmlformats.org/drawingml/2006/main" xmlns:pic="http://schemas.openxmlformats.org/drawingml/2006/picture">
            <wp:extent cx="5669280" cy="2465164"/>
            <wp:docPr id="41" name="Picture 41"/>
            <wp:cNvGraphicFramePr>
              <a:graphicFrameLocks noChangeAspect="1"/>
            </wp:cNvGraphicFramePr>
            <a:graphic>
              <a:graphicData uri="http://schemas.openxmlformats.org/drawingml/2006/picture">
                <pic:pic>
                  <pic:nvPicPr>
                    <pic:cNvPr id="0" name="case_v3-4.jpg"/>
                    <pic:cNvPicPr/>
                  </pic:nvPicPr>
                  <pic:blipFill>
                    <a:blip r:embed="rId51"/>
                    <a:stretch>
                      <a:fillRect/>
                    </a:stretch>
                  </pic:blipFill>
                  <pic:spPr>
                    <a:xfrm>
                      <a:off x="0" y="0"/>
                      <a:ext cx="5669280" cy="2465164"/>
                    </a:xfrm>
                    <a:prstGeom prst="rect"/>
                  </pic:spPr>
                </pic:pic>
              </a:graphicData>
            </a:graphic>
          </wp:inline>
        </w:drawing>
      </w:r>
    </w:p>
    <w:p>
      <w:pPr>
        <w:spacing w:after="240"/>
        <w:jc w:val="center"/>
      </w:pPr>
      <w:r>
        <w:rPr>
          <w:b/>
          <w:color w:val="1B335F"/>
          <w:sz w:val="19"/>
        </w:rPr>
        <w:t>M-B4. GLD ATEX CASE v3 — sheet 4: front/back and mounting-lug views</w:t>
        <w:br/>
      </w:r>
      <w:r>
        <w:rPr>
          <w:color w:val="555B66"/>
          <w:sz w:val="17"/>
        </w:rPr>
        <w:t>Views showing the wall-mounting lugs of the base and the cover opening.</w:t>
      </w:r>
    </w:p>
    <w:p>
      <w:r>
        <w:br w:type="page"/>
      </w:r>
    </w:p>
    <w:p>
      <w:pPr>
        <w:keepNext/>
        <w:spacing w:after="40"/>
        <w:jc w:val="center"/>
      </w:pPr>
      <w:r>
        <w:drawing>
          <wp:inline xmlns:a="http://schemas.openxmlformats.org/drawingml/2006/main" xmlns:pic="http://schemas.openxmlformats.org/drawingml/2006/picture">
            <wp:extent cx="5669280" cy="1926401"/>
            <wp:docPr id="42" name="Picture 42"/>
            <wp:cNvGraphicFramePr>
              <a:graphicFrameLocks noChangeAspect="1"/>
            </wp:cNvGraphicFramePr>
            <a:graphic>
              <a:graphicData uri="http://schemas.openxmlformats.org/drawingml/2006/picture">
                <pic:pic>
                  <pic:nvPicPr>
                    <pic:cNvPr id="0" name="case_v3-5.jpg"/>
                    <pic:cNvPicPr/>
                  </pic:nvPicPr>
                  <pic:blipFill>
                    <a:blip r:embed="rId52"/>
                    <a:stretch>
                      <a:fillRect/>
                    </a:stretch>
                  </pic:blipFill>
                  <pic:spPr>
                    <a:xfrm>
                      <a:off x="0" y="0"/>
                      <a:ext cx="5669280" cy="1926401"/>
                    </a:xfrm>
                    <a:prstGeom prst="rect"/>
                  </pic:spPr>
                </pic:pic>
              </a:graphicData>
            </a:graphic>
          </wp:inline>
        </w:drawing>
      </w:r>
    </w:p>
    <w:p>
      <w:pPr>
        <w:spacing w:after="240"/>
        <w:jc w:val="center"/>
      </w:pPr>
      <w:r>
        <w:rPr>
          <w:b/>
          <w:color w:val="1B335F"/>
          <w:sz w:val="19"/>
        </w:rPr>
        <w:t>M-B5. GLD ATEX CASE v3 — sheet 5: exploded views (four viewpoints)</w:t>
        <w:br/>
      </w:r>
      <w:r>
        <w:rPr>
          <w:color w:val="555B66"/>
          <w:sz w:val="17"/>
        </w:rPr>
        <w:t>Exploded assembly: base, cover, sensor case, mesh disc, sensor-case cover, beacon, antenna and glands.</w:t>
      </w:r>
    </w:p>
    <w:p>
      <w:r>
        <w:br w:type="page"/>
      </w:r>
    </w:p>
    <w:p>
      <w:pPr>
        <w:keepNext/>
        <w:spacing w:after="40"/>
        <w:jc w:val="center"/>
      </w:pPr>
      <w:r>
        <w:drawing>
          <wp:inline xmlns:a="http://schemas.openxmlformats.org/drawingml/2006/main" xmlns:pic="http://schemas.openxmlformats.org/drawingml/2006/picture">
            <wp:extent cx="5669280" cy="2324790"/>
            <wp:docPr id="43" name="Picture 43"/>
            <wp:cNvGraphicFramePr>
              <a:graphicFrameLocks noChangeAspect="1"/>
            </wp:cNvGraphicFramePr>
            <a:graphic>
              <a:graphicData uri="http://schemas.openxmlformats.org/drawingml/2006/picture">
                <pic:pic>
                  <pic:nvPicPr>
                    <pic:cNvPr id="0" name="case_v3-6.jpg"/>
                    <pic:cNvPicPr/>
                  </pic:nvPicPr>
                  <pic:blipFill>
                    <a:blip r:embed="rId53"/>
                    <a:stretch>
                      <a:fillRect/>
                    </a:stretch>
                  </pic:blipFill>
                  <pic:spPr>
                    <a:xfrm>
                      <a:off x="0" y="0"/>
                      <a:ext cx="5669280" cy="2324790"/>
                    </a:xfrm>
                    <a:prstGeom prst="rect"/>
                  </pic:spPr>
                </pic:pic>
              </a:graphicData>
            </a:graphic>
          </wp:inline>
        </w:drawing>
      </w:r>
    </w:p>
    <w:p>
      <w:pPr>
        <w:spacing w:after="240"/>
        <w:jc w:val="center"/>
      </w:pPr>
      <w:r>
        <w:rPr>
          <w:b/>
          <w:color w:val="1B335F"/>
          <w:sz w:val="19"/>
        </w:rPr>
        <w:t>M-B6. GLD ATEX CASE v3 — sheet 6: exploded views of the sensor-head stack</w:t>
        <w:br/>
      </w:r>
      <w:r>
        <w:rPr>
          <w:color w:val="555B66"/>
          <w:sz w:val="17"/>
        </w:rPr>
        <w:t>Sensor case, DC fan, stainless-steel filter mesh disc and case cover shown in stacking order.</w:t>
      </w:r>
    </w:p>
    <w:p>
      <w:r>
        <w:br w:type="page"/>
      </w:r>
    </w:p>
    <w:p>
      <w:pPr>
        <w:keepNext/>
        <w:spacing w:after="40"/>
        <w:jc w:val="center"/>
      </w:pPr>
      <w:r>
        <w:drawing>
          <wp:inline xmlns:a="http://schemas.openxmlformats.org/drawingml/2006/main" xmlns:pic="http://schemas.openxmlformats.org/drawingml/2006/picture">
            <wp:extent cx="5669280" cy="4015199"/>
            <wp:docPr id="44" name="Picture 44"/>
            <wp:cNvGraphicFramePr>
              <a:graphicFrameLocks noChangeAspect="1"/>
            </wp:cNvGraphicFramePr>
            <a:graphic>
              <a:graphicData uri="http://schemas.openxmlformats.org/drawingml/2006/picture">
                <pic:pic>
                  <pic:nvPicPr>
                    <pic:cNvPr id="0" name="case_v3-7.jpg"/>
                    <pic:cNvPicPr/>
                  </pic:nvPicPr>
                  <pic:blipFill>
                    <a:blip r:embed="rId54"/>
                    <a:stretch>
                      <a:fillRect/>
                    </a:stretch>
                  </pic:blipFill>
                  <pic:spPr>
                    <a:xfrm>
                      <a:off x="0" y="0"/>
                      <a:ext cx="5669280" cy="4015199"/>
                    </a:xfrm>
                    <a:prstGeom prst="rect"/>
                  </pic:spPr>
                </pic:pic>
              </a:graphicData>
            </a:graphic>
          </wp:inline>
        </w:drawing>
      </w:r>
    </w:p>
    <w:p>
      <w:pPr>
        <w:spacing w:after="240"/>
        <w:jc w:val="center"/>
      </w:pPr>
      <w:r>
        <w:rPr>
          <w:b/>
          <w:color w:val="1B335F"/>
          <w:sz w:val="19"/>
        </w:rPr>
        <w:t>M-B7. GLD ATEX CASE v3 — sheet 7: dimensioned drawing with title block</w:t>
        <w:br/>
      </w:r>
      <w:r>
        <w:rPr>
          <w:color w:val="555B66"/>
          <w:sz w:val="17"/>
        </w:rPr>
        <w:t>Dimensioned orthographic views and section of the sensor case; callouts for sensor case, DC fan, stainless-steel filter mesh disc, case cover and transparent glass; title block “GLD ATEX CASE v3” (drafted 8 Sep 2026). Internal contingency/alternate enclosure design.</w:t>
      </w:r>
    </w:p>
    <w:p>
      <w:r>
        <w:br w:type="page"/>
      </w:r>
    </w:p>
    <w:p>
      <w:pPr>
        <w:keepNext/>
        <w:spacing w:after="80"/>
      </w:pPr>
      <w:r>
        <w:rPr>
          <w:b/>
          <w:i w:val="0"/>
          <w:color w:val="1B335F"/>
          <w:sz w:val="23"/>
        </w:rPr>
        <w:t>C. Junction-box / terminal base — supplier drawing</w:t>
      </w:r>
    </w:p>
    <w:p>
      <w:pPr>
        <w:keepNext/>
        <w:spacing w:after="40"/>
        <w:jc w:val="center"/>
      </w:pPr>
      <w:r>
        <w:drawing>
          <wp:inline xmlns:a="http://schemas.openxmlformats.org/drawingml/2006/main" xmlns:pic="http://schemas.openxmlformats.org/drawingml/2006/picture">
            <wp:extent cx="5669280" cy="4030343"/>
            <wp:docPr id="45" name="Picture 45"/>
            <wp:cNvGraphicFramePr>
              <a:graphicFrameLocks noChangeAspect="1"/>
            </wp:cNvGraphicFramePr>
            <a:graphic>
              <a:graphicData uri="http://schemas.openxmlformats.org/drawingml/2006/picture">
                <pic:pic>
                  <pic:nvPicPr>
                    <pic:cNvPr id="0" name="bp18-1.jpg"/>
                    <pic:cNvPicPr/>
                  </pic:nvPicPr>
                  <pic:blipFill>
                    <a:blip r:embed="rId55"/>
                    <a:stretch>
                      <a:fillRect/>
                    </a:stretch>
                  </pic:blipFill>
                  <pic:spPr>
                    <a:xfrm>
                      <a:off x="0" y="0"/>
                      <a:ext cx="5669280" cy="4030343"/>
                    </a:xfrm>
                    <a:prstGeom prst="rect"/>
                  </pic:spPr>
                </pic:pic>
              </a:graphicData>
            </a:graphic>
          </wp:inline>
        </w:drawing>
      </w:r>
    </w:p>
    <w:p>
      <w:pPr>
        <w:spacing w:after="240"/>
        <w:jc w:val="center"/>
      </w:pPr>
      <w:r>
        <w:rPr>
          <w:b/>
          <w:color w:val="1B335F"/>
          <w:sz w:val="19"/>
        </w:rPr>
        <w:t>M-C1. Universal Base BP18-1Z — supplier reference drawing</w:t>
        <w:br/>
      </w:r>
      <w:r>
        <w:rPr>
          <w:color w:val="555B66"/>
          <w:sz w:val="17"/>
        </w:rPr>
        <w:t>Die-cast base, material ADC12, 0.6 kg, scale 1:1: 2 × M20×1.5-6H cable-entry threads, 4 × M4-6H and 1 × M5×1.5-6g fixing threads, 3 × Ø8 mm mounting holes, internal bore up to Ø94.7 mm, overall ≈124 × 115 × 67.5 mm. Candidate junction-box/terminal sub-component from the casing supply chain.</w:t>
      </w:r>
    </w:p>
    <w:p>
      <w:r>
        <w:br w:type="page"/>
      </w:r>
    </w:p>
    <w:p>
      <w:pPr>
        <w:keepNext/>
        <w:spacing w:after="80"/>
      </w:pPr>
      <w:r>
        <w:rPr>
          <w:b/>
          <w:i w:val="0"/>
          <w:color w:val="1B335F"/>
          <w:sz w:val="23"/>
        </w:rPr>
        <w:t>D. Components, structure, terminal and grounding</w:t>
      </w:r>
    </w:p>
    <w:p>
      <w:pPr>
        <w:keepNext/>
        <w:spacing w:after="40"/>
        <w:jc w:val="center"/>
      </w:pPr>
      <w:r>
        <w:drawing>
          <wp:inline xmlns:a="http://schemas.openxmlformats.org/drawingml/2006/main" xmlns:pic="http://schemas.openxmlformats.org/drawingml/2006/picture">
            <wp:extent cx="2436273" cy="3840479"/>
            <wp:docPr id="46" name="Picture 46"/>
            <wp:cNvGraphicFramePr>
              <a:graphicFrameLocks noChangeAspect="1"/>
            </wp:cNvGraphicFramePr>
            <a:graphic>
              <a:graphicData uri="http://schemas.openxmlformats.org/drawingml/2006/picture">
                <pic:pic>
                  <pic:nvPicPr>
                    <pic:cNvPr id="0" name="pkg_17.jpg"/>
                    <pic:cNvPicPr/>
                  </pic:nvPicPr>
                  <pic:blipFill>
                    <a:blip r:embed="rId56"/>
                    <a:stretch>
                      <a:fillRect/>
                    </a:stretch>
                  </pic:blipFill>
                  <pic:spPr>
                    <a:xfrm>
                      <a:off x="0" y="0"/>
                      <a:ext cx="2436273" cy="3840479"/>
                    </a:xfrm>
                    <a:prstGeom prst="rect"/>
                  </pic:spPr>
                </pic:pic>
              </a:graphicData>
            </a:graphic>
          </wp:inline>
        </w:drawing>
      </w:r>
    </w:p>
    <w:p>
      <w:pPr>
        <w:spacing w:after="240"/>
        <w:jc w:val="center"/>
      </w:pPr>
      <w:r>
        <w:rPr>
          <w:b/>
          <w:color w:val="1B335F"/>
          <w:sz w:val="19"/>
        </w:rPr>
        <w:t>M-D1. LoRa antenna, MQ sensor and enclosure body &amp; cover</w:t>
        <w:br/>
      </w:r>
      <w:r>
        <w:rPr>
          <w:color w:val="555B66"/>
          <w:sz w:val="17"/>
        </w:rPr>
        <w:t>External LoRa antenna with cable, MQ sensor with integrated stainless-steel mesh, and the enclosure body and cover (production parts).</w:t>
      </w:r>
    </w:p>
    <w:p>
      <w:pPr>
        <w:keepNext/>
        <w:spacing w:after="40"/>
        <w:jc w:val="center"/>
      </w:pPr>
      <w:r>
        <w:drawing>
          <wp:inline xmlns:a="http://schemas.openxmlformats.org/drawingml/2006/main" xmlns:pic="http://schemas.openxmlformats.org/drawingml/2006/picture">
            <wp:extent cx="3034832" cy="3840479"/>
            <wp:docPr id="47" name="Picture 47"/>
            <wp:cNvGraphicFramePr>
              <a:graphicFrameLocks noChangeAspect="1"/>
            </wp:cNvGraphicFramePr>
            <a:graphic>
              <a:graphicData uri="http://schemas.openxmlformats.org/drawingml/2006/picture">
                <pic:pic>
                  <pic:nvPicPr>
                    <pic:cNvPr id="0" name="pkg_18.jpg"/>
                    <pic:cNvPicPr/>
                  </pic:nvPicPr>
                  <pic:blipFill>
                    <a:blip r:embed="rId57"/>
                    <a:stretch>
                      <a:fillRect/>
                    </a:stretch>
                  </pic:blipFill>
                  <pic:spPr>
                    <a:xfrm>
                      <a:off x="0" y="0"/>
                      <a:ext cx="3034832" cy="3840479"/>
                    </a:xfrm>
                    <a:prstGeom prst="rect"/>
                  </pic:spPr>
                </pic:pic>
              </a:graphicData>
            </a:graphic>
          </wp:inline>
        </w:drawing>
      </w:r>
    </w:p>
    <w:p>
      <w:pPr>
        <w:spacing w:after="240"/>
        <w:jc w:val="center"/>
      </w:pPr>
      <w:r>
        <w:rPr>
          <w:b/>
          <w:color w:val="1B335F"/>
          <w:sz w:val="19"/>
        </w:rPr>
        <w:t>M-D2. Rubber gasket — locations</w:t>
        <w:br/>
      </w:r>
      <w:r>
        <w:rPr>
          <w:color w:val="555B66"/>
          <w:sz w:val="17"/>
        </w:rPr>
        <w:t>Rubber gaskets fitted at the cover-to-body and sensor-head joints (four locations marked).</w:t>
      </w:r>
    </w:p>
    <w:p>
      <w:pPr>
        <w:keepNext/>
        <w:spacing w:after="40"/>
        <w:jc w:val="center"/>
      </w:pPr>
      <w:r>
        <w:drawing>
          <wp:inline xmlns:a="http://schemas.openxmlformats.org/drawingml/2006/main" xmlns:pic="http://schemas.openxmlformats.org/drawingml/2006/picture">
            <wp:extent cx="3468970" cy="3840480"/>
            <wp:docPr id="48" name="Picture 48"/>
            <wp:cNvGraphicFramePr>
              <a:graphicFrameLocks noChangeAspect="1"/>
            </wp:cNvGraphicFramePr>
            <a:graphic>
              <a:graphicData uri="http://schemas.openxmlformats.org/drawingml/2006/picture">
                <pic:pic>
                  <pic:nvPicPr>
                    <pic:cNvPr id="0" name="pkg_19.jpg"/>
                    <pic:cNvPicPr/>
                  </pic:nvPicPr>
                  <pic:blipFill>
                    <a:blip r:embed="rId58"/>
                    <a:stretch>
                      <a:fillRect/>
                    </a:stretch>
                  </pic:blipFill>
                  <pic:spPr>
                    <a:xfrm>
                      <a:off x="0" y="0"/>
                      <a:ext cx="3468970" cy="3840480"/>
                    </a:xfrm>
                    <a:prstGeom prst="rect"/>
                  </pic:spPr>
                </pic:pic>
              </a:graphicData>
            </a:graphic>
          </wp:inline>
        </w:drawing>
      </w:r>
    </w:p>
    <w:p>
      <w:pPr>
        <w:spacing w:after="240"/>
        <w:jc w:val="center"/>
      </w:pPr>
      <w:r>
        <w:rPr>
          <w:b/>
          <w:color w:val="1B335F"/>
          <w:sz w:val="19"/>
        </w:rPr>
        <w:t>M-D3. Rubber gasket — part</w:t>
        <w:br/>
      </w:r>
      <w:r>
        <w:rPr>
          <w:color w:val="555B66"/>
          <w:sz w:val="17"/>
        </w:rPr>
        <w:t>Rubber gasket as a separate part.</w:t>
      </w:r>
    </w:p>
    <w:p>
      <w:pPr>
        <w:keepNext/>
        <w:spacing w:after="40"/>
        <w:jc w:val="center"/>
      </w:pPr>
      <w:r>
        <w:drawing>
          <wp:inline xmlns:a="http://schemas.openxmlformats.org/drawingml/2006/main" xmlns:pic="http://schemas.openxmlformats.org/drawingml/2006/picture">
            <wp:extent cx="2848325" cy="3840479"/>
            <wp:docPr id="49" name="Picture 49"/>
            <wp:cNvGraphicFramePr>
              <a:graphicFrameLocks noChangeAspect="1"/>
            </wp:cNvGraphicFramePr>
            <a:graphic>
              <a:graphicData uri="http://schemas.openxmlformats.org/drawingml/2006/picture">
                <pic:pic>
                  <pic:nvPicPr>
                    <pic:cNvPr id="0" name="pkg_20.jpg"/>
                    <pic:cNvPicPr/>
                  </pic:nvPicPr>
                  <pic:blipFill>
                    <a:blip r:embed="rId59"/>
                    <a:stretch>
                      <a:fillRect/>
                    </a:stretch>
                  </pic:blipFill>
                  <pic:spPr>
                    <a:xfrm>
                      <a:off x="0" y="0"/>
                      <a:ext cx="2848325" cy="3840479"/>
                    </a:xfrm>
                    <a:prstGeom prst="rect"/>
                  </pic:spPr>
                </pic:pic>
              </a:graphicData>
            </a:graphic>
          </wp:inline>
        </w:drawing>
      </w:r>
    </w:p>
    <w:p>
      <w:pPr>
        <w:spacing w:after="240"/>
        <w:jc w:val="center"/>
      </w:pPr>
      <w:r>
        <w:rPr>
          <w:b/>
          <w:color w:val="1B335F"/>
          <w:sz w:val="19"/>
        </w:rPr>
        <w:t>M-D4. Stainless wire-mesh plate</w:t>
        <w:br/>
      </w:r>
      <w:r>
        <w:rPr>
          <w:color w:val="555B66"/>
          <w:sz w:val="17"/>
        </w:rPr>
        <w:t>Front stainless-steel wire-mesh plate (gas inlet) and its seating in the cover.</w:t>
      </w:r>
    </w:p>
    <w:p>
      <w:pPr>
        <w:keepNext/>
        <w:spacing w:after="40"/>
        <w:jc w:val="center"/>
      </w:pPr>
      <w:r>
        <w:drawing>
          <wp:inline xmlns:a="http://schemas.openxmlformats.org/drawingml/2006/main" xmlns:pic="http://schemas.openxmlformats.org/drawingml/2006/picture">
            <wp:extent cx="2579204" cy="3840479"/>
            <wp:docPr id="50" name="Picture 50"/>
            <wp:cNvGraphicFramePr>
              <a:graphicFrameLocks noChangeAspect="1"/>
            </wp:cNvGraphicFramePr>
            <a:graphic>
              <a:graphicData uri="http://schemas.openxmlformats.org/drawingml/2006/picture">
                <pic:pic>
                  <pic:nvPicPr>
                    <pic:cNvPr id="0" name="pkg_21.jpg"/>
                    <pic:cNvPicPr/>
                  </pic:nvPicPr>
                  <pic:blipFill>
                    <a:blip r:embed="rId60"/>
                    <a:stretch>
                      <a:fillRect/>
                    </a:stretch>
                  </pic:blipFill>
                  <pic:spPr>
                    <a:xfrm>
                      <a:off x="0" y="0"/>
                      <a:ext cx="2579204" cy="3840479"/>
                    </a:xfrm>
                    <a:prstGeom prst="rect"/>
                  </pic:spPr>
                </pic:pic>
              </a:graphicData>
            </a:graphic>
          </wp:inline>
        </w:drawing>
      </w:r>
    </w:p>
    <w:p>
      <w:pPr>
        <w:spacing w:after="240"/>
        <w:jc w:val="center"/>
      </w:pPr>
      <w:r>
        <w:rPr>
          <w:b/>
          <w:color w:val="1B335F"/>
          <w:sz w:val="19"/>
        </w:rPr>
        <w:t>M-D5. Visual/audible alarm beacon; motherboard inside base casing</w:t>
        <w:br/>
      </w:r>
      <w:r>
        <w:rPr>
          <w:color w:val="555B66"/>
          <w:sz w:val="17"/>
        </w:rPr>
        <w:t>LED and buzzer beacon with rubber gasket; main PCB mounted in the base enclosure.</w:t>
      </w:r>
    </w:p>
    <w:p>
      <w:pPr>
        <w:keepNext/>
        <w:spacing w:after="40"/>
        <w:jc w:val="center"/>
      </w:pPr>
      <w:r>
        <w:drawing>
          <wp:inline xmlns:a="http://schemas.openxmlformats.org/drawingml/2006/main" xmlns:pic="http://schemas.openxmlformats.org/drawingml/2006/picture">
            <wp:extent cx="3626477" cy="3840480"/>
            <wp:docPr id="51" name="Picture 51"/>
            <wp:cNvGraphicFramePr>
              <a:graphicFrameLocks noChangeAspect="1"/>
            </wp:cNvGraphicFramePr>
            <a:graphic>
              <a:graphicData uri="http://schemas.openxmlformats.org/drawingml/2006/picture">
                <pic:pic>
                  <pic:nvPicPr>
                    <pic:cNvPr id="0" name="pkg_22.jpg"/>
                    <pic:cNvPicPr/>
                  </pic:nvPicPr>
                  <pic:blipFill>
                    <a:blip r:embed="rId61"/>
                    <a:stretch>
                      <a:fillRect/>
                    </a:stretch>
                  </pic:blipFill>
                  <pic:spPr>
                    <a:xfrm>
                      <a:off x="0" y="0"/>
                      <a:ext cx="3626477" cy="3840480"/>
                    </a:xfrm>
                    <a:prstGeom prst="rect"/>
                  </pic:spPr>
                </pic:pic>
              </a:graphicData>
            </a:graphic>
          </wp:inline>
        </w:drawing>
      </w:r>
    </w:p>
    <w:p>
      <w:pPr>
        <w:spacing w:after="240"/>
        <w:jc w:val="center"/>
      </w:pPr>
      <w:r>
        <w:rPr>
          <w:b/>
          <w:color w:val="1B335F"/>
          <w:sz w:val="19"/>
        </w:rPr>
        <w:t>M-D6. Motherboard with MQ sensors inside base casing</w:t>
        <w:br/>
      </w:r>
      <w:r>
        <w:rPr>
          <w:color w:val="555B66"/>
          <w:sz w:val="17"/>
        </w:rPr>
        <w:t>Main PCB with the eight MQ sensors fitted, seen through the open base enclosure.</w:t>
      </w:r>
    </w:p>
    <w:p>
      <w:pPr>
        <w:keepNext/>
        <w:spacing w:after="40"/>
        <w:jc w:val="center"/>
      </w:pPr>
      <w:r>
        <w:drawing>
          <wp:inline xmlns:a="http://schemas.openxmlformats.org/drawingml/2006/main" xmlns:pic="http://schemas.openxmlformats.org/drawingml/2006/picture">
            <wp:extent cx="4541367" cy="3840479"/>
            <wp:docPr id="52" name="Picture 52"/>
            <wp:cNvGraphicFramePr>
              <a:graphicFrameLocks noChangeAspect="1"/>
            </wp:cNvGraphicFramePr>
            <a:graphic>
              <a:graphicData uri="http://schemas.openxmlformats.org/drawingml/2006/picture">
                <pic:pic>
                  <pic:nvPicPr>
                    <pic:cNvPr id="0" name="pkg_24.jpg"/>
                    <pic:cNvPicPr/>
                  </pic:nvPicPr>
                  <pic:blipFill>
                    <a:blip r:embed="rId62"/>
                    <a:stretch>
                      <a:fillRect/>
                    </a:stretch>
                  </pic:blipFill>
                  <pic:spPr>
                    <a:xfrm>
                      <a:off x="0" y="0"/>
                      <a:ext cx="4541367" cy="3840479"/>
                    </a:xfrm>
                    <a:prstGeom prst="rect"/>
                  </pic:spPr>
                </pic:pic>
              </a:graphicData>
            </a:graphic>
          </wp:inline>
        </w:drawing>
      </w:r>
    </w:p>
    <w:p>
      <w:pPr>
        <w:spacing w:after="240"/>
        <w:jc w:val="center"/>
      </w:pPr>
      <w:r>
        <w:rPr>
          <w:b/>
          <w:color w:val="1B335F"/>
          <w:sz w:val="19"/>
        </w:rPr>
        <w:t>M-D7. Common base design</w:t>
        <w:br/>
      </w:r>
      <w:r>
        <w:rPr>
          <w:color w:val="555B66"/>
          <w:sz w:val="17"/>
        </w:rPr>
        <w:t>Dimensioned base design drawing with title block.</w:t>
      </w:r>
    </w:p>
    <w:p>
      <w:pPr>
        <w:keepNext/>
        <w:spacing w:after="40"/>
        <w:jc w:val="center"/>
      </w:pPr>
      <w:r>
        <w:drawing>
          <wp:inline xmlns:a="http://schemas.openxmlformats.org/drawingml/2006/main" xmlns:pic="http://schemas.openxmlformats.org/drawingml/2006/picture">
            <wp:extent cx="3032235" cy="3840479"/>
            <wp:docPr id="53" name="Picture 53"/>
            <wp:cNvGraphicFramePr>
              <a:graphicFrameLocks noChangeAspect="1"/>
            </wp:cNvGraphicFramePr>
            <a:graphic>
              <a:graphicData uri="http://schemas.openxmlformats.org/drawingml/2006/picture">
                <pic:pic>
                  <pic:nvPicPr>
                    <pic:cNvPr id="0" name="pkg_25.jpg"/>
                    <pic:cNvPicPr/>
                  </pic:nvPicPr>
                  <pic:blipFill>
                    <a:blip r:embed="rId63"/>
                    <a:stretch>
                      <a:fillRect/>
                    </a:stretch>
                  </pic:blipFill>
                  <pic:spPr>
                    <a:xfrm>
                      <a:off x="0" y="0"/>
                      <a:ext cx="3032235" cy="3840479"/>
                    </a:xfrm>
                    <a:prstGeom prst="rect"/>
                  </pic:spPr>
                </pic:pic>
              </a:graphicData>
            </a:graphic>
          </wp:inline>
        </w:drawing>
      </w:r>
    </w:p>
    <w:p>
      <w:pPr>
        <w:spacing w:after="240"/>
        <w:jc w:val="center"/>
      </w:pPr>
      <w:r>
        <w:rPr>
          <w:b/>
          <w:color w:val="1B335F"/>
          <w:sz w:val="19"/>
        </w:rPr>
        <w:t>M-D8. Overall exploded views I and II</w:t>
        <w:br/>
      </w:r>
      <w:r>
        <w:rPr>
          <w:color w:val="555B66"/>
          <w:sz w:val="17"/>
        </w:rPr>
        <w:t>Labelled exploded line drawings of the complete detector (cover, mesh, fan, sensor head, base, glands, beacon, antenna).</w:t>
      </w:r>
    </w:p>
    <w:p>
      <w:pPr>
        <w:keepNext/>
        <w:spacing w:after="40"/>
        <w:jc w:val="center"/>
      </w:pPr>
      <w:r>
        <w:drawing>
          <wp:inline xmlns:a="http://schemas.openxmlformats.org/drawingml/2006/main" xmlns:pic="http://schemas.openxmlformats.org/drawingml/2006/picture">
            <wp:extent cx="3661204" cy="3840479"/>
            <wp:docPr id="54" name="Picture 54"/>
            <wp:cNvGraphicFramePr>
              <a:graphicFrameLocks noChangeAspect="1"/>
            </wp:cNvGraphicFramePr>
            <a:graphic>
              <a:graphicData uri="http://schemas.openxmlformats.org/drawingml/2006/picture">
                <pic:pic>
                  <pic:nvPicPr>
                    <pic:cNvPr id="0" name="pkg_26.jpg"/>
                    <pic:cNvPicPr/>
                  </pic:nvPicPr>
                  <pic:blipFill>
                    <a:blip r:embed="rId64"/>
                    <a:stretch>
                      <a:fillRect/>
                    </a:stretch>
                  </pic:blipFill>
                  <pic:spPr>
                    <a:xfrm>
                      <a:off x="0" y="0"/>
                      <a:ext cx="3661204" cy="3840479"/>
                    </a:xfrm>
                    <a:prstGeom prst="rect"/>
                  </pic:spPr>
                </pic:pic>
              </a:graphicData>
            </a:graphic>
          </wp:inline>
        </w:drawing>
      </w:r>
    </w:p>
    <w:p>
      <w:pPr>
        <w:spacing w:after="240"/>
        <w:jc w:val="center"/>
      </w:pPr>
      <w:r>
        <w:rPr>
          <w:b/>
          <w:color w:val="1B335F"/>
          <w:sz w:val="19"/>
        </w:rPr>
        <w:t>M-D9. Overall exploded view III</w:t>
        <w:br/>
      </w:r>
      <w:r>
        <w:rPr>
          <w:color w:val="555B66"/>
          <w:sz w:val="17"/>
        </w:rPr>
        <w:t>Exploded line drawing, third viewpoint.</w:t>
      </w:r>
    </w:p>
    <w:p>
      <w:pPr>
        <w:keepNext/>
        <w:spacing w:after="40"/>
        <w:jc w:val="center"/>
      </w:pPr>
      <w:r>
        <w:drawing>
          <wp:inline xmlns:a="http://schemas.openxmlformats.org/drawingml/2006/main" xmlns:pic="http://schemas.openxmlformats.org/drawingml/2006/picture">
            <wp:extent cx="2216090" cy="3840478"/>
            <wp:docPr id="55" name="Picture 55"/>
            <wp:cNvGraphicFramePr>
              <a:graphicFrameLocks noChangeAspect="1"/>
            </wp:cNvGraphicFramePr>
            <a:graphic>
              <a:graphicData uri="http://schemas.openxmlformats.org/drawingml/2006/picture">
                <pic:pic>
                  <pic:nvPicPr>
                    <pic:cNvPr id="0" name="pkg_27.jpg"/>
                    <pic:cNvPicPr/>
                  </pic:nvPicPr>
                  <pic:blipFill>
                    <a:blip r:embed="rId65"/>
                    <a:stretch>
                      <a:fillRect/>
                    </a:stretch>
                  </pic:blipFill>
                  <pic:spPr>
                    <a:xfrm>
                      <a:off x="0" y="0"/>
                      <a:ext cx="2216090" cy="3840478"/>
                    </a:xfrm>
                    <a:prstGeom prst="rect"/>
                  </pic:spPr>
                </pic:pic>
              </a:graphicData>
            </a:graphic>
          </wp:inline>
        </w:drawing>
      </w:r>
    </w:p>
    <w:p>
      <w:pPr>
        <w:spacing w:after="240"/>
        <w:jc w:val="center"/>
      </w:pPr>
      <w:r>
        <w:rPr>
          <w:b/>
          <w:color w:val="1B335F"/>
          <w:sz w:val="19"/>
        </w:rPr>
        <w:t>M-D10. Motherboard PCB power-in and PCB cover (terminal module)</w:t>
        <w:br/>
      </w:r>
      <w:r>
        <w:rPr>
          <w:color w:val="555B66"/>
          <w:sz w:val="17"/>
        </w:rPr>
        <w:t>Populated main PCB (3D) and the PCB cover carrying the terminal module with the 24 VDC power-in position marked.</w:t>
      </w:r>
    </w:p>
    <w:p>
      <w:pPr>
        <w:keepNext/>
        <w:spacing w:after="40"/>
        <w:jc w:val="center"/>
      </w:pPr>
      <w:r>
        <w:drawing>
          <wp:inline xmlns:a="http://schemas.openxmlformats.org/drawingml/2006/main" xmlns:pic="http://schemas.openxmlformats.org/drawingml/2006/picture">
            <wp:extent cx="2529930" cy="3840479"/>
            <wp:docPr id="56" name="Picture 56"/>
            <wp:cNvGraphicFramePr>
              <a:graphicFrameLocks noChangeAspect="1"/>
            </wp:cNvGraphicFramePr>
            <a:graphic>
              <a:graphicData uri="http://schemas.openxmlformats.org/drawingml/2006/picture">
                <pic:pic>
                  <pic:nvPicPr>
                    <pic:cNvPr id="0" name="pkg_28.jpg"/>
                    <pic:cNvPicPr/>
                  </pic:nvPicPr>
                  <pic:blipFill>
                    <a:blip r:embed="rId66"/>
                    <a:stretch>
                      <a:fillRect/>
                    </a:stretch>
                  </pic:blipFill>
                  <pic:spPr>
                    <a:xfrm>
                      <a:off x="0" y="0"/>
                      <a:ext cx="2529930" cy="3840479"/>
                    </a:xfrm>
                    <a:prstGeom prst="rect"/>
                  </pic:spPr>
                </pic:pic>
              </a:graphicData>
            </a:graphic>
          </wp:inline>
        </w:drawing>
      </w:r>
    </w:p>
    <w:p>
      <w:pPr>
        <w:spacing w:after="240"/>
        <w:jc w:val="center"/>
      </w:pPr>
      <w:r>
        <w:rPr>
          <w:b/>
          <w:color w:val="1B335F"/>
          <w:sz w:val="19"/>
        </w:rPr>
        <w:t>M-D11. Motherboard and PCB cover</w:t>
        <w:br/>
      </w:r>
      <w:r>
        <w:rPr>
          <w:color w:val="555B66"/>
          <w:sz w:val="17"/>
        </w:rPr>
        <w:t>Main PCB and PCB cover shown as separate parts.</w:t>
      </w:r>
    </w:p>
    <w:p>
      <w:pPr>
        <w:keepNext/>
        <w:spacing w:after="40"/>
        <w:jc w:val="center"/>
      </w:pPr>
      <w:r>
        <w:drawing>
          <wp:inline xmlns:a="http://schemas.openxmlformats.org/drawingml/2006/main" xmlns:pic="http://schemas.openxmlformats.org/drawingml/2006/picture">
            <wp:extent cx="2245554" cy="3840480"/>
            <wp:docPr id="57" name="Picture 57"/>
            <wp:cNvGraphicFramePr>
              <a:graphicFrameLocks noChangeAspect="1"/>
            </wp:cNvGraphicFramePr>
            <a:graphic>
              <a:graphicData uri="http://schemas.openxmlformats.org/drawingml/2006/picture">
                <pic:pic>
                  <pic:nvPicPr>
                    <pic:cNvPr id="0" name="pkg_42.jpg"/>
                    <pic:cNvPicPr/>
                  </pic:nvPicPr>
                  <pic:blipFill>
                    <a:blip r:embed="rId67"/>
                    <a:stretch>
                      <a:fillRect/>
                    </a:stretch>
                  </pic:blipFill>
                  <pic:spPr>
                    <a:xfrm>
                      <a:off x="0" y="0"/>
                      <a:ext cx="2245554" cy="3840480"/>
                    </a:xfrm>
                    <a:prstGeom prst="rect"/>
                  </pic:spPr>
                </pic:pic>
              </a:graphicData>
            </a:graphic>
          </wp:inline>
        </w:drawing>
      </w:r>
    </w:p>
    <w:p>
      <w:pPr>
        <w:spacing w:after="240"/>
        <w:jc w:val="center"/>
      </w:pPr>
      <w:r>
        <w:rPr>
          <w:b/>
          <w:color w:val="1B335F"/>
          <w:sz w:val="19"/>
        </w:rPr>
        <w:t>M-D12. Component drawing</w:t>
        <w:br/>
      </w:r>
      <w:r>
        <w:rPr>
          <w:color w:val="555B66"/>
          <w:sz w:val="17"/>
        </w:rPr>
        <w:t>Enclosure; PCB + sensors; cover + fan; alarm module; cover + mesh; antenna 3 dBi.</w:t>
      </w:r>
    </w:p>
    <w:p>
      <w:pPr>
        <w:keepNext/>
        <w:spacing w:after="40"/>
        <w:jc w:val="center"/>
      </w:pPr>
      <w:r>
        <w:drawing>
          <wp:inline xmlns:a="http://schemas.openxmlformats.org/drawingml/2006/main" xmlns:pic="http://schemas.openxmlformats.org/drawingml/2006/picture">
            <wp:extent cx="2870633" cy="3840479"/>
            <wp:docPr id="58" name="Picture 58"/>
            <wp:cNvGraphicFramePr>
              <a:graphicFrameLocks noChangeAspect="1"/>
            </wp:cNvGraphicFramePr>
            <a:graphic>
              <a:graphicData uri="http://schemas.openxmlformats.org/drawingml/2006/picture">
                <pic:pic>
                  <pic:nvPicPr>
                    <pic:cNvPr id="0" name="pkg_43.jpg"/>
                    <pic:cNvPicPr/>
                  </pic:nvPicPr>
                  <pic:blipFill>
                    <a:blip r:embed="rId68"/>
                    <a:stretch>
                      <a:fillRect/>
                    </a:stretch>
                  </pic:blipFill>
                  <pic:spPr>
                    <a:xfrm>
                      <a:off x="0" y="0"/>
                      <a:ext cx="2870633" cy="3840479"/>
                    </a:xfrm>
                    <a:prstGeom prst="rect"/>
                  </pic:spPr>
                </pic:pic>
              </a:graphicData>
            </a:graphic>
          </wp:inline>
        </w:drawing>
      </w:r>
    </w:p>
    <w:p>
      <w:pPr>
        <w:spacing w:after="240"/>
        <w:jc w:val="center"/>
      </w:pPr>
      <w:r>
        <w:rPr>
          <w:b/>
          <w:color w:val="1B335F"/>
          <w:sz w:val="19"/>
        </w:rPr>
        <w:t>M-D13. Electrical block diagram and enclosure structure</w:t>
        <w:br/>
      </w:r>
      <w:r>
        <w:rPr>
          <w:color w:val="555B66"/>
          <w:sz w:val="17"/>
        </w:rPr>
        <w:t>Block diagram of the main board and dimensioned enclosure-structure views.</w:t>
      </w:r>
    </w:p>
    <w:p>
      <w:pPr>
        <w:keepNext/>
        <w:spacing w:after="40"/>
        <w:jc w:val="center"/>
      </w:pPr>
      <w:r>
        <w:drawing>
          <wp:inline xmlns:a="http://schemas.openxmlformats.org/drawingml/2006/main" xmlns:pic="http://schemas.openxmlformats.org/drawingml/2006/picture">
            <wp:extent cx="4048436" cy="3840480"/>
            <wp:docPr id="59" name="Picture 59"/>
            <wp:cNvGraphicFramePr>
              <a:graphicFrameLocks noChangeAspect="1"/>
            </wp:cNvGraphicFramePr>
            <a:graphic>
              <a:graphicData uri="http://schemas.openxmlformats.org/drawingml/2006/picture">
                <pic:pic>
                  <pic:nvPicPr>
                    <pic:cNvPr id="0" name="pkg_44.jpg"/>
                    <pic:cNvPicPr/>
                  </pic:nvPicPr>
                  <pic:blipFill>
                    <a:blip r:embed="rId69"/>
                    <a:stretch>
                      <a:fillRect/>
                    </a:stretch>
                  </pic:blipFill>
                  <pic:spPr>
                    <a:xfrm>
                      <a:off x="0" y="0"/>
                      <a:ext cx="4048436" cy="3840480"/>
                    </a:xfrm>
                    <a:prstGeom prst="rect"/>
                  </pic:spPr>
                </pic:pic>
              </a:graphicData>
            </a:graphic>
          </wp:inline>
        </w:drawing>
      </w:r>
    </w:p>
    <w:p>
      <w:pPr>
        <w:spacing w:after="240"/>
        <w:jc w:val="center"/>
      </w:pPr>
      <w:r>
        <w:rPr>
          <w:b/>
          <w:color w:val="1B335F"/>
          <w:sz w:val="19"/>
        </w:rPr>
        <w:t>M-D14. Terminal — 24 VDC power in</w:t>
        <w:br/>
      </w:r>
      <w:r>
        <w:rPr>
          <w:color w:val="555B66"/>
          <w:sz w:val="17"/>
        </w:rPr>
        <w:t>24 VDC waterproof cable connector and the terminal block on the PCB cover.</w:t>
      </w:r>
    </w:p>
    <w:p>
      <w:pPr>
        <w:keepNext/>
        <w:spacing w:after="40"/>
        <w:jc w:val="center"/>
      </w:pPr>
      <w:r>
        <w:drawing>
          <wp:inline xmlns:a="http://schemas.openxmlformats.org/drawingml/2006/main" xmlns:pic="http://schemas.openxmlformats.org/drawingml/2006/picture">
            <wp:extent cx="5669280" cy="3380612"/>
            <wp:docPr id="60" name="Picture 60"/>
            <wp:cNvGraphicFramePr>
              <a:graphicFrameLocks noChangeAspect="1"/>
            </wp:cNvGraphicFramePr>
            <a:graphic>
              <a:graphicData uri="http://schemas.openxmlformats.org/drawingml/2006/picture">
                <pic:pic>
                  <pic:nvPicPr>
                    <pic:cNvPr id="0" name="pkg_45.jpg"/>
                    <pic:cNvPicPr/>
                  </pic:nvPicPr>
                  <pic:blipFill>
                    <a:blip r:embed="rId70"/>
                    <a:stretch>
                      <a:fillRect/>
                    </a:stretch>
                  </pic:blipFill>
                  <pic:spPr>
                    <a:xfrm>
                      <a:off x="0" y="0"/>
                      <a:ext cx="5669280" cy="3380612"/>
                    </a:xfrm>
                    <a:prstGeom prst="rect"/>
                  </pic:spPr>
                </pic:pic>
              </a:graphicData>
            </a:graphic>
          </wp:inline>
        </w:drawing>
      </w:r>
    </w:p>
    <w:p>
      <w:pPr>
        <w:spacing w:after="240"/>
        <w:jc w:val="center"/>
      </w:pPr>
      <w:r>
        <w:rPr>
          <w:b/>
          <w:color w:val="1B335F"/>
          <w:sz w:val="19"/>
        </w:rPr>
        <w:t>M-D15. Grounding</w:t>
        <w:br/>
      </w:r>
      <w:r>
        <w:rPr>
          <w:color w:val="555B66"/>
          <w:sz w:val="17"/>
        </w:rPr>
        <w:t>External grounding stud, marked with the protective-earth symbol, installed on the enclosure body.</w:t>
      </w:r>
    </w:p>
    <w:p>
      <w:r>
        <w:br w:type="page"/>
      </w:r>
    </w:p>
    <w:p>
      <w:pPr>
        <w:keepNext/>
        <w:spacing w:after="80"/>
      </w:pPr>
      <w:r>
        <w:rPr>
          <w:b/>
          <w:i w:val="0"/>
          <w:color w:val="1B335F"/>
          <w:sz w:val="23"/>
        </w:rPr>
        <w:t>E. Assembly sequence</w:t>
      </w:r>
    </w:p>
    <w:p>
      <w:pPr>
        <w:keepNext/>
        <w:spacing w:after="40"/>
        <w:jc w:val="center"/>
      </w:pPr>
      <w:r>
        <w:drawing>
          <wp:inline xmlns:a="http://schemas.openxmlformats.org/drawingml/2006/main" xmlns:pic="http://schemas.openxmlformats.org/drawingml/2006/picture">
            <wp:extent cx="5669280" cy="5902664"/>
            <wp:docPr id="61" name="Picture 61"/>
            <wp:cNvGraphicFramePr>
              <a:graphicFrameLocks noChangeAspect="1"/>
            </wp:cNvGraphicFramePr>
            <a:graphic>
              <a:graphicData uri="http://schemas.openxmlformats.org/drawingml/2006/picture">
                <pic:pic>
                  <pic:nvPicPr>
                    <pic:cNvPr id="0" name="pkg_33.jpg"/>
                    <pic:cNvPicPr/>
                  </pic:nvPicPr>
                  <pic:blipFill>
                    <a:blip r:embed="rId71"/>
                    <a:stretch>
                      <a:fillRect/>
                    </a:stretch>
                  </pic:blipFill>
                  <pic:spPr>
                    <a:xfrm>
                      <a:off x="0" y="0"/>
                      <a:ext cx="5669280" cy="5902664"/>
                    </a:xfrm>
                    <a:prstGeom prst="rect"/>
                  </pic:spPr>
                </pic:pic>
              </a:graphicData>
            </a:graphic>
          </wp:inline>
        </w:drawing>
      </w:r>
    </w:p>
    <w:p>
      <w:pPr>
        <w:spacing w:after="240"/>
        <w:jc w:val="center"/>
      </w:pPr>
      <w:r>
        <w:rPr>
          <w:b/>
          <w:color w:val="1B335F"/>
          <w:sz w:val="19"/>
        </w:rPr>
        <w:t>M-E1. Assembly drawing — exploded view</w:t>
        <w:br/>
      </w:r>
      <w:r>
        <w:rPr>
          <w:color w:val="555B66"/>
          <w:sz w:val="17"/>
        </w:rPr>
        <w:t>Casing cover, stainless wire-mesh plate, wire-mesh locking bracket and DC fan.</w:t>
      </w:r>
    </w:p>
    <w:p>
      <w:pPr>
        <w:keepNext/>
        <w:spacing w:after="40"/>
        <w:jc w:val="center"/>
      </w:pPr>
      <w:r>
        <w:drawing>
          <wp:inline xmlns:a="http://schemas.openxmlformats.org/drawingml/2006/main" xmlns:pic="http://schemas.openxmlformats.org/drawingml/2006/picture">
            <wp:extent cx="3730095" cy="7589518"/>
            <wp:docPr id="62" name="Picture 62"/>
            <wp:cNvGraphicFramePr>
              <a:graphicFrameLocks noChangeAspect="1"/>
            </wp:cNvGraphicFramePr>
            <a:graphic>
              <a:graphicData uri="http://schemas.openxmlformats.org/drawingml/2006/picture">
                <pic:pic>
                  <pic:nvPicPr>
                    <pic:cNvPr id="0" name="pkg_34.jpg"/>
                    <pic:cNvPicPr/>
                  </pic:nvPicPr>
                  <pic:blipFill>
                    <a:blip r:embed="rId72"/>
                    <a:stretch>
                      <a:fillRect/>
                    </a:stretch>
                  </pic:blipFill>
                  <pic:spPr>
                    <a:xfrm>
                      <a:off x="0" y="0"/>
                      <a:ext cx="3730095" cy="7589518"/>
                    </a:xfrm>
                    <a:prstGeom prst="rect"/>
                  </pic:spPr>
                </pic:pic>
              </a:graphicData>
            </a:graphic>
          </wp:inline>
        </w:drawing>
      </w:r>
    </w:p>
    <w:p>
      <w:pPr>
        <w:spacing w:after="240"/>
        <w:jc w:val="center"/>
      </w:pPr>
      <w:r>
        <w:rPr>
          <w:b/>
          <w:color w:val="1B335F"/>
          <w:sz w:val="19"/>
        </w:rPr>
        <w:t>M-E2. Assembly step — casing cover</w:t>
        <w:br/>
      </w:r>
      <w:r>
        <w:rPr>
          <w:color w:val="555B66"/>
          <w:sz w:val="17"/>
        </w:rPr>
        <w:t>Casing cover parts.</w:t>
      </w:r>
    </w:p>
    <w:p>
      <w:pPr>
        <w:keepNext/>
        <w:spacing w:after="40"/>
        <w:jc w:val="center"/>
      </w:pPr>
      <w:r>
        <w:drawing>
          <wp:inline xmlns:a="http://schemas.openxmlformats.org/drawingml/2006/main" xmlns:pic="http://schemas.openxmlformats.org/drawingml/2006/picture">
            <wp:extent cx="4426422" cy="7589519"/>
            <wp:docPr id="63" name="Picture 63"/>
            <wp:cNvGraphicFramePr>
              <a:graphicFrameLocks noChangeAspect="1"/>
            </wp:cNvGraphicFramePr>
            <a:graphic>
              <a:graphicData uri="http://schemas.openxmlformats.org/drawingml/2006/picture">
                <pic:pic>
                  <pic:nvPicPr>
                    <pic:cNvPr id="0" name="pkg_35.jpg"/>
                    <pic:cNvPicPr/>
                  </pic:nvPicPr>
                  <pic:blipFill>
                    <a:blip r:embed="rId73"/>
                    <a:stretch>
                      <a:fillRect/>
                    </a:stretch>
                  </pic:blipFill>
                  <pic:spPr>
                    <a:xfrm>
                      <a:off x="0" y="0"/>
                      <a:ext cx="4426422" cy="7589519"/>
                    </a:xfrm>
                    <a:prstGeom prst="rect"/>
                  </pic:spPr>
                </pic:pic>
              </a:graphicData>
            </a:graphic>
          </wp:inline>
        </w:drawing>
      </w:r>
    </w:p>
    <w:p>
      <w:pPr>
        <w:spacing w:after="240"/>
        <w:jc w:val="center"/>
      </w:pPr>
      <w:r>
        <w:rPr>
          <w:b/>
          <w:color w:val="1B335F"/>
          <w:sz w:val="19"/>
        </w:rPr>
        <w:t>M-E3. Assembly step — sensor case and rubber gasket</w:t>
        <w:br/>
      </w:r>
      <w:r>
        <w:rPr>
          <w:color w:val="555B66"/>
          <w:sz w:val="17"/>
        </w:rPr>
        <w:t>Sensor case with rubber gasket (drawing also labels a battery case — see note).</w:t>
      </w:r>
    </w:p>
    <w:p>
      <w:pPr>
        <w:keepNext/>
        <w:spacing w:after="40"/>
        <w:jc w:val="center"/>
      </w:pPr>
      <w:r>
        <w:drawing>
          <wp:inline xmlns:a="http://schemas.openxmlformats.org/drawingml/2006/main" xmlns:pic="http://schemas.openxmlformats.org/drawingml/2006/picture">
            <wp:extent cx="5669280" cy="3180806"/>
            <wp:docPr id="64" name="Picture 64"/>
            <wp:cNvGraphicFramePr>
              <a:graphicFrameLocks noChangeAspect="1"/>
            </wp:cNvGraphicFramePr>
            <a:graphic>
              <a:graphicData uri="http://schemas.openxmlformats.org/drawingml/2006/picture">
                <pic:pic>
                  <pic:nvPicPr>
                    <pic:cNvPr id="0" name="pkg_36.jpg"/>
                    <pic:cNvPicPr/>
                  </pic:nvPicPr>
                  <pic:blipFill>
                    <a:blip r:embed="rId74"/>
                    <a:stretch>
                      <a:fillRect/>
                    </a:stretch>
                  </pic:blipFill>
                  <pic:spPr>
                    <a:xfrm>
                      <a:off x="0" y="0"/>
                      <a:ext cx="5669280" cy="3180806"/>
                    </a:xfrm>
                    <a:prstGeom prst="rect"/>
                  </pic:spPr>
                </pic:pic>
              </a:graphicData>
            </a:graphic>
          </wp:inline>
        </w:drawing>
      </w:r>
    </w:p>
    <w:p>
      <w:pPr>
        <w:spacing w:after="240"/>
        <w:jc w:val="center"/>
      </w:pPr>
      <w:r>
        <w:rPr>
          <w:b/>
          <w:color w:val="1B335F"/>
          <w:sz w:val="19"/>
        </w:rPr>
        <w:t>M-E4. Assembly step — LED &amp; buzzer</w:t>
        <w:br/>
      </w:r>
      <w:r>
        <w:rPr>
          <w:color w:val="555B66"/>
          <w:sz w:val="17"/>
        </w:rPr>
        <w:t>Alarm beacon fitted to the base.</w:t>
      </w:r>
    </w:p>
    <w:p>
      <w:pPr>
        <w:keepNext/>
        <w:spacing w:after="40"/>
        <w:jc w:val="center"/>
      </w:pPr>
      <w:r>
        <w:drawing>
          <wp:inline xmlns:a="http://schemas.openxmlformats.org/drawingml/2006/main" xmlns:pic="http://schemas.openxmlformats.org/drawingml/2006/picture">
            <wp:extent cx="5638157" cy="7589519"/>
            <wp:docPr id="65" name="Picture 65"/>
            <wp:cNvGraphicFramePr>
              <a:graphicFrameLocks noChangeAspect="1"/>
            </wp:cNvGraphicFramePr>
            <a:graphic>
              <a:graphicData uri="http://schemas.openxmlformats.org/drawingml/2006/picture">
                <pic:pic>
                  <pic:nvPicPr>
                    <pic:cNvPr id="0" name="pkg_37.jpg"/>
                    <pic:cNvPicPr/>
                  </pic:nvPicPr>
                  <pic:blipFill>
                    <a:blip r:embed="rId75"/>
                    <a:stretch>
                      <a:fillRect/>
                    </a:stretch>
                  </pic:blipFill>
                  <pic:spPr>
                    <a:xfrm>
                      <a:off x="0" y="0"/>
                      <a:ext cx="5638157" cy="7589519"/>
                    </a:xfrm>
                    <a:prstGeom prst="rect"/>
                  </pic:spPr>
                </pic:pic>
              </a:graphicData>
            </a:graphic>
          </wp:inline>
        </w:drawing>
      </w:r>
    </w:p>
    <w:p>
      <w:pPr>
        <w:spacing w:after="240"/>
        <w:jc w:val="center"/>
      </w:pPr>
      <w:r>
        <w:rPr>
          <w:b/>
          <w:color w:val="1B335F"/>
          <w:sz w:val="19"/>
        </w:rPr>
        <w:t>M-E5. Assembly step — 24 VDC power in</w:t>
        <w:br/>
      </w:r>
      <w:r>
        <w:rPr>
          <w:color w:val="555B66"/>
          <w:sz w:val="17"/>
        </w:rPr>
        <w:t>Cable entry for the 24 VDC supply.</w:t>
      </w:r>
    </w:p>
    <w:p>
      <w:pPr>
        <w:keepNext/>
        <w:spacing w:after="40"/>
        <w:jc w:val="center"/>
      </w:pPr>
      <w:r>
        <w:drawing>
          <wp:inline xmlns:a="http://schemas.openxmlformats.org/drawingml/2006/main" xmlns:pic="http://schemas.openxmlformats.org/drawingml/2006/picture">
            <wp:extent cx="4272448" cy="7589519"/>
            <wp:docPr id="66" name="Picture 66"/>
            <wp:cNvGraphicFramePr>
              <a:graphicFrameLocks noChangeAspect="1"/>
            </wp:cNvGraphicFramePr>
            <a:graphic>
              <a:graphicData uri="http://schemas.openxmlformats.org/drawingml/2006/picture">
                <pic:pic>
                  <pic:nvPicPr>
                    <pic:cNvPr id="0" name="pkg_38.jpg"/>
                    <pic:cNvPicPr/>
                  </pic:nvPicPr>
                  <pic:blipFill>
                    <a:blip r:embed="rId76"/>
                    <a:stretch>
                      <a:fillRect/>
                    </a:stretch>
                  </pic:blipFill>
                  <pic:spPr>
                    <a:xfrm>
                      <a:off x="0" y="0"/>
                      <a:ext cx="4272448" cy="7589519"/>
                    </a:xfrm>
                    <a:prstGeom prst="rect"/>
                  </pic:spPr>
                </pic:pic>
              </a:graphicData>
            </a:graphic>
          </wp:inline>
        </w:drawing>
      </w:r>
    </w:p>
    <w:p>
      <w:pPr>
        <w:spacing w:after="240"/>
        <w:jc w:val="center"/>
      </w:pPr>
      <w:r>
        <w:rPr>
          <w:b/>
          <w:color w:val="1B335F"/>
          <w:sz w:val="19"/>
        </w:rPr>
        <w:t>M-E6. Assembly step — put motherboard into base casing</w:t>
        <w:br/>
      </w:r>
      <w:r>
        <w:rPr>
          <w:color w:val="555B66"/>
          <w:sz w:val="17"/>
        </w:rPr>
        <w:t>Base casing and motherboard placement.</w:t>
      </w:r>
    </w:p>
    <w:p>
      <w:pPr>
        <w:keepNext/>
        <w:spacing w:after="40"/>
        <w:jc w:val="center"/>
      </w:pPr>
      <w:r>
        <w:drawing>
          <wp:inline xmlns:a="http://schemas.openxmlformats.org/drawingml/2006/main" xmlns:pic="http://schemas.openxmlformats.org/drawingml/2006/picture">
            <wp:extent cx="5669280" cy="6613229"/>
            <wp:docPr id="67" name="Picture 67"/>
            <wp:cNvGraphicFramePr>
              <a:graphicFrameLocks noChangeAspect="1"/>
            </wp:cNvGraphicFramePr>
            <a:graphic>
              <a:graphicData uri="http://schemas.openxmlformats.org/drawingml/2006/picture">
                <pic:pic>
                  <pic:nvPicPr>
                    <pic:cNvPr id="0" name="pkg_39.jpg"/>
                    <pic:cNvPicPr/>
                  </pic:nvPicPr>
                  <pic:blipFill>
                    <a:blip r:embed="rId77"/>
                    <a:stretch>
                      <a:fillRect/>
                    </a:stretch>
                  </pic:blipFill>
                  <pic:spPr>
                    <a:xfrm>
                      <a:off x="0" y="0"/>
                      <a:ext cx="5669280" cy="6613229"/>
                    </a:xfrm>
                    <a:prstGeom prst="rect"/>
                  </pic:spPr>
                </pic:pic>
              </a:graphicData>
            </a:graphic>
          </wp:inline>
        </w:drawing>
      </w:r>
    </w:p>
    <w:p>
      <w:pPr>
        <w:spacing w:after="240"/>
        <w:jc w:val="center"/>
      </w:pPr>
      <w:r>
        <w:rPr>
          <w:b/>
          <w:color w:val="1B335F"/>
          <w:sz w:val="19"/>
        </w:rPr>
        <w:t>M-E7. Assembly step — secure motherboard; install LoRa antenna cable</w:t>
        <w:br/>
      </w:r>
      <w:r>
        <w:rPr>
          <w:color w:val="555B66"/>
          <w:sz w:val="17"/>
        </w:rPr>
        <w:t>Secure the motherboard with the designated mounting screws and install the antenna cable.</w:t>
      </w:r>
    </w:p>
    <w:p>
      <w:pPr>
        <w:keepNext/>
        <w:spacing w:after="40"/>
        <w:jc w:val="center"/>
      </w:pPr>
      <w:r>
        <w:drawing>
          <wp:inline xmlns:a="http://schemas.openxmlformats.org/drawingml/2006/main" xmlns:pic="http://schemas.openxmlformats.org/drawingml/2006/picture">
            <wp:extent cx="4829101" cy="7589520"/>
            <wp:docPr id="68" name="Picture 68"/>
            <wp:cNvGraphicFramePr>
              <a:graphicFrameLocks noChangeAspect="1"/>
            </wp:cNvGraphicFramePr>
            <a:graphic>
              <a:graphicData uri="http://schemas.openxmlformats.org/drawingml/2006/picture">
                <pic:pic>
                  <pic:nvPicPr>
                    <pic:cNvPr id="0" name="pkg_40.jpg"/>
                    <pic:cNvPicPr/>
                  </pic:nvPicPr>
                  <pic:blipFill>
                    <a:blip r:embed="rId78"/>
                    <a:stretch>
                      <a:fillRect/>
                    </a:stretch>
                  </pic:blipFill>
                  <pic:spPr>
                    <a:xfrm>
                      <a:off x="0" y="0"/>
                      <a:ext cx="4829101" cy="7589520"/>
                    </a:xfrm>
                    <a:prstGeom prst="rect"/>
                  </pic:spPr>
                </pic:pic>
              </a:graphicData>
            </a:graphic>
          </wp:inline>
        </w:drawing>
      </w:r>
    </w:p>
    <w:p>
      <w:pPr>
        <w:spacing w:after="240"/>
        <w:jc w:val="center"/>
      </w:pPr>
      <w:r>
        <w:rPr>
          <w:b/>
          <w:color w:val="1B335F"/>
          <w:sz w:val="19"/>
        </w:rPr>
        <w:t>M-E8. Assembly step — antenna position</w:t>
        <w:br/>
      </w:r>
      <w:r>
        <w:rPr>
          <w:color w:val="555B66"/>
          <w:sz w:val="17"/>
        </w:rPr>
        <w:t>In the current version the LoRa antenna is positioned above the base enclosure (earlier side position superseded).</w:t>
      </w:r>
    </w:p>
    <w:p>
      <w:pPr>
        <w:keepNext/>
        <w:spacing w:after="40"/>
        <w:jc w:val="center"/>
      </w:pPr>
      <w:r>
        <w:drawing>
          <wp:inline xmlns:a="http://schemas.openxmlformats.org/drawingml/2006/main" xmlns:pic="http://schemas.openxmlformats.org/drawingml/2006/picture">
            <wp:extent cx="4333205" cy="7589519"/>
            <wp:docPr id="69" name="Picture 69"/>
            <wp:cNvGraphicFramePr>
              <a:graphicFrameLocks noChangeAspect="1"/>
            </wp:cNvGraphicFramePr>
            <a:graphic>
              <a:graphicData uri="http://schemas.openxmlformats.org/drawingml/2006/picture">
                <pic:pic>
                  <pic:nvPicPr>
                    <pic:cNvPr id="0" name="pkg_41.jpg"/>
                    <pic:cNvPicPr/>
                  </pic:nvPicPr>
                  <pic:blipFill>
                    <a:blip r:embed="rId79"/>
                    <a:stretch>
                      <a:fillRect/>
                    </a:stretch>
                  </pic:blipFill>
                  <pic:spPr>
                    <a:xfrm>
                      <a:off x="0" y="0"/>
                      <a:ext cx="4333205" cy="7589519"/>
                    </a:xfrm>
                    <a:prstGeom prst="rect"/>
                  </pic:spPr>
                </pic:pic>
              </a:graphicData>
            </a:graphic>
          </wp:inline>
        </w:drawing>
      </w:r>
    </w:p>
    <w:p>
      <w:pPr>
        <w:spacing w:after="240"/>
        <w:jc w:val="center"/>
      </w:pPr>
      <w:r>
        <w:rPr>
          <w:b/>
          <w:color w:val="1B335F"/>
          <w:sz w:val="19"/>
        </w:rPr>
        <w:t>M-E9. Assembly step — alarm cables, DC fan and cover closure</w:t>
        <w:br/>
      </w:r>
      <w:r>
        <w:rPr>
          <w:color w:val="555B66"/>
          <w:sz w:val="17"/>
        </w:rPr>
        <w:t>Connect LED/buzzer cables; attach DC fan to the cover behind the stainless-steel mesh plate; connect the fan cable; close the cover by turning it clockwise.</w:t>
      </w:r>
    </w:p>
    <w:p>
      <w:r>
        <w:br w:type="page"/>
      </w:r>
    </w:p>
    <w:p>
      <w:pPr>
        <w:keepNext/>
        <w:spacing w:after="80"/>
      </w:pPr>
      <w:r>
        <w:rPr>
          <w:b/>
          <w:i w:val="0"/>
          <w:color w:val="1B335F"/>
          <w:sz w:val="23"/>
        </w:rPr>
        <w:t>F. MQ sensor dimension drawings</w:t>
      </w:r>
    </w:p>
    <w:p>
      <w:pPr>
        <w:keepNext/>
        <w:spacing w:after="40"/>
        <w:jc w:val="center"/>
      </w:pPr>
      <w:r>
        <w:drawing>
          <wp:inline xmlns:a="http://schemas.openxmlformats.org/drawingml/2006/main" xmlns:pic="http://schemas.openxmlformats.org/drawingml/2006/picture">
            <wp:extent cx="5539409" cy="7589519"/>
            <wp:docPr id="70" name="Picture 70"/>
            <wp:cNvGraphicFramePr>
              <a:graphicFrameLocks noChangeAspect="1"/>
            </wp:cNvGraphicFramePr>
            <a:graphic>
              <a:graphicData uri="http://schemas.openxmlformats.org/drawingml/2006/picture">
                <pic:pic>
                  <pic:nvPicPr>
                    <pic:cNvPr id="0" name="pkg_29.jpg"/>
                    <pic:cNvPicPr/>
                  </pic:nvPicPr>
                  <pic:blipFill>
                    <a:blip r:embed="rId80"/>
                    <a:stretch>
                      <a:fillRect/>
                    </a:stretch>
                  </pic:blipFill>
                  <pic:spPr>
                    <a:xfrm>
                      <a:off x="0" y="0"/>
                      <a:ext cx="5539409" cy="7589519"/>
                    </a:xfrm>
                    <a:prstGeom prst="rect"/>
                  </pic:spPr>
                </pic:pic>
              </a:graphicData>
            </a:graphic>
          </wp:inline>
        </w:drawing>
      </w:r>
    </w:p>
    <w:p>
      <w:pPr>
        <w:spacing w:after="240"/>
        <w:jc w:val="center"/>
      </w:pPr>
      <w:r>
        <w:rPr>
          <w:b/>
          <w:color w:val="1B335F"/>
          <w:sz w:val="19"/>
        </w:rPr>
        <w:t>M-F1. MQ-2 and MQ-3 — sensor parameters and dimension drawings</w:t>
      </w:r>
    </w:p>
    <w:p>
      <w:r>
        <w:br w:type="page"/>
      </w:r>
    </w:p>
    <w:p>
      <w:pPr>
        <w:keepNext/>
        <w:spacing w:after="40"/>
        <w:jc w:val="center"/>
      </w:pPr>
      <w:r>
        <w:drawing>
          <wp:inline xmlns:a="http://schemas.openxmlformats.org/drawingml/2006/main" xmlns:pic="http://schemas.openxmlformats.org/drawingml/2006/picture">
            <wp:extent cx="4768231" cy="7589519"/>
            <wp:docPr id="71" name="Picture 71"/>
            <wp:cNvGraphicFramePr>
              <a:graphicFrameLocks noChangeAspect="1"/>
            </wp:cNvGraphicFramePr>
            <a:graphic>
              <a:graphicData uri="http://schemas.openxmlformats.org/drawingml/2006/picture">
                <pic:pic>
                  <pic:nvPicPr>
                    <pic:cNvPr id="0" name="pkg_30.jpg"/>
                    <pic:cNvPicPr/>
                  </pic:nvPicPr>
                  <pic:blipFill>
                    <a:blip r:embed="rId81"/>
                    <a:stretch>
                      <a:fillRect/>
                    </a:stretch>
                  </pic:blipFill>
                  <pic:spPr>
                    <a:xfrm>
                      <a:off x="0" y="0"/>
                      <a:ext cx="4768231" cy="7589519"/>
                    </a:xfrm>
                    <a:prstGeom prst="rect"/>
                  </pic:spPr>
                </pic:pic>
              </a:graphicData>
            </a:graphic>
          </wp:inline>
        </w:drawing>
      </w:r>
    </w:p>
    <w:p>
      <w:pPr>
        <w:spacing w:after="240"/>
        <w:jc w:val="center"/>
      </w:pPr>
      <w:r>
        <w:rPr>
          <w:b/>
          <w:color w:val="1B335F"/>
          <w:sz w:val="19"/>
        </w:rPr>
        <w:t>M-F2. MQ-4 and MQ-5 — sensor parameters and dimension drawings</w:t>
      </w:r>
    </w:p>
    <w:p>
      <w:r>
        <w:br w:type="page"/>
      </w:r>
    </w:p>
    <w:p>
      <w:pPr>
        <w:keepNext/>
        <w:spacing w:after="40"/>
        <w:jc w:val="center"/>
      </w:pPr>
      <w:r>
        <w:drawing>
          <wp:inline xmlns:a="http://schemas.openxmlformats.org/drawingml/2006/main" xmlns:pic="http://schemas.openxmlformats.org/drawingml/2006/picture">
            <wp:extent cx="5015544" cy="7589519"/>
            <wp:docPr id="72" name="Picture 72"/>
            <wp:cNvGraphicFramePr>
              <a:graphicFrameLocks noChangeAspect="1"/>
            </wp:cNvGraphicFramePr>
            <a:graphic>
              <a:graphicData uri="http://schemas.openxmlformats.org/drawingml/2006/picture">
                <pic:pic>
                  <pic:nvPicPr>
                    <pic:cNvPr id="0" name="pkg_31.jpg"/>
                    <pic:cNvPicPr/>
                  </pic:nvPicPr>
                  <pic:blipFill>
                    <a:blip r:embed="rId82"/>
                    <a:stretch>
                      <a:fillRect/>
                    </a:stretch>
                  </pic:blipFill>
                  <pic:spPr>
                    <a:xfrm>
                      <a:off x="0" y="0"/>
                      <a:ext cx="5015544" cy="7589519"/>
                    </a:xfrm>
                    <a:prstGeom prst="rect"/>
                  </pic:spPr>
                </pic:pic>
              </a:graphicData>
            </a:graphic>
          </wp:inline>
        </w:drawing>
      </w:r>
    </w:p>
    <w:p>
      <w:pPr>
        <w:spacing w:after="240"/>
        <w:jc w:val="center"/>
      </w:pPr>
      <w:r>
        <w:rPr>
          <w:b/>
          <w:color w:val="1B335F"/>
          <w:sz w:val="19"/>
        </w:rPr>
        <w:t>M-F3. MQ-6 and MQ-7 — sensor parameters and dimension drawings</w:t>
      </w:r>
    </w:p>
    <w:p>
      <w:r>
        <w:br w:type="page"/>
      </w:r>
    </w:p>
    <w:p>
      <w:pPr>
        <w:keepNext/>
        <w:spacing w:after="40"/>
        <w:jc w:val="center"/>
      </w:pPr>
      <w:r>
        <w:drawing>
          <wp:inline xmlns:a="http://schemas.openxmlformats.org/drawingml/2006/main" xmlns:pic="http://schemas.openxmlformats.org/drawingml/2006/picture">
            <wp:extent cx="5139876" cy="7589519"/>
            <wp:docPr id="73" name="Picture 73"/>
            <wp:cNvGraphicFramePr>
              <a:graphicFrameLocks noChangeAspect="1"/>
            </wp:cNvGraphicFramePr>
            <a:graphic>
              <a:graphicData uri="http://schemas.openxmlformats.org/drawingml/2006/picture">
                <pic:pic>
                  <pic:nvPicPr>
                    <pic:cNvPr id="0" name="pkg_32.jpg"/>
                    <pic:cNvPicPr/>
                  </pic:nvPicPr>
                  <pic:blipFill>
                    <a:blip r:embed="rId83"/>
                    <a:stretch>
                      <a:fillRect/>
                    </a:stretch>
                  </pic:blipFill>
                  <pic:spPr>
                    <a:xfrm>
                      <a:off x="0" y="0"/>
                      <a:ext cx="5139876" cy="7589519"/>
                    </a:xfrm>
                    <a:prstGeom prst="rect"/>
                  </pic:spPr>
                </pic:pic>
              </a:graphicData>
            </a:graphic>
          </wp:inline>
        </w:drawing>
      </w:r>
    </w:p>
    <w:p>
      <w:pPr>
        <w:spacing w:after="240"/>
        <w:jc w:val="center"/>
      </w:pPr>
      <w:r>
        <w:rPr>
          <w:b/>
          <w:color w:val="1B335F"/>
          <w:sz w:val="19"/>
        </w:rPr>
        <w:t>M-F4. MQ-8 and MQ-135 — sensor parameters and dimension drawings</w:t>
      </w:r>
    </w:p>
    <w:p>
      <w:r>
        <w:br w:type="page"/>
      </w:r>
    </w:p>
    <w:p>
      <w:pPr>
        <w:pStyle w:val="Heading4"/>
      </w:pPr>
      <w:r>
        <w:t>2.6.a.7 Main PCB schematic</w:t>
      </w:r>
    </w:p>
    <w:p>
      <w:pPr>
        <w:spacing w:after="120"/>
      </w:pPr>
      <w:r>
        <w:rPr>
          <w:b w:val="0"/>
          <w:i w:val="0"/>
          <w:color w:val="262321"/>
          <w:sz w:val="20"/>
        </w:rPr>
        <w:t>The electrical schematic of the GLD main board is provided as the actual circuit schematic (not a block diagram). It is presented as 26 figures, each cut from the original EasyEDA schematic around one functional block. Every component in a figure is enclosed in a numbered boundary box, and the same number is used in the description table printed with that figure. Each figure carries a sheet information table with the drawing/document number, revision, date, title and sheet number (n of 26).</w:t>
      </w:r>
    </w:p>
    <w:p>
      <w:pPr>
        <w:spacing w:after="80"/>
      </w:pPr>
      <w:r>
        <w:rPr>
          <w:b/>
          <w:i w:val="0"/>
          <w:color w:val="1B335F"/>
          <w:sz w:val="24"/>
        </w:rPr>
        <w:t>Sheet register</w:t>
      </w:r>
    </w:p>
    <w:tbl>
      <w:tblPr>
        <w:tblStyle w:val="TableGrid"/>
        <w:tblW w:type="auto" w:w="0"/>
        <w:jc w:val="center"/>
        <w:tblLayout w:type="fixed"/>
        <w:tblLook w:firstColumn="1" w:firstRow="1" w:lastColumn="0" w:lastRow="0" w:noHBand="0" w:noVBand="1" w:val="04A0"/>
        <w:tblLayout w:type="fixed"/>
      </w:tblPr>
      <w:tblGrid>
        <w:gridCol w:w="2520"/>
        <w:gridCol w:w="4464"/>
        <w:gridCol w:w="2520"/>
      </w:tblGrid>
      <w:tr>
        <w:trPr>
          <w:tblHeader w:val="true"/>
        </w:trPr>
        <w:tc>
          <w:tcPr>
            <w:tcW w:type="dxa" w:w="2520"/>
            <w:shd w:val="clear" w:fill="EAEFF9"/>
          </w:tcPr>
          <w:p>
            <w:pPr>
              <w:spacing w:after="20"/>
            </w:pPr>
            <w:r>
              <w:rPr>
                <w:b/>
                <w:color w:val="1B335F"/>
                <w:sz w:val="17"/>
              </w:rPr>
              <w:t>Drawing no.</w:t>
            </w:r>
          </w:p>
        </w:tc>
        <w:tc>
          <w:tcPr>
            <w:tcW w:type="dxa" w:w="4464"/>
            <w:shd w:val="clear" w:fill="EAEFF9"/>
          </w:tcPr>
          <w:p>
            <w:pPr>
              <w:spacing w:after="20"/>
            </w:pPr>
            <w:r>
              <w:rPr>
                <w:b/>
                <w:color w:val="1B335F"/>
                <w:sz w:val="17"/>
              </w:rPr>
              <w:t>Title</w:t>
            </w:r>
          </w:p>
        </w:tc>
        <w:tc>
          <w:tcPr>
            <w:tcW w:type="dxa" w:w="2520"/>
            <w:shd w:val="clear" w:fill="EAEFF9"/>
          </w:tcPr>
          <w:p>
            <w:pPr>
              <w:spacing w:after="20"/>
            </w:pPr>
            <w:r>
              <w:rPr>
                <w:b/>
                <w:color w:val="1B335F"/>
                <w:sz w:val="17"/>
              </w:rPr>
              <w:t>Requirement covered</w:t>
            </w:r>
          </w:p>
        </w:tc>
      </w:tr>
      <w:tr>
        <w:trPr>
          <w:cantSplit/>
        </w:trPr>
        <w:tc>
          <w:tcPr>
            <w:tcW w:type="dxa" w:w="2520"/>
          </w:tcPr>
          <w:p>
            <w:pPr>
              <w:spacing w:after="20" w:before="20"/>
            </w:pPr>
            <w:r>
              <w:rPr>
                <w:b/>
                <w:sz w:val="17"/>
              </w:rPr>
              <w:t>PGLD-GLD-V4-MB-SCH-01</w:t>
            </w:r>
          </w:p>
        </w:tc>
        <w:tc>
          <w:tcPr>
            <w:tcW w:type="dxa" w:w="4464"/>
          </w:tcPr>
          <w:p>
            <w:pPr>
              <w:spacing w:after="20" w:before="20"/>
            </w:pPr>
            <w:r>
              <w:rPr>
                <w:sz w:val="17"/>
              </w:rPr>
              <w:t>24 VDC input, input protection and 24 V to 5 V buck (U36)</w:t>
            </w:r>
          </w:p>
        </w:tc>
        <w:tc>
          <w:tcPr>
            <w:tcW w:type="dxa" w:w="2520"/>
          </w:tcPr>
          <w:p>
            <w:pPr>
              <w:spacing w:after="20" w:before="20"/>
            </w:pPr>
            <w:r>
              <w:rPr>
                <w:sz w:val="17"/>
              </w:rPr>
              <w:t>24 VDC input; input protection</w:t>
            </w:r>
          </w:p>
        </w:tc>
      </w:tr>
      <w:tr>
        <w:trPr>
          <w:cantSplit/>
        </w:trPr>
        <w:tc>
          <w:tcPr>
            <w:tcW w:type="dxa" w:w="2520"/>
          </w:tcPr>
          <w:p>
            <w:pPr>
              <w:spacing w:after="20" w:before="20"/>
            </w:pPr>
            <w:r>
              <w:rPr>
                <w:b/>
                <w:sz w:val="17"/>
              </w:rPr>
              <w:t>PGLD-GLD-V4-MB-SCH-02</w:t>
            </w:r>
          </w:p>
        </w:tc>
        <w:tc>
          <w:tcPr>
            <w:tcW w:type="dxa" w:w="4464"/>
          </w:tcPr>
          <w:p>
            <w:pPr>
              <w:spacing w:after="20" w:before="20"/>
            </w:pPr>
            <w:r>
              <w:rPr>
                <w:sz w:val="17"/>
              </w:rPr>
              <w:t>Power connector J1, battery input and external 5 V</w:t>
            </w:r>
          </w:p>
        </w:tc>
        <w:tc>
          <w:tcPr>
            <w:tcW w:type="dxa" w:w="2520"/>
          </w:tcPr>
          <w:p>
            <w:pPr>
              <w:spacing w:after="20" w:before="20"/>
            </w:pPr>
            <w:r>
              <w:rPr>
                <w:sz w:val="17"/>
              </w:rPr>
              <w:t>24 VDC input</w:t>
            </w:r>
          </w:p>
        </w:tc>
      </w:tr>
      <w:tr>
        <w:trPr>
          <w:cantSplit/>
        </w:trPr>
        <w:tc>
          <w:tcPr>
            <w:tcW w:type="dxa" w:w="2520"/>
          </w:tcPr>
          <w:p>
            <w:pPr>
              <w:spacing w:after="20" w:before="20"/>
            </w:pPr>
            <w:r>
              <w:rPr>
                <w:b/>
                <w:sz w:val="17"/>
              </w:rPr>
              <w:t>PGLD-GLD-V4-MB-SCH-03</w:t>
            </w:r>
          </w:p>
        </w:tc>
        <w:tc>
          <w:tcPr>
            <w:tcW w:type="dxa" w:w="4464"/>
          </w:tcPr>
          <w:p>
            <w:pPr>
              <w:spacing w:after="20" w:before="20"/>
            </w:pPr>
            <w:r>
              <w:rPr>
                <w:sz w:val="17"/>
              </w:rPr>
              <w:t>Battery load switch (U14)</w:t>
            </w:r>
          </w:p>
        </w:tc>
        <w:tc>
          <w:tcPr>
            <w:tcW w:type="dxa" w:w="2520"/>
          </w:tcPr>
          <w:p>
            <w:pPr>
              <w:spacing w:after="20" w:before="20"/>
            </w:pPr>
            <w:r>
              <w:rPr>
                <w:sz w:val="17"/>
              </w:rPr>
              <w:t>Input protection</w:t>
            </w:r>
          </w:p>
        </w:tc>
      </w:tr>
      <w:tr>
        <w:trPr>
          <w:cantSplit/>
        </w:trPr>
        <w:tc>
          <w:tcPr>
            <w:tcW w:type="dxa" w:w="2520"/>
          </w:tcPr>
          <w:p>
            <w:pPr>
              <w:spacing w:after="20" w:before="20"/>
            </w:pPr>
            <w:r>
              <w:rPr>
                <w:b/>
                <w:sz w:val="17"/>
              </w:rPr>
              <w:t>PGLD-GLD-V4-MB-SCH-04</w:t>
            </w:r>
          </w:p>
        </w:tc>
        <w:tc>
          <w:tcPr>
            <w:tcW w:type="dxa" w:w="4464"/>
          </w:tcPr>
          <w:p>
            <w:pPr>
              <w:spacing w:after="20" w:before="20"/>
            </w:pPr>
            <w:r>
              <w:rPr>
                <w:sz w:val="17"/>
              </w:rPr>
              <w:t>5 V power-path mux (U13)</w:t>
            </w:r>
          </w:p>
        </w:tc>
        <w:tc>
          <w:tcPr>
            <w:tcW w:type="dxa" w:w="2520"/>
          </w:tcPr>
          <w:p>
            <w:pPr>
              <w:spacing w:after="20" w:before="20"/>
            </w:pPr>
            <w:r>
              <w:rPr>
                <w:sz w:val="17"/>
              </w:rPr>
              <w:t>5 V rail</w:t>
            </w:r>
          </w:p>
        </w:tc>
      </w:tr>
      <w:tr>
        <w:trPr>
          <w:cantSplit/>
        </w:trPr>
        <w:tc>
          <w:tcPr>
            <w:tcW w:type="dxa" w:w="2520"/>
          </w:tcPr>
          <w:p>
            <w:pPr>
              <w:spacing w:after="20" w:before="20"/>
            </w:pPr>
            <w:r>
              <w:rPr>
                <w:b/>
                <w:sz w:val="17"/>
              </w:rPr>
              <w:t>PGLD-GLD-V4-MB-SCH-05</w:t>
            </w:r>
          </w:p>
        </w:tc>
        <w:tc>
          <w:tcPr>
            <w:tcW w:type="dxa" w:w="4464"/>
          </w:tcPr>
          <w:p>
            <w:pPr>
              <w:spacing w:after="20" w:before="20"/>
            </w:pPr>
            <w:r>
              <w:rPr>
                <w:sz w:val="17"/>
              </w:rPr>
              <w:t>Battery boost to about 24 V (U1, TPS61175)</w:t>
            </w:r>
          </w:p>
        </w:tc>
        <w:tc>
          <w:tcPr>
            <w:tcW w:type="dxa" w:w="2520"/>
          </w:tcPr>
          <w:p>
            <w:pPr>
              <w:spacing w:after="20" w:before="20"/>
            </w:pPr>
            <w:r>
              <w:rPr>
                <w:sz w:val="17"/>
              </w:rPr>
              <w:t>5 V rail / +24 V backup</w:t>
            </w:r>
          </w:p>
        </w:tc>
      </w:tr>
      <w:tr>
        <w:trPr>
          <w:cantSplit/>
        </w:trPr>
        <w:tc>
          <w:tcPr>
            <w:tcW w:type="dxa" w:w="2520"/>
          </w:tcPr>
          <w:p>
            <w:pPr>
              <w:spacing w:after="20" w:before="20"/>
            </w:pPr>
            <w:r>
              <w:rPr>
                <w:b/>
                <w:sz w:val="17"/>
              </w:rPr>
              <w:t>PGLD-GLD-V4-MB-SCH-06</w:t>
            </w:r>
          </w:p>
        </w:tc>
        <w:tc>
          <w:tcPr>
            <w:tcW w:type="dxa" w:w="4464"/>
          </w:tcPr>
          <w:p>
            <w:pPr>
              <w:spacing w:after="20" w:before="20"/>
            </w:pPr>
            <w:r>
              <w:rPr>
                <w:sz w:val="17"/>
              </w:rPr>
              <w:t>Battery boost to 5 V (U41, TPS61088)</w:t>
            </w:r>
          </w:p>
        </w:tc>
        <w:tc>
          <w:tcPr>
            <w:tcW w:type="dxa" w:w="2520"/>
          </w:tcPr>
          <w:p>
            <w:pPr>
              <w:spacing w:after="20" w:before="20"/>
            </w:pPr>
            <w:r>
              <w:rPr>
                <w:sz w:val="17"/>
              </w:rPr>
              <w:t>5 V rail</w:t>
            </w:r>
          </w:p>
        </w:tc>
      </w:tr>
      <w:tr>
        <w:trPr>
          <w:cantSplit/>
        </w:trPr>
        <w:tc>
          <w:tcPr>
            <w:tcW w:type="dxa" w:w="2520"/>
          </w:tcPr>
          <w:p>
            <w:pPr>
              <w:spacing w:after="20" w:before="20"/>
            </w:pPr>
            <w:r>
              <w:rPr>
                <w:b/>
                <w:sz w:val="17"/>
              </w:rPr>
              <w:t>PGLD-GLD-V4-MB-SCH-07</w:t>
            </w:r>
          </w:p>
        </w:tc>
        <w:tc>
          <w:tcPr>
            <w:tcW w:type="dxa" w:w="4464"/>
          </w:tcPr>
          <w:p>
            <w:pPr>
              <w:spacing w:after="20" w:before="20"/>
            </w:pPr>
            <w:r>
              <w:rPr>
                <w:sz w:val="17"/>
              </w:rPr>
              <w:t>5 V to 3.3 V buck (U43)</w:t>
            </w:r>
          </w:p>
        </w:tc>
        <w:tc>
          <w:tcPr>
            <w:tcW w:type="dxa" w:w="2520"/>
          </w:tcPr>
          <w:p>
            <w:pPr>
              <w:spacing w:after="20" w:before="20"/>
            </w:pPr>
            <w:r>
              <w:rPr>
                <w:sz w:val="17"/>
              </w:rPr>
              <w:t>3.3 V rail</w:t>
            </w:r>
          </w:p>
        </w:tc>
      </w:tr>
      <w:tr>
        <w:trPr>
          <w:cantSplit/>
        </w:trPr>
        <w:tc>
          <w:tcPr>
            <w:tcW w:type="dxa" w:w="2520"/>
          </w:tcPr>
          <w:p>
            <w:pPr>
              <w:spacing w:after="20" w:before="20"/>
            </w:pPr>
            <w:r>
              <w:rPr>
                <w:b/>
                <w:sz w:val="17"/>
              </w:rPr>
              <w:t>PGLD-GLD-V4-MB-SCH-08</w:t>
            </w:r>
          </w:p>
        </w:tc>
        <w:tc>
          <w:tcPr>
            <w:tcW w:type="dxa" w:w="4464"/>
          </w:tcPr>
          <w:p>
            <w:pPr>
              <w:spacing w:after="20" w:before="20"/>
            </w:pPr>
            <w:r>
              <w:rPr>
                <w:sz w:val="17"/>
              </w:rPr>
              <w:t>Always-on 3.3 V LDO and its source selection (U42)</w:t>
            </w:r>
          </w:p>
        </w:tc>
        <w:tc>
          <w:tcPr>
            <w:tcW w:type="dxa" w:w="2520"/>
          </w:tcPr>
          <w:p>
            <w:pPr>
              <w:spacing w:after="20" w:before="20"/>
            </w:pPr>
            <w:r>
              <w:rPr>
                <w:sz w:val="17"/>
              </w:rPr>
              <w:t>3.3 V rail</w:t>
            </w:r>
          </w:p>
        </w:tc>
      </w:tr>
      <w:tr>
        <w:trPr>
          <w:cantSplit/>
        </w:trPr>
        <w:tc>
          <w:tcPr>
            <w:tcW w:type="dxa" w:w="2520"/>
          </w:tcPr>
          <w:p>
            <w:pPr>
              <w:spacing w:after="20" w:before="20"/>
            </w:pPr>
            <w:r>
              <w:rPr>
                <w:b/>
                <w:sz w:val="17"/>
              </w:rPr>
              <w:t>PGLD-GLD-V4-MB-SCH-09</w:t>
            </w:r>
          </w:p>
        </w:tc>
        <w:tc>
          <w:tcPr>
            <w:tcW w:type="dxa" w:w="4464"/>
          </w:tcPr>
          <w:p>
            <w:pPr>
              <w:spacing w:after="20" w:before="20"/>
            </w:pPr>
            <w:r>
              <w:rPr>
                <w:sz w:val="17"/>
              </w:rPr>
              <w:t>TPL5010 timer/watchdog (U46)</w:t>
            </w:r>
          </w:p>
        </w:tc>
        <w:tc>
          <w:tcPr>
            <w:tcW w:type="dxa" w:w="2520"/>
          </w:tcPr>
          <w:p>
            <w:pPr>
              <w:spacing w:after="20" w:before="20"/>
            </w:pPr>
            <w:r>
              <w:rPr>
                <w:sz w:val="17"/>
              </w:rPr>
              <w:t>3.3 V rail</w:t>
            </w:r>
          </w:p>
        </w:tc>
      </w:tr>
      <w:tr>
        <w:trPr>
          <w:cantSplit/>
        </w:trPr>
        <w:tc>
          <w:tcPr>
            <w:tcW w:type="dxa" w:w="2520"/>
          </w:tcPr>
          <w:p>
            <w:pPr>
              <w:spacing w:after="20" w:before="20"/>
            </w:pPr>
            <w:r>
              <w:rPr>
                <w:b/>
                <w:sz w:val="17"/>
              </w:rPr>
              <w:t>PGLD-GLD-V4-MB-SCH-10</w:t>
            </w:r>
          </w:p>
        </w:tc>
        <w:tc>
          <w:tcPr>
            <w:tcW w:type="dxa" w:w="4464"/>
          </w:tcPr>
          <w:p>
            <w:pPr>
              <w:spacing w:after="20" w:before="20"/>
            </w:pPr>
            <w:r>
              <w:rPr>
                <w:sz w:val="17"/>
              </w:rPr>
              <w:t>ENA latch (U51) and open-drain inverter (U15)</w:t>
            </w:r>
          </w:p>
        </w:tc>
        <w:tc>
          <w:tcPr>
            <w:tcW w:type="dxa" w:w="2520"/>
          </w:tcPr>
          <w:p>
            <w:pPr>
              <w:spacing w:after="20" w:before="20"/>
            </w:pPr>
            <w:r>
              <w:rPr>
                <w:sz w:val="17"/>
              </w:rPr>
              <w:t>3.3 V rail</w:t>
            </w:r>
          </w:p>
        </w:tc>
      </w:tr>
      <w:tr>
        <w:trPr>
          <w:cantSplit/>
        </w:trPr>
        <w:tc>
          <w:tcPr>
            <w:tcW w:type="dxa" w:w="2520"/>
          </w:tcPr>
          <w:p>
            <w:pPr>
              <w:spacing w:after="20" w:before="20"/>
            </w:pPr>
            <w:r>
              <w:rPr>
                <w:b/>
                <w:sz w:val="17"/>
              </w:rPr>
              <w:t>PGLD-GLD-V4-MB-SCH-11</w:t>
            </w:r>
          </w:p>
        </w:tc>
        <w:tc>
          <w:tcPr>
            <w:tcW w:type="dxa" w:w="4464"/>
          </w:tcPr>
          <w:p>
            <w:pPr>
              <w:spacing w:after="20" w:before="20"/>
            </w:pPr>
            <w:r>
              <w:rPr>
                <w:sz w:val="17"/>
              </w:rPr>
              <w:t>3V3AON voltage supervisor (U16)</w:t>
            </w:r>
          </w:p>
        </w:tc>
        <w:tc>
          <w:tcPr>
            <w:tcW w:type="dxa" w:w="2520"/>
          </w:tcPr>
          <w:p>
            <w:pPr>
              <w:spacing w:after="20" w:before="20"/>
            </w:pPr>
            <w:r>
              <w:rPr>
                <w:sz w:val="17"/>
              </w:rPr>
              <w:t>3.3 V rail</w:t>
            </w:r>
          </w:p>
        </w:tc>
      </w:tr>
      <w:tr>
        <w:trPr>
          <w:cantSplit/>
        </w:trPr>
        <w:tc>
          <w:tcPr>
            <w:tcW w:type="dxa" w:w="2520"/>
          </w:tcPr>
          <w:p>
            <w:pPr>
              <w:spacing w:after="20" w:before="20"/>
            </w:pPr>
            <w:r>
              <w:rPr>
                <w:b/>
                <w:sz w:val="17"/>
              </w:rPr>
              <w:t>PGLD-GLD-V4-MB-SCH-12</w:t>
            </w:r>
          </w:p>
        </w:tc>
        <w:tc>
          <w:tcPr>
            <w:tcW w:type="dxa" w:w="4464"/>
          </w:tcPr>
          <w:p>
            <w:pPr>
              <w:spacing w:after="20" w:before="20"/>
            </w:pPr>
            <w:r>
              <w:rPr>
                <w:sz w:val="17"/>
              </w:rPr>
              <w:t>Sensor module connector H2 (one connector as example)</w:t>
            </w:r>
          </w:p>
        </w:tc>
        <w:tc>
          <w:tcPr>
            <w:tcW w:type="dxa" w:w="2520"/>
          </w:tcPr>
          <w:p>
            <w:pPr>
              <w:spacing w:after="20" w:before="20"/>
            </w:pPr>
            <w:r>
              <w:rPr>
                <w:sz w:val="17"/>
              </w:rPr>
              <w:t>MQ heater supply</w:t>
            </w:r>
          </w:p>
        </w:tc>
      </w:tr>
      <w:tr>
        <w:trPr>
          <w:cantSplit/>
        </w:trPr>
        <w:tc>
          <w:tcPr>
            <w:tcW w:type="dxa" w:w="2520"/>
          </w:tcPr>
          <w:p>
            <w:pPr>
              <w:spacing w:after="20" w:before="20"/>
            </w:pPr>
            <w:r>
              <w:rPr>
                <w:b/>
                <w:sz w:val="17"/>
              </w:rPr>
              <w:t>PGLD-GLD-V4-MB-SCH-13</w:t>
            </w:r>
          </w:p>
        </w:tc>
        <w:tc>
          <w:tcPr>
            <w:tcW w:type="dxa" w:w="4464"/>
          </w:tcPr>
          <w:p>
            <w:pPr>
              <w:spacing w:after="20" w:before="20"/>
            </w:pPr>
            <w:r>
              <w:rPr>
                <w:sz w:val="17"/>
              </w:rPr>
              <w:t>Sensor module connectors H1–H8</w:t>
            </w:r>
          </w:p>
        </w:tc>
        <w:tc>
          <w:tcPr>
            <w:tcW w:type="dxa" w:w="2520"/>
          </w:tcPr>
          <w:p>
            <w:pPr>
              <w:spacing w:after="20" w:before="20"/>
            </w:pPr>
            <w:r>
              <w:rPr>
                <w:sz w:val="17"/>
              </w:rPr>
              <w:t>MQ heater supply; sensor interface</w:t>
            </w:r>
          </w:p>
        </w:tc>
      </w:tr>
      <w:tr>
        <w:trPr>
          <w:cantSplit/>
        </w:trPr>
        <w:tc>
          <w:tcPr>
            <w:tcW w:type="dxa" w:w="2520"/>
          </w:tcPr>
          <w:p>
            <w:pPr>
              <w:spacing w:after="20" w:before="20"/>
            </w:pPr>
            <w:r>
              <w:rPr>
                <w:b/>
                <w:sz w:val="17"/>
              </w:rPr>
              <w:t>PGLD-GLD-V4-MB-SCH-14</w:t>
            </w:r>
          </w:p>
        </w:tc>
        <w:tc>
          <w:tcPr>
            <w:tcW w:type="dxa" w:w="4464"/>
          </w:tcPr>
          <w:p>
            <w:pPr>
              <w:spacing w:after="20" w:before="20"/>
            </w:pPr>
            <w:r>
              <w:rPr>
                <w:sz w:val="17"/>
              </w:rPr>
              <w:t>Sensor module enable I/O expander (U12)</w:t>
            </w:r>
          </w:p>
        </w:tc>
        <w:tc>
          <w:tcPr>
            <w:tcW w:type="dxa" w:w="2520"/>
          </w:tcPr>
          <w:p>
            <w:pPr>
              <w:spacing w:after="20" w:before="20"/>
            </w:pPr>
            <w:r>
              <w:rPr>
                <w:sz w:val="17"/>
              </w:rPr>
              <w:t>MQ heater supply (module enable)</w:t>
            </w:r>
          </w:p>
        </w:tc>
      </w:tr>
      <w:tr>
        <w:trPr>
          <w:cantSplit/>
        </w:trPr>
        <w:tc>
          <w:tcPr>
            <w:tcW w:type="dxa" w:w="2520"/>
          </w:tcPr>
          <w:p>
            <w:pPr>
              <w:spacing w:after="20" w:before="20"/>
            </w:pPr>
            <w:r>
              <w:rPr>
                <w:b/>
                <w:sz w:val="17"/>
              </w:rPr>
              <w:t>PGLD-GLD-V4-MB-SCH-15</w:t>
            </w:r>
          </w:p>
        </w:tc>
        <w:tc>
          <w:tcPr>
            <w:tcW w:type="dxa" w:w="4464"/>
          </w:tcPr>
          <w:p>
            <w:pPr>
              <w:spacing w:after="20" w:before="20"/>
            </w:pPr>
            <w:r>
              <w:rPr>
                <w:sz w:val="17"/>
              </w:rPr>
              <w:t>VMID bias of about 2.5 V (U3)</w:t>
            </w:r>
          </w:p>
        </w:tc>
        <w:tc>
          <w:tcPr>
            <w:tcW w:type="dxa" w:w="2520"/>
          </w:tcPr>
          <w:p>
            <w:pPr>
              <w:spacing w:after="20" w:before="20"/>
            </w:pPr>
            <w:r>
              <w:rPr>
                <w:sz w:val="17"/>
              </w:rPr>
              <w:t>MQ sensor analog circuitry</w:t>
            </w:r>
          </w:p>
        </w:tc>
      </w:tr>
      <w:tr>
        <w:trPr>
          <w:cantSplit/>
        </w:trPr>
        <w:tc>
          <w:tcPr>
            <w:tcW w:type="dxa" w:w="2520"/>
          </w:tcPr>
          <w:p>
            <w:pPr>
              <w:spacing w:after="20" w:before="20"/>
            </w:pPr>
            <w:r>
              <w:rPr>
                <w:b/>
                <w:sz w:val="17"/>
              </w:rPr>
              <w:t>PGLD-GLD-V4-MB-SCH-16</w:t>
            </w:r>
          </w:p>
        </w:tc>
        <w:tc>
          <w:tcPr>
            <w:tcW w:type="dxa" w:w="4464"/>
          </w:tcPr>
          <w:p>
            <w:pPr>
              <w:spacing w:after="20" w:before="20"/>
            </w:pPr>
            <w:r>
              <w:rPr>
                <w:sz w:val="17"/>
              </w:rPr>
              <w:t>Analog +5VA supply filter (L6)</w:t>
            </w:r>
          </w:p>
        </w:tc>
        <w:tc>
          <w:tcPr>
            <w:tcW w:type="dxa" w:w="2520"/>
          </w:tcPr>
          <w:p>
            <w:pPr>
              <w:spacing w:after="20" w:before="20"/>
            </w:pPr>
            <w:r>
              <w:rPr>
                <w:sz w:val="17"/>
              </w:rPr>
              <w:t>MQ sensor analog circuitry</w:t>
            </w:r>
          </w:p>
        </w:tc>
      </w:tr>
      <w:tr>
        <w:trPr>
          <w:cantSplit/>
        </w:trPr>
        <w:tc>
          <w:tcPr>
            <w:tcW w:type="dxa" w:w="2520"/>
          </w:tcPr>
          <w:p>
            <w:pPr>
              <w:spacing w:after="20" w:before="20"/>
            </w:pPr>
            <w:r>
              <w:rPr>
                <w:b/>
                <w:sz w:val="17"/>
              </w:rPr>
              <w:t>PGLD-GLD-V4-MB-SCH-17</w:t>
            </w:r>
          </w:p>
        </w:tc>
        <w:tc>
          <w:tcPr>
            <w:tcW w:type="dxa" w:w="4464"/>
          </w:tcPr>
          <w:p>
            <w:pPr>
              <w:spacing w:after="20" w:before="20"/>
            </w:pPr>
            <w:r>
              <w:rPr>
                <w:sz w:val="17"/>
              </w:rPr>
              <w:t>Sensor module I2C multiplexer (U33)</w:t>
            </w:r>
          </w:p>
        </w:tc>
        <w:tc>
          <w:tcPr>
            <w:tcW w:type="dxa" w:w="2520"/>
          </w:tcPr>
          <w:p>
            <w:pPr>
              <w:spacing w:after="20" w:before="20"/>
            </w:pPr>
            <w:r>
              <w:rPr>
                <w:sz w:val="17"/>
              </w:rPr>
              <w:t>MQ sensor analog circuitry</w:t>
            </w:r>
          </w:p>
        </w:tc>
      </w:tr>
      <w:tr>
        <w:trPr>
          <w:cantSplit/>
        </w:trPr>
        <w:tc>
          <w:tcPr>
            <w:tcW w:type="dxa" w:w="2520"/>
          </w:tcPr>
          <w:p>
            <w:pPr>
              <w:spacing w:after="20" w:before="20"/>
            </w:pPr>
            <w:r>
              <w:rPr>
                <w:b/>
                <w:sz w:val="17"/>
              </w:rPr>
              <w:t>PGLD-GLD-V4-MB-SCH-18</w:t>
            </w:r>
          </w:p>
        </w:tc>
        <w:tc>
          <w:tcPr>
            <w:tcW w:type="dxa" w:w="4464"/>
          </w:tcPr>
          <w:p>
            <w:pPr>
              <w:spacing w:after="20" w:before="20"/>
            </w:pPr>
            <w:r>
              <w:rPr>
                <w:sz w:val="17"/>
              </w:rPr>
              <w:t>Temperature and humidity sensor (U44, SHT40)</w:t>
            </w:r>
          </w:p>
        </w:tc>
        <w:tc>
          <w:tcPr>
            <w:tcW w:type="dxa" w:w="2520"/>
          </w:tcPr>
          <w:p>
            <w:pPr>
              <w:spacing w:after="20" w:before="20"/>
            </w:pPr>
            <w:r>
              <w:rPr>
                <w:sz w:val="17"/>
              </w:rPr>
              <w:t>Analog circuitry (environment)</w:t>
            </w:r>
          </w:p>
        </w:tc>
      </w:tr>
      <w:tr>
        <w:trPr>
          <w:cantSplit/>
        </w:trPr>
        <w:tc>
          <w:tcPr>
            <w:tcW w:type="dxa" w:w="2520"/>
          </w:tcPr>
          <w:p>
            <w:pPr>
              <w:spacing w:after="20" w:before="20"/>
            </w:pPr>
            <w:r>
              <w:rPr>
                <w:b/>
                <w:sz w:val="17"/>
              </w:rPr>
              <w:t>PGLD-GLD-V4-MB-SCH-19</w:t>
            </w:r>
          </w:p>
        </w:tc>
        <w:tc>
          <w:tcPr>
            <w:tcW w:type="dxa" w:w="4464"/>
          </w:tcPr>
          <w:p>
            <w:pPr>
              <w:spacing w:after="20" w:before="20"/>
            </w:pPr>
            <w:r>
              <w:rPr>
                <w:sz w:val="17"/>
              </w:rPr>
              <w:t>ADS1256 ADC with input filters (AIN), clock and decoupling</w:t>
            </w:r>
          </w:p>
        </w:tc>
        <w:tc>
          <w:tcPr>
            <w:tcW w:type="dxa" w:w="2520"/>
          </w:tcPr>
          <w:p>
            <w:pPr>
              <w:spacing w:after="20" w:before="20"/>
            </w:pPr>
            <w:r>
              <w:rPr>
                <w:sz w:val="17"/>
              </w:rPr>
              <w:t>ADC; analog circuitry</w:t>
            </w:r>
          </w:p>
        </w:tc>
      </w:tr>
      <w:tr>
        <w:trPr>
          <w:cantSplit/>
        </w:trPr>
        <w:tc>
          <w:tcPr>
            <w:tcW w:type="dxa" w:w="2520"/>
          </w:tcPr>
          <w:p>
            <w:pPr>
              <w:spacing w:after="20" w:before="20"/>
            </w:pPr>
            <w:r>
              <w:rPr>
                <w:b/>
                <w:sz w:val="17"/>
              </w:rPr>
              <w:t>PGLD-GLD-V4-MB-SCH-20</w:t>
            </w:r>
          </w:p>
        </w:tc>
        <w:tc>
          <w:tcPr>
            <w:tcW w:type="dxa" w:w="4464"/>
          </w:tcPr>
          <w:p>
            <w:pPr>
              <w:spacing w:after="20" w:before="20"/>
            </w:pPr>
            <w:r>
              <w:rPr>
                <w:sz w:val="17"/>
              </w:rPr>
              <w:t>2.5 V voltage reference and VREF buffer</w:t>
            </w:r>
          </w:p>
        </w:tc>
        <w:tc>
          <w:tcPr>
            <w:tcW w:type="dxa" w:w="2520"/>
          </w:tcPr>
          <w:p>
            <w:pPr>
              <w:spacing w:after="20" w:before="20"/>
            </w:pPr>
            <w:r>
              <w:rPr>
                <w:sz w:val="17"/>
              </w:rPr>
              <w:t>ADC</w:t>
            </w:r>
          </w:p>
        </w:tc>
      </w:tr>
      <w:tr>
        <w:trPr>
          <w:cantSplit/>
        </w:trPr>
        <w:tc>
          <w:tcPr>
            <w:tcW w:type="dxa" w:w="2520"/>
          </w:tcPr>
          <w:p>
            <w:pPr>
              <w:spacing w:after="20" w:before="20"/>
            </w:pPr>
            <w:r>
              <w:rPr>
                <w:b/>
                <w:sz w:val="17"/>
              </w:rPr>
              <w:t>PGLD-GLD-V4-MB-SCH-21</w:t>
            </w:r>
          </w:p>
        </w:tc>
        <w:tc>
          <w:tcPr>
            <w:tcW w:type="dxa" w:w="4464"/>
          </w:tcPr>
          <w:p>
            <w:pPr>
              <w:spacing w:after="20" w:before="20"/>
            </w:pPr>
            <w:r>
              <w:rPr>
                <w:sz w:val="17"/>
              </w:rPr>
              <w:t>ESP32-S3-WROOM-1U-N16R8 with support parts (incl. status LED)</w:t>
            </w:r>
          </w:p>
        </w:tc>
        <w:tc>
          <w:tcPr>
            <w:tcW w:type="dxa" w:w="2520"/>
          </w:tcPr>
          <w:p>
            <w:pPr>
              <w:spacing w:after="20" w:before="20"/>
            </w:pPr>
            <w:r>
              <w:rPr>
                <w:sz w:val="17"/>
              </w:rPr>
              <w:t>ESP32-S3; LED</w:t>
            </w:r>
          </w:p>
        </w:tc>
      </w:tr>
      <w:tr>
        <w:trPr>
          <w:cantSplit/>
        </w:trPr>
        <w:tc>
          <w:tcPr>
            <w:tcW w:type="dxa" w:w="2520"/>
          </w:tcPr>
          <w:p>
            <w:pPr>
              <w:spacing w:after="20" w:before="20"/>
            </w:pPr>
            <w:r>
              <w:rPr>
                <w:b/>
                <w:sz w:val="17"/>
              </w:rPr>
              <w:t>PGLD-GLD-V4-MB-SCH-22</w:t>
            </w:r>
          </w:p>
        </w:tc>
        <w:tc>
          <w:tcPr>
            <w:tcW w:type="dxa" w:w="4464"/>
          </w:tcPr>
          <w:p>
            <w:pPr>
              <w:spacing w:after="20" w:before="20"/>
            </w:pPr>
            <w:r>
              <w:rPr>
                <w:sz w:val="17"/>
              </w:rPr>
              <w:t>USB, CH340C and auto-reset</w:t>
            </w:r>
          </w:p>
        </w:tc>
        <w:tc>
          <w:tcPr>
            <w:tcW w:type="dxa" w:w="2520"/>
          </w:tcPr>
          <w:p>
            <w:pPr>
              <w:spacing w:after="20" w:before="20"/>
            </w:pPr>
            <w:r>
              <w:rPr>
                <w:sz w:val="17"/>
              </w:rPr>
              <w:t>ESP32-S3 (programming)</w:t>
            </w:r>
          </w:p>
        </w:tc>
      </w:tr>
      <w:tr>
        <w:trPr>
          <w:cantSplit/>
        </w:trPr>
        <w:tc>
          <w:tcPr>
            <w:tcW w:type="dxa" w:w="2520"/>
          </w:tcPr>
          <w:p>
            <w:pPr>
              <w:spacing w:after="20" w:before="20"/>
            </w:pPr>
            <w:r>
              <w:rPr>
                <w:b/>
                <w:sz w:val="17"/>
              </w:rPr>
              <w:t>PGLD-GLD-V4-MB-SCH-23</w:t>
            </w:r>
          </w:p>
        </w:tc>
        <w:tc>
          <w:tcPr>
            <w:tcW w:type="dxa" w:w="4464"/>
          </w:tcPr>
          <w:p>
            <w:pPr>
              <w:spacing w:after="20" w:before="20"/>
            </w:pPr>
            <w:r>
              <w:rPr>
                <w:sz w:val="17"/>
              </w:rPr>
              <w:t>E22-900MM22S LoRa module and antenna connector</w:t>
            </w:r>
          </w:p>
        </w:tc>
        <w:tc>
          <w:tcPr>
            <w:tcW w:type="dxa" w:w="2520"/>
          </w:tcPr>
          <w:p>
            <w:pPr>
              <w:spacing w:after="20" w:before="20"/>
            </w:pPr>
            <w:r>
              <w:rPr>
                <w:sz w:val="17"/>
              </w:rPr>
              <w:t>LoRa</w:t>
            </w:r>
          </w:p>
        </w:tc>
      </w:tr>
      <w:tr>
        <w:trPr>
          <w:cantSplit/>
        </w:trPr>
        <w:tc>
          <w:tcPr>
            <w:tcW w:type="dxa" w:w="2520"/>
          </w:tcPr>
          <w:p>
            <w:pPr>
              <w:spacing w:after="20" w:before="20"/>
            </w:pPr>
            <w:r>
              <w:rPr>
                <w:b/>
                <w:sz w:val="17"/>
              </w:rPr>
              <w:t>PGLD-GLD-V4-MB-SCH-24</w:t>
            </w:r>
          </w:p>
        </w:tc>
        <w:tc>
          <w:tcPr>
            <w:tcW w:type="dxa" w:w="4464"/>
          </w:tcPr>
          <w:p>
            <w:pPr>
              <w:spacing w:after="20" w:before="20"/>
            </w:pPr>
            <w:r>
              <w:rPr>
                <w:sz w:val="17"/>
              </w:rPr>
              <w:t>5 V fan driver (Q5, J3)</w:t>
            </w:r>
          </w:p>
        </w:tc>
        <w:tc>
          <w:tcPr>
            <w:tcW w:type="dxa" w:w="2520"/>
          </w:tcPr>
          <w:p>
            <w:pPr>
              <w:spacing w:after="20" w:before="20"/>
            </w:pPr>
            <w:r>
              <w:rPr>
                <w:sz w:val="17"/>
              </w:rPr>
              <w:t>Fan driver</w:t>
            </w:r>
          </w:p>
        </w:tc>
      </w:tr>
      <w:tr>
        <w:trPr>
          <w:cantSplit/>
        </w:trPr>
        <w:tc>
          <w:tcPr>
            <w:tcW w:type="dxa" w:w="2520"/>
          </w:tcPr>
          <w:p>
            <w:pPr>
              <w:spacing w:after="20" w:before="20"/>
            </w:pPr>
            <w:r>
              <w:rPr>
                <w:b/>
                <w:sz w:val="17"/>
              </w:rPr>
              <w:t>PGLD-GLD-V4-MB-SCH-25</w:t>
            </w:r>
          </w:p>
        </w:tc>
        <w:tc>
          <w:tcPr>
            <w:tcW w:type="dxa" w:w="4464"/>
          </w:tcPr>
          <w:p>
            <w:pPr>
              <w:spacing w:after="20" w:before="20"/>
            </w:pPr>
            <w:r>
              <w:rPr>
                <w:sz w:val="17"/>
              </w:rPr>
              <w:t>24 V alarm output driver (Q4, J2)</w:t>
            </w:r>
          </w:p>
        </w:tc>
        <w:tc>
          <w:tcPr>
            <w:tcW w:type="dxa" w:w="2520"/>
          </w:tcPr>
          <w:p>
            <w:pPr>
              <w:spacing w:after="20" w:before="20"/>
            </w:pPr>
            <w:r>
              <w:rPr>
                <w:sz w:val="17"/>
              </w:rPr>
              <w:t>LED / buzzer (alarm) driver</w:t>
            </w:r>
          </w:p>
        </w:tc>
      </w:tr>
      <w:tr>
        <w:trPr>
          <w:cantSplit/>
        </w:trPr>
        <w:tc>
          <w:tcPr>
            <w:tcW w:type="dxa" w:w="2520"/>
          </w:tcPr>
          <w:p>
            <w:pPr>
              <w:spacing w:after="20" w:before="20"/>
            </w:pPr>
            <w:r>
              <w:rPr>
                <w:b/>
                <w:sz w:val="17"/>
              </w:rPr>
              <w:t>PGLD-GLD-V4-MB-SCH-26</w:t>
            </w:r>
          </w:p>
        </w:tc>
        <w:tc>
          <w:tcPr>
            <w:tcW w:type="dxa" w:w="4464"/>
          </w:tcPr>
          <w:p>
            <w:pPr>
              <w:spacing w:after="20" w:before="20"/>
            </w:pPr>
            <w:r>
              <w:rPr>
                <w:sz w:val="17"/>
              </w:rPr>
              <w:t>RS-485 transceiver (U47)</w:t>
            </w:r>
          </w:p>
        </w:tc>
        <w:tc>
          <w:tcPr>
            <w:tcW w:type="dxa" w:w="2520"/>
          </w:tcPr>
          <w:p>
            <w:pPr>
              <w:spacing w:after="20" w:before="20"/>
            </w:pPr>
            <w:r>
              <w:rPr>
                <w:sz w:val="17"/>
              </w:rPr>
              <w:t>RS-485 / Modbus</w:t>
            </w:r>
          </w:p>
        </w:tc>
      </w:tr>
    </w:tbl>
    <w:p>
      <w:pPr>
        <w:spacing w:after="40"/>
      </w:pPr>
    </w:p>
    <w:p>
      <w:pPr>
        <w:spacing w:after="120"/>
      </w:pPr>
      <w:r>
        <w:rPr>
          <w:b w:val="0"/>
          <w:i/>
          <w:color w:val="555B66"/>
          <w:sz w:val="18"/>
        </w:rPr>
        <w:t>All sheets: revision 1.0, date 2026-07-19.</w:t>
      </w:r>
    </w:p>
    <w:p>
      <w:pPr>
        <w:spacing w:after="80"/>
      </w:pPr>
      <w:r>
        <w:rPr>
          <w:b/>
          <w:i w:val="0"/>
          <w:color w:val="1B335F"/>
          <w:sz w:val="24"/>
        </w:rPr>
        <w:t>Coverage of the required schematic content</w:t>
      </w:r>
    </w:p>
    <w:tbl>
      <w:tblPr>
        <w:tblStyle w:val="TableGrid"/>
        <w:tblW w:type="auto" w:w="0"/>
        <w:jc w:val="center"/>
        <w:tblLayout w:type="fixed"/>
        <w:tblLook w:firstColumn="1" w:firstRow="1" w:lastColumn="0" w:lastRow="0" w:noHBand="0" w:noVBand="1" w:val="04A0"/>
        <w:tblLayout w:type="fixed"/>
      </w:tblPr>
      <w:tblGrid>
        <w:gridCol w:w="2880"/>
        <w:gridCol w:w="4176"/>
        <w:gridCol w:w="2448"/>
      </w:tblGrid>
      <w:tr>
        <w:trPr>
          <w:tblHeader w:val="true"/>
        </w:trPr>
        <w:tc>
          <w:tcPr>
            <w:tcW w:type="dxa" w:w="2880"/>
            <w:shd w:val="clear" w:fill="EAEFF9"/>
          </w:tcPr>
          <w:p>
            <w:pPr>
              <w:spacing w:after="20"/>
            </w:pPr>
            <w:r>
              <w:rPr>
                <w:b/>
                <w:color w:val="1B335F"/>
                <w:sz w:val="17"/>
              </w:rPr>
              <w:t>Required content (2.6.a.7)</w:t>
            </w:r>
          </w:p>
        </w:tc>
        <w:tc>
          <w:tcPr>
            <w:tcW w:type="dxa" w:w="4176"/>
            <w:shd w:val="clear" w:fill="EAEFF9"/>
          </w:tcPr>
          <w:p>
            <w:pPr>
              <w:spacing w:after="20"/>
            </w:pPr>
            <w:r>
              <w:rPr>
                <w:b/>
                <w:color w:val="1B335F"/>
                <w:sz w:val="17"/>
              </w:rPr>
              <w:t>Where shown</w:t>
            </w:r>
          </w:p>
        </w:tc>
        <w:tc>
          <w:tcPr>
            <w:tcW w:type="dxa" w:w="2448"/>
            <w:shd w:val="clear" w:fill="EAEFF9"/>
          </w:tcPr>
          <w:p>
            <w:pPr>
              <w:spacing w:after="20"/>
            </w:pPr>
            <w:r>
              <w:rPr>
                <w:b/>
                <w:color w:val="1B335F"/>
                <w:sz w:val="17"/>
              </w:rPr>
              <w:t>Status</w:t>
            </w:r>
          </w:p>
        </w:tc>
      </w:tr>
      <w:tr>
        <w:trPr>
          <w:cantSplit/>
        </w:trPr>
        <w:tc>
          <w:tcPr>
            <w:tcW w:type="dxa" w:w="2880"/>
          </w:tcPr>
          <w:p>
            <w:pPr>
              <w:spacing w:after="20" w:before="20"/>
            </w:pPr>
            <w:r>
              <w:rPr>
                <w:b/>
                <w:sz w:val="17"/>
              </w:rPr>
              <w:t>24 VDC input</w:t>
            </w:r>
          </w:p>
        </w:tc>
        <w:tc>
          <w:tcPr>
            <w:tcW w:type="dxa" w:w="4176"/>
          </w:tcPr>
          <w:p>
            <w:pPr>
              <w:spacing w:after="20" w:before="20"/>
            </w:pPr>
            <w:r>
              <w:rPr>
                <w:sz w:val="17"/>
              </w:rPr>
              <w:t>Sheets 01, 02</w:t>
            </w:r>
          </w:p>
        </w:tc>
        <w:tc>
          <w:tcPr>
            <w:tcW w:type="dxa" w:w="2448"/>
          </w:tcPr>
          <w:p>
            <w:pPr>
              <w:spacing w:after="20" w:before="20"/>
            </w:pPr>
            <w:r>
              <w:rPr>
                <w:sz w:val="17"/>
              </w:rPr>
              <w:t>Provided</w:t>
            </w:r>
          </w:p>
        </w:tc>
      </w:tr>
      <w:tr>
        <w:trPr>
          <w:cantSplit/>
        </w:trPr>
        <w:tc>
          <w:tcPr>
            <w:tcW w:type="dxa" w:w="2880"/>
          </w:tcPr>
          <w:p>
            <w:pPr>
              <w:spacing w:after="20" w:before="20"/>
            </w:pPr>
            <w:r>
              <w:rPr>
                <w:b/>
                <w:sz w:val="17"/>
              </w:rPr>
              <w:t>Input protection</w:t>
            </w:r>
          </w:p>
        </w:tc>
        <w:tc>
          <w:tcPr>
            <w:tcW w:type="dxa" w:w="4176"/>
          </w:tcPr>
          <w:p>
            <w:pPr>
              <w:spacing w:after="20" w:before="20"/>
            </w:pPr>
            <w:r>
              <w:rPr>
                <w:sz w:val="17"/>
              </w:rPr>
              <w:t>Sheets 01–03; protection-device table below</w:t>
            </w:r>
          </w:p>
        </w:tc>
        <w:tc>
          <w:tcPr>
            <w:tcW w:type="dxa" w:w="2448"/>
          </w:tcPr>
          <w:p>
            <w:pPr>
              <w:spacing w:after="20" w:before="20"/>
            </w:pPr>
            <w:r>
              <w:rPr>
                <w:sz w:val="17"/>
              </w:rPr>
              <w:t>Provided — see findings 1–2</w:t>
            </w:r>
          </w:p>
        </w:tc>
      </w:tr>
      <w:tr>
        <w:trPr>
          <w:cantSplit/>
        </w:trPr>
        <w:tc>
          <w:tcPr>
            <w:tcW w:type="dxa" w:w="2880"/>
          </w:tcPr>
          <w:p>
            <w:pPr>
              <w:spacing w:after="20" w:before="20"/>
            </w:pPr>
            <w:r>
              <w:rPr>
                <w:b/>
                <w:sz w:val="17"/>
              </w:rPr>
              <w:t>5 V rail</w:t>
            </w:r>
          </w:p>
        </w:tc>
        <w:tc>
          <w:tcPr>
            <w:tcW w:type="dxa" w:w="4176"/>
          </w:tcPr>
          <w:p>
            <w:pPr>
              <w:spacing w:after="20" w:before="20"/>
            </w:pPr>
            <w:r>
              <w:rPr>
                <w:sz w:val="17"/>
              </w:rPr>
              <w:t>Sheets 01 (buck U36), 04–06</w:t>
            </w:r>
          </w:p>
        </w:tc>
        <w:tc>
          <w:tcPr>
            <w:tcW w:type="dxa" w:w="2448"/>
          </w:tcPr>
          <w:p>
            <w:pPr>
              <w:spacing w:after="20" w:before="20"/>
            </w:pPr>
            <w:r>
              <w:rPr>
                <w:sz w:val="17"/>
              </w:rPr>
              <w:t>Provided</w:t>
            </w:r>
          </w:p>
        </w:tc>
      </w:tr>
      <w:tr>
        <w:trPr>
          <w:cantSplit/>
        </w:trPr>
        <w:tc>
          <w:tcPr>
            <w:tcW w:type="dxa" w:w="2880"/>
          </w:tcPr>
          <w:p>
            <w:pPr>
              <w:spacing w:after="20" w:before="20"/>
            </w:pPr>
            <w:r>
              <w:rPr>
                <w:b/>
                <w:sz w:val="17"/>
              </w:rPr>
              <w:t>3.3 V rail</w:t>
            </w:r>
          </w:p>
        </w:tc>
        <w:tc>
          <w:tcPr>
            <w:tcW w:type="dxa" w:w="4176"/>
          </w:tcPr>
          <w:p>
            <w:pPr>
              <w:spacing w:after="20" w:before="20"/>
            </w:pPr>
            <w:r>
              <w:rPr>
                <w:sz w:val="17"/>
              </w:rPr>
              <w:t>Sheets 07–11</w:t>
            </w:r>
          </w:p>
        </w:tc>
        <w:tc>
          <w:tcPr>
            <w:tcW w:type="dxa" w:w="2448"/>
          </w:tcPr>
          <w:p>
            <w:pPr>
              <w:spacing w:after="20" w:before="20"/>
            </w:pPr>
            <w:r>
              <w:rPr>
                <w:sz w:val="17"/>
              </w:rPr>
              <w:t>Provided</w:t>
            </w:r>
          </w:p>
        </w:tc>
      </w:tr>
      <w:tr>
        <w:trPr>
          <w:cantSplit/>
        </w:trPr>
        <w:tc>
          <w:tcPr>
            <w:tcW w:type="dxa" w:w="2880"/>
          </w:tcPr>
          <w:p>
            <w:pPr>
              <w:spacing w:after="20" w:before="20"/>
            </w:pPr>
            <w:r>
              <w:rPr>
                <w:b/>
                <w:sz w:val="17"/>
              </w:rPr>
              <w:t>MQ heater supply</w:t>
            </w:r>
          </w:p>
        </w:tc>
        <w:tc>
          <w:tcPr>
            <w:tcW w:type="dxa" w:w="4176"/>
          </w:tcPr>
          <w:p>
            <w:pPr>
              <w:spacing w:after="20" w:before="20"/>
            </w:pPr>
            <w:r>
              <w:rPr>
                <w:sz w:val="17"/>
              </w:rPr>
              <w:t>Sheets 12–14 (+5 V and enable to each sensor module)</w:t>
            </w:r>
          </w:p>
        </w:tc>
        <w:tc>
          <w:tcPr>
            <w:tcW w:type="dxa" w:w="2448"/>
          </w:tcPr>
          <w:p>
            <w:pPr>
              <w:spacing w:after="20" w:before="20"/>
            </w:pPr>
            <w:r>
              <w:rPr>
                <w:sz w:val="17"/>
              </w:rPr>
              <w:t>Partly — heater switch is on the sensor module (finding 4)</w:t>
            </w:r>
          </w:p>
        </w:tc>
      </w:tr>
      <w:tr>
        <w:trPr>
          <w:cantSplit/>
        </w:trPr>
        <w:tc>
          <w:tcPr>
            <w:tcW w:type="dxa" w:w="2880"/>
          </w:tcPr>
          <w:p>
            <w:pPr>
              <w:spacing w:after="20" w:before="20"/>
            </w:pPr>
            <w:r>
              <w:rPr>
                <w:b/>
                <w:sz w:val="17"/>
              </w:rPr>
              <w:t>MQ sensor bridge / analog circuitry</w:t>
            </w:r>
          </w:p>
        </w:tc>
        <w:tc>
          <w:tcPr>
            <w:tcW w:type="dxa" w:w="4176"/>
          </w:tcPr>
          <w:p>
            <w:pPr>
              <w:spacing w:after="20" w:before="20"/>
            </w:pPr>
            <w:r>
              <w:rPr>
                <w:sz w:val="17"/>
              </w:rPr>
              <w:t>Sheets 15–18; AIN filters on sheet 19</w:t>
            </w:r>
          </w:p>
        </w:tc>
        <w:tc>
          <w:tcPr>
            <w:tcW w:type="dxa" w:w="2448"/>
          </w:tcPr>
          <w:p>
            <w:pPr>
              <w:spacing w:after="20" w:before="20"/>
            </w:pPr>
            <w:r>
              <w:rPr>
                <w:sz w:val="17"/>
              </w:rPr>
              <w:t>Partly — load resistor is on the sensor module (finding 4)</w:t>
            </w:r>
          </w:p>
        </w:tc>
      </w:tr>
      <w:tr>
        <w:trPr>
          <w:cantSplit/>
        </w:trPr>
        <w:tc>
          <w:tcPr>
            <w:tcW w:type="dxa" w:w="2880"/>
          </w:tcPr>
          <w:p>
            <w:pPr>
              <w:spacing w:after="20" w:before="20"/>
            </w:pPr>
            <w:r>
              <w:rPr>
                <w:b/>
                <w:sz w:val="17"/>
              </w:rPr>
              <w:t>ADC</w:t>
            </w:r>
          </w:p>
        </w:tc>
        <w:tc>
          <w:tcPr>
            <w:tcW w:type="dxa" w:w="4176"/>
          </w:tcPr>
          <w:p>
            <w:pPr>
              <w:spacing w:after="20" w:before="20"/>
            </w:pPr>
            <w:r>
              <w:rPr>
                <w:sz w:val="17"/>
              </w:rPr>
              <w:t>Sheets 19, 20</w:t>
            </w:r>
          </w:p>
        </w:tc>
        <w:tc>
          <w:tcPr>
            <w:tcW w:type="dxa" w:w="2448"/>
          </w:tcPr>
          <w:p>
            <w:pPr>
              <w:spacing w:after="20" w:before="20"/>
            </w:pPr>
            <w:r>
              <w:rPr>
                <w:sz w:val="17"/>
              </w:rPr>
              <w:t>Provided</w:t>
            </w:r>
          </w:p>
        </w:tc>
      </w:tr>
      <w:tr>
        <w:trPr>
          <w:cantSplit/>
        </w:trPr>
        <w:tc>
          <w:tcPr>
            <w:tcW w:type="dxa" w:w="2880"/>
          </w:tcPr>
          <w:p>
            <w:pPr>
              <w:spacing w:after="20" w:before="20"/>
            </w:pPr>
            <w:r>
              <w:rPr>
                <w:b/>
                <w:sz w:val="17"/>
              </w:rPr>
              <w:t>ESP32-S3</w:t>
            </w:r>
          </w:p>
        </w:tc>
        <w:tc>
          <w:tcPr>
            <w:tcW w:type="dxa" w:w="4176"/>
          </w:tcPr>
          <w:p>
            <w:pPr>
              <w:spacing w:after="20" w:before="20"/>
            </w:pPr>
            <w:r>
              <w:rPr>
                <w:sz w:val="17"/>
              </w:rPr>
              <w:t>Sheets 21, 22</w:t>
            </w:r>
          </w:p>
        </w:tc>
        <w:tc>
          <w:tcPr>
            <w:tcW w:type="dxa" w:w="2448"/>
          </w:tcPr>
          <w:p>
            <w:pPr>
              <w:spacing w:after="20" w:before="20"/>
            </w:pPr>
            <w:r>
              <w:rPr>
                <w:sz w:val="17"/>
              </w:rPr>
              <w:t>Provided</w:t>
            </w:r>
          </w:p>
        </w:tc>
      </w:tr>
      <w:tr>
        <w:trPr>
          <w:cantSplit/>
        </w:trPr>
        <w:tc>
          <w:tcPr>
            <w:tcW w:type="dxa" w:w="2880"/>
          </w:tcPr>
          <w:p>
            <w:pPr>
              <w:spacing w:after="20" w:before="20"/>
            </w:pPr>
            <w:r>
              <w:rPr>
                <w:b/>
                <w:sz w:val="17"/>
              </w:rPr>
              <w:t>LoRa</w:t>
            </w:r>
          </w:p>
        </w:tc>
        <w:tc>
          <w:tcPr>
            <w:tcW w:type="dxa" w:w="4176"/>
          </w:tcPr>
          <w:p>
            <w:pPr>
              <w:spacing w:after="20" w:before="20"/>
            </w:pPr>
            <w:r>
              <w:rPr>
                <w:sz w:val="17"/>
              </w:rPr>
              <w:t>Sheet 23</w:t>
            </w:r>
          </w:p>
        </w:tc>
        <w:tc>
          <w:tcPr>
            <w:tcW w:type="dxa" w:w="2448"/>
          </w:tcPr>
          <w:p>
            <w:pPr>
              <w:spacing w:after="20" w:before="20"/>
            </w:pPr>
            <w:r>
              <w:rPr>
                <w:sz w:val="17"/>
              </w:rPr>
              <w:t>Provided</w:t>
            </w:r>
          </w:p>
        </w:tc>
      </w:tr>
      <w:tr>
        <w:trPr>
          <w:cantSplit/>
        </w:trPr>
        <w:tc>
          <w:tcPr>
            <w:tcW w:type="dxa" w:w="2880"/>
          </w:tcPr>
          <w:p>
            <w:pPr>
              <w:spacing w:after="20" w:before="20"/>
            </w:pPr>
            <w:r>
              <w:rPr>
                <w:b/>
                <w:sz w:val="17"/>
              </w:rPr>
              <w:t>Fan driver</w:t>
            </w:r>
          </w:p>
        </w:tc>
        <w:tc>
          <w:tcPr>
            <w:tcW w:type="dxa" w:w="4176"/>
          </w:tcPr>
          <w:p>
            <w:pPr>
              <w:spacing w:after="20" w:before="20"/>
            </w:pPr>
            <w:r>
              <w:rPr>
                <w:sz w:val="17"/>
              </w:rPr>
              <w:t>Sheet 24</w:t>
            </w:r>
          </w:p>
        </w:tc>
        <w:tc>
          <w:tcPr>
            <w:tcW w:type="dxa" w:w="2448"/>
          </w:tcPr>
          <w:p>
            <w:pPr>
              <w:spacing w:after="20" w:before="20"/>
            </w:pPr>
            <w:r>
              <w:rPr>
                <w:sz w:val="17"/>
              </w:rPr>
              <w:t>Provided</w:t>
            </w:r>
          </w:p>
        </w:tc>
      </w:tr>
      <w:tr>
        <w:trPr>
          <w:cantSplit/>
        </w:trPr>
        <w:tc>
          <w:tcPr>
            <w:tcW w:type="dxa" w:w="2880"/>
          </w:tcPr>
          <w:p>
            <w:pPr>
              <w:spacing w:after="20" w:before="20"/>
            </w:pPr>
            <w:r>
              <w:rPr>
                <w:b/>
                <w:sz w:val="17"/>
              </w:rPr>
              <w:t>LED / buzzer driver</w:t>
            </w:r>
          </w:p>
        </w:tc>
        <w:tc>
          <w:tcPr>
            <w:tcW w:type="dxa" w:w="4176"/>
          </w:tcPr>
          <w:p>
            <w:pPr>
              <w:spacing w:after="20" w:before="20"/>
            </w:pPr>
            <w:r>
              <w:rPr>
                <w:sz w:val="17"/>
              </w:rPr>
              <w:t>Sheet 25 (24 V alarm output J2); status LED on sheet 21</w:t>
            </w:r>
          </w:p>
        </w:tc>
        <w:tc>
          <w:tcPr>
            <w:tcW w:type="dxa" w:w="2448"/>
          </w:tcPr>
          <w:p>
            <w:pPr>
              <w:spacing w:after="20" w:before="20"/>
            </w:pPr>
            <w:r>
              <w:rPr>
                <w:sz w:val="17"/>
              </w:rPr>
              <w:t>Provided</w:t>
            </w:r>
          </w:p>
        </w:tc>
      </w:tr>
      <w:tr>
        <w:trPr>
          <w:cantSplit/>
        </w:trPr>
        <w:tc>
          <w:tcPr>
            <w:tcW w:type="dxa" w:w="2880"/>
          </w:tcPr>
          <w:p>
            <w:pPr>
              <w:spacing w:after="20" w:before="20"/>
            </w:pPr>
            <w:r>
              <w:rPr>
                <w:b/>
                <w:sz w:val="17"/>
              </w:rPr>
              <w:t>RS-485 / Modbus</w:t>
            </w:r>
          </w:p>
        </w:tc>
        <w:tc>
          <w:tcPr>
            <w:tcW w:type="dxa" w:w="4176"/>
          </w:tcPr>
          <w:p>
            <w:pPr>
              <w:spacing w:after="20" w:before="20"/>
            </w:pPr>
            <w:r>
              <w:rPr>
                <w:sz w:val="17"/>
              </w:rPr>
              <w:t>Sheet 26</w:t>
            </w:r>
          </w:p>
        </w:tc>
        <w:tc>
          <w:tcPr>
            <w:tcW w:type="dxa" w:w="2448"/>
          </w:tcPr>
          <w:p>
            <w:pPr>
              <w:spacing w:after="20" w:before="20"/>
            </w:pPr>
            <w:r>
              <w:rPr>
                <w:sz w:val="17"/>
              </w:rPr>
              <w:t>Provided</w:t>
            </w:r>
          </w:p>
        </w:tc>
      </w:tr>
      <w:tr>
        <w:trPr>
          <w:cantSplit/>
        </w:trPr>
        <w:tc>
          <w:tcPr>
            <w:tcW w:type="dxa" w:w="2880"/>
          </w:tcPr>
          <w:p>
            <w:pPr>
              <w:spacing w:after="20" w:before="20"/>
            </w:pPr>
            <w:r>
              <w:rPr>
                <w:b/>
                <w:sz w:val="17"/>
              </w:rPr>
              <w:t>Protection devices</w:t>
            </w:r>
          </w:p>
        </w:tc>
        <w:tc>
          <w:tcPr>
            <w:tcW w:type="dxa" w:w="4176"/>
          </w:tcPr>
          <w:p>
            <w:pPr>
              <w:spacing w:after="20" w:before="20"/>
            </w:pPr>
            <w:r>
              <w:rPr>
                <w:sz w:val="17"/>
              </w:rPr>
              <w:t>Table below</w:t>
            </w:r>
          </w:p>
        </w:tc>
        <w:tc>
          <w:tcPr>
            <w:tcW w:type="dxa" w:w="2448"/>
          </w:tcPr>
          <w:p>
            <w:pPr>
              <w:spacing w:after="20" w:before="20"/>
            </w:pPr>
            <w:r>
              <w:rPr>
                <w:sz w:val="17"/>
              </w:rPr>
              <w:t>Provided</w:t>
            </w:r>
          </w:p>
        </w:tc>
      </w:tr>
      <w:tr>
        <w:trPr>
          <w:cantSplit/>
        </w:trPr>
        <w:tc>
          <w:tcPr>
            <w:tcW w:type="dxa" w:w="2880"/>
          </w:tcPr>
          <w:p>
            <w:pPr>
              <w:spacing w:after="20" w:before="20"/>
            </w:pPr>
            <w:r>
              <w:rPr>
                <w:b/>
                <w:sz w:val="17"/>
              </w:rPr>
              <w:t>Grounding</w:t>
            </w:r>
          </w:p>
        </w:tc>
        <w:tc>
          <w:tcPr>
            <w:tcW w:type="dxa" w:w="4176"/>
          </w:tcPr>
          <w:p>
            <w:pPr>
              <w:spacing w:after="20" w:before="20"/>
            </w:pPr>
            <w:r>
              <w:rPr>
                <w:sz w:val="17"/>
              </w:rPr>
              <w:t>Text below</w:t>
            </w:r>
          </w:p>
        </w:tc>
        <w:tc>
          <w:tcPr>
            <w:tcW w:type="dxa" w:w="2448"/>
          </w:tcPr>
          <w:p>
            <w:pPr>
              <w:spacing w:after="20" w:before="20"/>
            </w:pPr>
            <w:r>
              <w:rPr>
                <w:sz w:val="17"/>
              </w:rPr>
              <w:t>Provided — PE point not drawn (finding 5)</w:t>
            </w:r>
          </w:p>
        </w:tc>
      </w:tr>
      <w:tr>
        <w:trPr>
          <w:cantSplit/>
        </w:trPr>
        <w:tc>
          <w:tcPr>
            <w:tcW w:type="dxa" w:w="2880"/>
          </w:tcPr>
          <w:p>
            <w:pPr>
              <w:spacing w:after="20" w:before="20"/>
            </w:pPr>
            <w:r>
              <w:rPr>
                <w:b/>
                <w:sz w:val="17"/>
              </w:rPr>
              <w:t>Title block per sheet</w:t>
            </w:r>
          </w:p>
        </w:tc>
        <w:tc>
          <w:tcPr>
            <w:tcW w:type="dxa" w:w="4176"/>
          </w:tcPr>
          <w:p>
            <w:pPr>
              <w:spacing w:after="20" w:before="20"/>
            </w:pPr>
            <w:r>
              <w:rPr>
                <w:sz w:val="17"/>
              </w:rPr>
              <w:t>Sheet information table on every figure</w:t>
            </w:r>
          </w:p>
        </w:tc>
        <w:tc>
          <w:tcPr>
            <w:tcW w:type="dxa" w:w="2448"/>
          </w:tcPr>
          <w:p>
            <w:pPr>
              <w:spacing w:after="20" w:before="20"/>
            </w:pPr>
            <w:r>
              <w:rPr>
                <w:sz w:val="17"/>
              </w:rPr>
              <w:t>Provided</w:t>
            </w:r>
          </w:p>
        </w:tc>
      </w:tr>
    </w:tbl>
    <w:p>
      <w:pPr>
        <w:spacing w:after="40"/>
      </w:pPr>
    </w:p>
    <w:p>
      <w:pPr>
        <w:spacing w:after="80"/>
      </w:pPr>
      <w:r>
        <w:rPr>
          <w:b/>
          <w:i w:val="0"/>
          <w:color w:val="1B335F"/>
          <w:sz w:val="24"/>
        </w:rPr>
        <w:t>Protection devices</w:t>
      </w:r>
    </w:p>
    <w:tbl>
      <w:tblPr>
        <w:tblStyle w:val="TableGrid"/>
        <w:tblW w:type="auto" w:w="0"/>
        <w:jc w:val="center"/>
        <w:tblLayout w:type="fixed"/>
        <w:tblLook w:firstColumn="1" w:firstRow="1" w:lastColumn="0" w:lastRow="0" w:noHBand="0" w:noVBand="1" w:val="04A0"/>
        <w:tblLayout w:type="fixed"/>
      </w:tblPr>
      <w:tblGrid>
        <w:gridCol w:w="1224"/>
        <w:gridCol w:w="2015"/>
        <w:gridCol w:w="2376"/>
        <w:gridCol w:w="3096"/>
        <w:gridCol w:w="792"/>
      </w:tblGrid>
      <w:tr>
        <w:trPr>
          <w:tblHeader w:val="true"/>
        </w:trPr>
        <w:tc>
          <w:tcPr>
            <w:tcW w:type="dxa" w:w="1224"/>
            <w:shd w:val="clear" w:fill="EAEFF9"/>
          </w:tcPr>
          <w:p>
            <w:pPr>
              <w:spacing w:after="20"/>
            </w:pPr>
            <w:r>
              <w:rPr>
                <w:b/>
                <w:color w:val="1B335F"/>
                <w:sz w:val="17"/>
              </w:rPr>
              <w:t>Designator</w:t>
            </w:r>
          </w:p>
        </w:tc>
        <w:tc>
          <w:tcPr>
            <w:tcW w:type="dxa" w:w="2016"/>
            <w:shd w:val="clear" w:fill="EAEFF9"/>
          </w:tcPr>
          <w:p>
            <w:pPr>
              <w:spacing w:after="20"/>
            </w:pPr>
            <w:r>
              <w:rPr>
                <w:b/>
                <w:color w:val="1B335F"/>
                <w:sz w:val="17"/>
              </w:rPr>
              <w:t>Part</w:t>
            </w:r>
          </w:p>
        </w:tc>
        <w:tc>
          <w:tcPr>
            <w:tcW w:type="dxa" w:w="2376"/>
            <w:shd w:val="clear" w:fill="EAEFF9"/>
          </w:tcPr>
          <w:p>
            <w:pPr>
              <w:spacing w:after="20"/>
            </w:pPr>
            <w:r>
              <w:rPr>
                <w:b/>
                <w:color w:val="1B335F"/>
                <w:sz w:val="17"/>
              </w:rPr>
              <w:t>Location</w:t>
            </w:r>
          </w:p>
        </w:tc>
        <w:tc>
          <w:tcPr>
            <w:tcW w:type="dxa" w:w="3096"/>
            <w:shd w:val="clear" w:fill="EAEFF9"/>
          </w:tcPr>
          <w:p>
            <w:pPr>
              <w:spacing w:after="20"/>
            </w:pPr>
            <w:r>
              <w:rPr>
                <w:b/>
                <w:color w:val="1B335F"/>
                <w:sz w:val="17"/>
              </w:rPr>
              <w:t>Function</w:t>
            </w:r>
          </w:p>
        </w:tc>
        <w:tc>
          <w:tcPr>
            <w:tcW w:type="dxa" w:w="792"/>
            <w:shd w:val="clear" w:fill="EAEFF9"/>
          </w:tcPr>
          <w:p>
            <w:pPr>
              <w:spacing w:after="20"/>
            </w:pPr>
            <w:r>
              <w:rPr>
                <w:b/>
                <w:color w:val="1B335F"/>
                <w:sz w:val="17"/>
              </w:rPr>
              <w:t>Sheet</w:t>
            </w:r>
          </w:p>
        </w:tc>
      </w:tr>
      <w:tr>
        <w:trPr>
          <w:cantSplit/>
        </w:trPr>
        <w:tc>
          <w:tcPr>
            <w:tcW w:type="dxa" w:w="1224"/>
          </w:tcPr>
          <w:p>
            <w:pPr>
              <w:spacing w:after="20" w:before="20"/>
            </w:pPr>
            <w:r>
              <w:rPr>
                <w:b/>
                <w:sz w:val="17"/>
              </w:rPr>
              <w:t>F1</w:t>
            </w:r>
          </w:p>
        </w:tc>
        <w:tc>
          <w:tcPr>
            <w:tcW w:type="dxa" w:w="2016"/>
          </w:tcPr>
          <w:p>
            <w:pPr>
              <w:spacing w:after="20" w:before="20"/>
            </w:pPr>
            <w:r>
              <w:rPr>
                <w:sz w:val="17"/>
              </w:rPr>
              <w:t>MINISMDC260F/16-2</w:t>
            </w:r>
          </w:p>
        </w:tc>
        <w:tc>
          <w:tcPr>
            <w:tcW w:type="dxa" w:w="2376"/>
          </w:tcPr>
          <w:p>
            <w:pPr>
              <w:spacing w:after="20" w:before="20"/>
            </w:pPr>
            <w:r>
              <w:rPr>
                <w:sz w:val="17"/>
              </w:rPr>
              <w:t>Series with 24V+ after J1</w:t>
            </w:r>
          </w:p>
        </w:tc>
        <w:tc>
          <w:tcPr>
            <w:tcW w:type="dxa" w:w="3096"/>
          </w:tcPr>
          <w:p>
            <w:pPr>
              <w:spacing w:after="20" w:before="20"/>
            </w:pPr>
            <w:r>
              <w:rPr>
                <w:sz w:val="17"/>
              </w:rPr>
              <w:t>Overcurrent on 24 V line (PTC)</w:t>
            </w:r>
          </w:p>
        </w:tc>
        <w:tc>
          <w:tcPr>
            <w:tcW w:type="dxa" w:w="792"/>
          </w:tcPr>
          <w:p>
            <w:pPr>
              <w:spacing w:after="20" w:before="20"/>
            </w:pPr>
            <w:r>
              <w:rPr>
                <w:sz w:val="17"/>
              </w:rPr>
              <w:t>01</w:t>
            </w:r>
          </w:p>
        </w:tc>
      </w:tr>
      <w:tr>
        <w:trPr>
          <w:cantSplit/>
        </w:trPr>
        <w:tc>
          <w:tcPr>
            <w:tcW w:type="dxa" w:w="1224"/>
          </w:tcPr>
          <w:p>
            <w:pPr>
              <w:spacing w:after="20" w:before="20"/>
            </w:pPr>
            <w:r>
              <w:rPr>
                <w:b/>
                <w:sz w:val="17"/>
              </w:rPr>
              <w:t>D1</w:t>
            </w:r>
          </w:p>
        </w:tc>
        <w:tc>
          <w:tcPr>
            <w:tcW w:type="dxa" w:w="2016"/>
          </w:tcPr>
          <w:p>
            <w:pPr>
              <w:spacing w:after="20" w:before="20"/>
            </w:pPr>
            <w:r>
              <w:rPr>
                <w:sz w:val="17"/>
              </w:rPr>
              <w:t>SMBJ33A</w:t>
            </w:r>
          </w:p>
        </w:tc>
        <w:tc>
          <w:tcPr>
            <w:tcW w:type="dxa" w:w="2376"/>
          </w:tcPr>
          <w:p>
            <w:pPr>
              <w:spacing w:after="20" w:before="20"/>
            </w:pPr>
            <w:r>
              <w:rPr>
                <w:sz w:val="17"/>
              </w:rPr>
              <w:t>After F1, to 24V−</w:t>
            </w:r>
          </w:p>
        </w:tc>
        <w:tc>
          <w:tcPr>
            <w:tcW w:type="dxa" w:w="3096"/>
          </w:tcPr>
          <w:p>
            <w:pPr>
              <w:spacing w:after="20" w:before="20"/>
            </w:pPr>
            <w:r>
              <w:rPr>
                <w:sz w:val="17"/>
              </w:rPr>
              <w:t>Surge / transient clamp on 24 V line (TVS)</w:t>
            </w:r>
          </w:p>
        </w:tc>
        <w:tc>
          <w:tcPr>
            <w:tcW w:type="dxa" w:w="792"/>
          </w:tcPr>
          <w:p>
            <w:pPr>
              <w:spacing w:after="20" w:before="20"/>
            </w:pPr>
            <w:r>
              <w:rPr>
                <w:sz w:val="17"/>
              </w:rPr>
              <w:t>01</w:t>
            </w:r>
          </w:p>
        </w:tc>
      </w:tr>
      <w:tr>
        <w:trPr>
          <w:cantSplit/>
        </w:trPr>
        <w:tc>
          <w:tcPr>
            <w:tcW w:type="dxa" w:w="1224"/>
          </w:tcPr>
          <w:p>
            <w:pPr>
              <w:spacing w:after="20" w:before="20"/>
            </w:pPr>
            <w:r>
              <w:rPr>
                <w:b/>
                <w:sz w:val="17"/>
              </w:rPr>
              <w:t>L1</w:t>
            </w:r>
          </w:p>
        </w:tc>
        <w:tc>
          <w:tcPr>
            <w:tcW w:type="dxa" w:w="2016"/>
          </w:tcPr>
          <w:p>
            <w:pPr>
              <w:spacing w:after="20" w:before="20"/>
            </w:pPr>
            <w:r>
              <w:rPr>
                <w:sz w:val="17"/>
              </w:rPr>
              <w:t>ACM7060-301-2PL</w:t>
            </w:r>
          </w:p>
        </w:tc>
        <w:tc>
          <w:tcPr>
            <w:tcW w:type="dxa" w:w="2376"/>
          </w:tcPr>
          <w:p>
            <w:pPr>
              <w:spacing w:after="20" w:before="20"/>
            </w:pPr>
            <w:r>
              <w:rPr>
                <w:sz w:val="17"/>
              </w:rPr>
              <w:t>Series with 24V+ and return</w:t>
            </w:r>
          </w:p>
        </w:tc>
        <w:tc>
          <w:tcPr>
            <w:tcW w:type="dxa" w:w="3096"/>
          </w:tcPr>
          <w:p>
            <w:pPr>
              <w:spacing w:after="20" w:before="20"/>
            </w:pPr>
            <w:r>
              <w:rPr>
                <w:sz w:val="17"/>
              </w:rPr>
              <w:t>Common-mode noise</w:t>
            </w:r>
          </w:p>
        </w:tc>
        <w:tc>
          <w:tcPr>
            <w:tcW w:type="dxa" w:w="792"/>
          </w:tcPr>
          <w:p>
            <w:pPr>
              <w:spacing w:after="20" w:before="20"/>
            </w:pPr>
            <w:r>
              <w:rPr>
                <w:sz w:val="17"/>
              </w:rPr>
              <w:t>01</w:t>
            </w:r>
          </w:p>
        </w:tc>
      </w:tr>
      <w:tr>
        <w:trPr>
          <w:cantSplit/>
        </w:trPr>
        <w:tc>
          <w:tcPr>
            <w:tcW w:type="dxa" w:w="1224"/>
          </w:tcPr>
          <w:p>
            <w:pPr>
              <w:spacing w:after="20" w:before="20"/>
            </w:pPr>
            <w:r>
              <w:rPr>
                <w:b/>
                <w:sz w:val="17"/>
              </w:rPr>
              <w:t>L4</w:t>
            </w:r>
          </w:p>
        </w:tc>
        <w:tc>
          <w:tcPr>
            <w:tcW w:type="dxa" w:w="2016"/>
          </w:tcPr>
          <w:p>
            <w:pPr>
              <w:spacing w:after="20" w:before="20"/>
            </w:pPr>
            <w:r>
              <w:rPr>
                <w:sz w:val="17"/>
              </w:rPr>
              <w:t>MPZ2012S101AT000</w:t>
            </w:r>
          </w:p>
        </w:tc>
        <w:tc>
          <w:tcPr>
            <w:tcW w:type="dxa" w:w="2376"/>
          </w:tcPr>
          <w:p>
            <w:pPr>
              <w:spacing w:after="20" w:before="20"/>
            </w:pPr>
            <w:r>
              <w:rPr>
                <w:sz w:val="17"/>
              </w:rPr>
              <w:t>Series with +24V</w:t>
            </w:r>
          </w:p>
        </w:tc>
        <w:tc>
          <w:tcPr>
            <w:tcW w:type="dxa" w:w="3096"/>
          </w:tcPr>
          <w:p>
            <w:pPr>
              <w:spacing w:after="20" w:before="20"/>
            </w:pPr>
            <w:r>
              <w:rPr>
                <w:sz w:val="17"/>
              </w:rPr>
              <w:t>High-frequency noise (ferrite)</w:t>
            </w:r>
          </w:p>
        </w:tc>
        <w:tc>
          <w:tcPr>
            <w:tcW w:type="dxa" w:w="792"/>
          </w:tcPr>
          <w:p>
            <w:pPr>
              <w:spacing w:after="20" w:before="20"/>
            </w:pPr>
            <w:r>
              <w:rPr>
                <w:sz w:val="17"/>
              </w:rPr>
              <w:t>01</w:t>
            </w:r>
          </w:p>
        </w:tc>
      </w:tr>
      <w:tr>
        <w:trPr>
          <w:cantSplit/>
        </w:trPr>
        <w:tc>
          <w:tcPr>
            <w:tcW w:type="dxa" w:w="1224"/>
          </w:tcPr>
          <w:p>
            <w:pPr>
              <w:spacing w:after="20" w:before="20"/>
            </w:pPr>
            <w:r>
              <w:rPr>
                <w:b/>
                <w:sz w:val="17"/>
              </w:rPr>
              <w:t>D2 / R26</w:t>
            </w:r>
          </w:p>
        </w:tc>
        <w:tc>
          <w:tcPr>
            <w:tcW w:type="dxa" w:w="2016"/>
          </w:tcPr>
          <w:p>
            <w:pPr>
              <w:spacing w:after="20" w:before="20"/>
            </w:pPr>
            <w:r>
              <w:rPr>
                <w:sz w:val="17"/>
              </w:rPr>
              <w:t>LBZT52C12T1G / 100k</w:t>
            </w:r>
          </w:p>
        </w:tc>
        <w:tc>
          <w:tcPr>
            <w:tcW w:type="dxa" w:w="2376"/>
          </w:tcPr>
          <w:p>
            <w:pPr>
              <w:spacing w:after="20" w:before="20"/>
            </w:pPr>
            <w:r>
              <w:rPr>
                <w:sz w:val="17"/>
              </w:rPr>
              <w:t>Gate of Q3</w:t>
            </w:r>
          </w:p>
        </w:tc>
        <w:tc>
          <w:tcPr>
            <w:tcW w:type="dxa" w:w="3096"/>
          </w:tcPr>
          <w:p>
            <w:pPr>
              <w:spacing w:after="20" w:before="20"/>
            </w:pPr>
            <w:r>
              <w:rPr>
                <w:sz w:val="17"/>
              </w:rPr>
              <w:t>12 V gate-source limit for Q3</w:t>
            </w:r>
          </w:p>
        </w:tc>
        <w:tc>
          <w:tcPr>
            <w:tcW w:type="dxa" w:w="792"/>
          </w:tcPr>
          <w:p>
            <w:pPr>
              <w:spacing w:after="20" w:before="20"/>
            </w:pPr>
            <w:r>
              <w:rPr>
                <w:sz w:val="17"/>
              </w:rPr>
              <w:t>01</w:t>
            </w:r>
          </w:p>
        </w:tc>
      </w:tr>
      <w:tr>
        <w:trPr>
          <w:cantSplit/>
        </w:trPr>
        <w:tc>
          <w:tcPr>
            <w:tcW w:type="dxa" w:w="1224"/>
          </w:tcPr>
          <w:p>
            <w:pPr>
              <w:spacing w:after="20" w:before="20"/>
            </w:pPr>
            <w:r>
              <w:rPr>
                <w:b/>
                <w:sz w:val="17"/>
              </w:rPr>
              <w:t>Q3</w:t>
            </w:r>
          </w:p>
        </w:tc>
        <w:tc>
          <w:tcPr>
            <w:tcW w:type="dxa" w:w="2016"/>
          </w:tcPr>
          <w:p>
            <w:pPr>
              <w:spacing w:after="20" w:before="20"/>
            </w:pPr>
            <w:r>
              <w:rPr>
                <w:sz w:val="17"/>
              </w:rPr>
              <w:t>SI7465DP-T1-GE3</w:t>
            </w:r>
          </w:p>
        </w:tc>
        <w:tc>
          <w:tcPr>
            <w:tcW w:type="dxa" w:w="2376"/>
          </w:tcPr>
          <w:p>
            <w:pPr>
              <w:spacing w:after="20" w:before="20"/>
            </w:pPr>
            <w:r>
              <w:rPr>
                <w:sz w:val="17"/>
              </w:rPr>
              <w:t>+24V to buck input</w:t>
            </w:r>
          </w:p>
        </w:tc>
        <w:tc>
          <w:tcPr>
            <w:tcW w:type="dxa" w:w="3096"/>
          </w:tcPr>
          <w:p>
            <w:pPr>
              <w:spacing w:after="20" w:before="20"/>
            </w:pPr>
            <w:r>
              <w:rPr>
                <w:sz w:val="17"/>
              </w:rPr>
              <w:t>High-side switch</w:t>
            </w:r>
          </w:p>
        </w:tc>
        <w:tc>
          <w:tcPr>
            <w:tcW w:type="dxa" w:w="792"/>
          </w:tcPr>
          <w:p>
            <w:pPr>
              <w:spacing w:after="20" w:before="20"/>
            </w:pPr>
            <w:r>
              <w:rPr>
                <w:sz w:val="17"/>
              </w:rPr>
              <w:t>01</w:t>
            </w:r>
          </w:p>
        </w:tc>
      </w:tr>
      <w:tr>
        <w:trPr>
          <w:cantSplit/>
        </w:trPr>
        <w:tc>
          <w:tcPr>
            <w:tcW w:type="dxa" w:w="1224"/>
          </w:tcPr>
          <w:p>
            <w:pPr>
              <w:spacing w:after="20" w:before="20"/>
            </w:pPr>
            <w:r>
              <w:rPr>
                <w:b/>
                <w:sz w:val="17"/>
              </w:rPr>
              <w:t>F2</w:t>
            </w:r>
          </w:p>
        </w:tc>
        <w:tc>
          <w:tcPr>
            <w:tcW w:type="dxa" w:w="2016"/>
          </w:tcPr>
          <w:p>
            <w:pPr>
              <w:spacing w:after="20" w:before="20"/>
            </w:pPr>
            <w:r>
              <w:rPr>
                <w:sz w:val="17"/>
              </w:rPr>
              <w:t>MINISMDC260F/16-2</w:t>
            </w:r>
          </w:p>
        </w:tc>
        <w:tc>
          <w:tcPr>
            <w:tcW w:type="dxa" w:w="2376"/>
          </w:tcPr>
          <w:p>
            <w:pPr>
              <w:spacing w:after="20" w:before="20"/>
            </w:pPr>
            <w:r>
              <w:rPr>
                <w:sz w:val="17"/>
              </w:rPr>
              <w:t>Series with battery input J1.2</w:t>
            </w:r>
          </w:p>
        </w:tc>
        <w:tc>
          <w:tcPr>
            <w:tcW w:type="dxa" w:w="3096"/>
          </w:tcPr>
          <w:p>
            <w:pPr>
              <w:spacing w:after="20" w:before="20"/>
            </w:pPr>
            <w:r>
              <w:rPr>
                <w:sz w:val="17"/>
              </w:rPr>
              <w:t>Battery overcurrent (PTC)</w:t>
            </w:r>
          </w:p>
        </w:tc>
        <w:tc>
          <w:tcPr>
            <w:tcW w:type="dxa" w:w="792"/>
          </w:tcPr>
          <w:p>
            <w:pPr>
              <w:spacing w:after="20" w:before="20"/>
            </w:pPr>
            <w:r>
              <w:rPr>
                <w:sz w:val="17"/>
              </w:rPr>
              <w:t>02</w:t>
            </w:r>
          </w:p>
        </w:tc>
      </w:tr>
      <w:tr>
        <w:trPr>
          <w:cantSplit/>
        </w:trPr>
        <w:tc>
          <w:tcPr>
            <w:tcW w:type="dxa" w:w="1224"/>
          </w:tcPr>
          <w:p>
            <w:pPr>
              <w:spacing w:after="20" w:before="20"/>
            </w:pPr>
            <w:r>
              <w:rPr>
                <w:b/>
                <w:sz w:val="17"/>
              </w:rPr>
              <w:t>Q2 / R1</w:t>
            </w:r>
          </w:p>
        </w:tc>
        <w:tc>
          <w:tcPr>
            <w:tcW w:type="dxa" w:w="2016"/>
          </w:tcPr>
          <w:p>
            <w:pPr>
              <w:spacing w:after="20" w:before="20"/>
            </w:pPr>
            <w:r>
              <w:rPr>
                <w:sz w:val="17"/>
              </w:rPr>
              <w:t>AO4407 / 100k</w:t>
            </w:r>
          </w:p>
        </w:tc>
        <w:tc>
          <w:tcPr>
            <w:tcW w:type="dxa" w:w="2376"/>
          </w:tcPr>
          <w:p>
            <w:pPr>
              <w:spacing w:after="20" w:before="20"/>
            </w:pPr>
            <w:r>
              <w:rPr>
                <w:sz w:val="17"/>
              </w:rPr>
              <w:t>Battery to VBAT_IN</w:t>
            </w:r>
          </w:p>
        </w:tc>
        <w:tc>
          <w:tcPr>
            <w:tcW w:type="dxa" w:w="3096"/>
          </w:tcPr>
          <w:p>
            <w:pPr>
              <w:spacing w:after="20" w:before="20"/>
            </w:pPr>
            <w:r>
              <w:rPr>
                <w:sz w:val="17"/>
              </w:rPr>
              <w:t>High-side switch</w:t>
            </w:r>
          </w:p>
        </w:tc>
        <w:tc>
          <w:tcPr>
            <w:tcW w:type="dxa" w:w="792"/>
          </w:tcPr>
          <w:p>
            <w:pPr>
              <w:spacing w:after="20" w:before="20"/>
            </w:pPr>
            <w:r>
              <w:rPr>
                <w:sz w:val="17"/>
              </w:rPr>
              <w:t>02</w:t>
            </w:r>
          </w:p>
        </w:tc>
      </w:tr>
      <w:tr>
        <w:trPr>
          <w:cantSplit/>
        </w:trPr>
        <w:tc>
          <w:tcPr>
            <w:tcW w:type="dxa" w:w="1224"/>
          </w:tcPr>
          <w:p>
            <w:pPr>
              <w:spacing w:after="20" w:before="20"/>
            </w:pPr>
            <w:r>
              <w:rPr>
                <w:b/>
                <w:sz w:val="17"/>
              </w:rPr>
              <w:t>D7 / D13</w:t>
            </w:r>
          </w:p>
        </w:tc>
        <w:tc>
          <w:tcPr>
            <w:tcW w:type="dxa" w:w="2016"/>
          </w:tcPr>
          <w:p>
            <w:pPr>
              <w:spacing w:after="20" w:before="20"/>
            </w:pPr>
            <w:r>
              <w:rPr>
                <w:sz w:val="17"/>
              </w:rPr>
              <w:t>SS54</w:t>
            </w:r>
          </w:p>
        </w:tc>
        <w:tc>
          <w:tcPr>
            <w:tcW w:type="dxa" w:w="2376"/>
          </w:tcPr>
          <w:p>
            <w:pPr>
              <w:spacing w:after="20" w:before="20"/>
            </w:pPr>
            <w:r>
              <w:rPr>
                <w:sz w:val="17"/>
              </w:rPr>
              <w:t>5VEXT to +5V; boost to +24V</w:t>
            </w:r>
          </w:p>
        </w:tc>
        <w:tc>
          <w:tcPr>
            <w:tcW w:type="dxa" w:w="3096"/>
          </w:tcPr>
          <w:p>
            <w:pPr>
              <w:spacing w:after="20" w:before="20"/>
            </w:pPr>
            <w:r>
              <w:rPr>
                <w:sz w:val="17"/>
              </w:rPr>
              <w:t>Reverse-current blocking (OR-ing)</w:t>
            </w:r>
          </w:p>
        </w:tc>
        <w:tc>
          <w:tcPr>
            <w:tcW w:type="dxa" w:w="792"/>
          </w:tcPr>
          <w:p>
            <w:pPr>
              <w:spacing w:after="20" w:before="20"/>
            </w:pPr>
            <w:r>
              <w:rPr>
                <w:sz w:val="17"/>
              </w:rPr>
              <w:t>02, 05</w:t>
            </w:r>
          </w:p>
        </w:tc>
      </w:tr>
      <w:tr>
        <w:trPr>
          <w:cantSplit/>
        </w:trPr>
        <w:tc>
          <w:tcPr>
            <w:tcW w:type="dxa" w:w="1224"/>
          </w:tcPr>
          <w:p>
            <w:pPr>
              <w:spacing w:after="20" w:before="20"/>
            </w:pPr>
            <w:r>
              <w:rPr>
                <w:b/>
                <w:sz w:val="17"/>
              </w:rPr>
              <w:t>D3 / D10</w:t>
            </w:r>
          </w:p>
        </w:tc>
        <w:tc>
          <w:tcPr>
            <w:tcW w:type="dxa" w:w="2016"/>
          </w:tcPr>
          <w:p>
            <w:pPr>
              <w:spacing w:after="20" w:before="20"/>
            </w:pPr>
            <w:r>
              <w:rPr>
                <w:sz w:val="17"/>
              </w:rPr>
              <w:t>BAT54C</w:t>
            </w:r>
          </w:p>
        </w:tc>
        <w:tc>
          <w:tcPr>
            <w:tcW w:type="dxa" w:w="2376"/>
          </w:tcPr>
          <w:p>
            <w:pPr>
              <w:spacing w:after="20" w:before="20"/>
            </w:pPr>
            <w:r>
              <w:rPr>
                <w:sz w:val="17"/>
              </w:rPr>
              <w:t>Source of U42 (3V3AON)</w:t>
            </w:r>
          </w:p>
        </w:tc>
        <w:tc>
          <w:tcPr>
            <w:tcW w:type="dxa" w:w="3096"/>
          </w:tcPr>
          <w:p>
            <w:pPr>
              <w:spacing w:after="20" w:before="20"/>
            </w:pPr>
            <w:r>
              <w:rPr>
                <w:sz w:val="17"/>
              </w:rPr>
              <w:t>OR-ing of supply sources</w:t>
            </w:r>
          </w:p>
        </w:tc>
        <w:tc>
          <w:tcPr>
            <w:tcW w:type="dxa" w:w="792"/>
          </w:tcPr>
          <w:p>
            <w:pPr>
              <w:spacing w:after="20" w:before="20"/>
            </w:pPr>
            <w:r>
              <w:rPr>
                <w:sz w:val="17"/>
              </w:rPr>
              <w:t>08</w:t>
            </w:r>
          </w:p>
        </w:tc>
      </w:tr>
      <w:tr>
        <w:trPr>
          <w:cantSplit/>
        </w:trPr>
        <w:tc>
          <w:tcPr>
            <w:tcW w:type="dxa" w:w="1224"/>
          </w:tcPr>
          <w:p>
            <w:pPr>
              <w:spacing w:after="20" w:before="20"/>
            </w:pPr>
            <w:r>
              <w:rPr>
                <w:b/>
                <w:sz w:val="17"/>
              </w:rPr>
              <w:t>D8 / D9</w:t>
            </w:r>
          </w:p>
        </w:tc>
        <w:tc>
          <w:tcPr>
            <w:tcW w:type="dxa" w:w="2016"/>
          </w:tcPr>
          <w:p>
            <w:pPr>
              <w:spacing w:after="20" w:before="20"/>
            </w:pPr>
            <w:r>
              <w:rPr>
                <w:sz w:val="17"/>
              </w:rPr>
              <w:t>SS14</w:t>
            </w:r>
          </w:p>
        </w:tc>
        <w:tc>
          <w:tcPr>
            <w:tcW w:type="dxa" w:w="2376"/>
          </w:tcPr>
          <w:p>
            <w:pPr>
              <w:spacing w:after="20" w:before="20"/>
            </w:pPr>
            <w:r>
              <w:rPr>
                <w:sz w:val="17"/>
              </w:rPr>
              <w:t>Loads J2 and J3</w:t>
            </w:r>
          </w:p>
        </w:tc>
        <w:tc>
          <w:tcPr>
            <w:tcW w:type="dxa" w:w="3096"/>
          </w:tcPr>
          <w:p>
            <w:pPr>
              <w:spacing w:after="20" w:before="20"/>
            </w:pPr>
            <w:r>
              <w:rPr>
                <w:sz w:val="17"/>
              </w:rPr>
              <w:t>Flyback for inductive loads</w:t>
            </w:r>
          </w:p>
        </w:tc>
        <w:tc>
          <w:tcPr>
            <w:tcW w:type="dxa" w:w="792"/>
          </w:tcPr>
          <w:p>
            <w:pPr>
              <w:spacing w:after="20" w:before="20"/>
            </w:pPr>
            <w:r>
              <w:rPr>
                <w:sz w:val="17"/>
              </w:rPr>
              <w:t>24, 25</w:t>
            </w:r>
          </w:p>
        </w:tc>
      </w:tr>
      <w:tr>
        <w:trPr>
          <w:cantSplit/>
        </w:trPr>
        <w:tc>
          <w:tcPr>
            <w:tcW w:type="dxa" w:w="1224"/>
          </w:tcPr>
          <w:p>
            <w:pPr>
              <w:spacing w:after="20" w:before="20"/>
            </w:pPr>
            <w:r>
              <w:rPr>
                <w:b/>
                <w:sz w:val="17"/>
              </w:rPr>
              <w:t>D4 / D5 / D11</w:t>
            </w:r>
          </w:p>
        </w:tc>
        <w:tc>
          <w:tcPr>
            <w:tcW w:type="dxa" w:w="2016"/>
          </w:tcPr>
          <w:p>
            <w:pPr>
              <w:spacing w:after="20" w:before="20"/>
            </w:pPr>
            <w:r>
              <w:rPr>
                <w:sz w:val="17"/>
              </w:rPr>
              <w:t>LESD5D5.0CT1G</w:t>
            </w:r>
          </w:p>
        </w:tc>
        <w:tc>
          <w:tcPr>
            <w:tcW w:type="dxa" w:w="2376"/>
          </w:tcPr>
          <w:p>
            <w:pPr>
              <w:spacing w:after="20" w:before="20"/>
            </w:pPr>
            <w:r>
              <w:rPr>
                <w:sz w:val="17"/>
              </w:rPr>
              <w:t>USB D−, D+, VBUS</w:t>
            </w:r>
          </w:p>
        </w:tc>
        <w:tc>
          <w:tcPr>
            <w:tcW w:type="dxa" w:w="3096"/>
          </w:tcPr>
          <w:p>
            <w:pPr>
              <w:spacing w:after="20" w:before="20"/>
            </w:pPr>
            <w:r>
              <w:rPr>
                <w:sz w:val="17"/>
              </w:rPr>
              <w:t>USB ESD</w:t>
            </w:r>
          </w:p>
        </w:tc>
        <w:tc>
          <w:tcPr>
            <w:tcW w:type="dxa" w:w="792"/>
          </w:tcPr>
          <w:p>
            <w:pPr>
              <w:spacing w:after="20" w:before="20"/>
            </w:pPr>
            <w:r>
              <w:rPr>
                <w:sz w:val="17"/>
              </w:rPr>
              <w:t>22</w:t>
            </w:r>
          </w:p>
        </w:tc>
      </w:tr>
      <w:tr>
        <w:trPr>
          <w:cantSplit/>
        </w:trPr>
        <w:tc>
          <w:tcPr>
            <w:tcW w:type="dxa" w:w="1224"/>
          </w:tcPr>
          <w:p>
            <w:pPr>
              <w:spacing w:after="20" w:before="20"/>
            </w:pPr>
            <w:r>
              <w:rPr>
                <w:b/>
                <w:sz w:val="17"/>
              </w:rPr>
              <w:t>D6</w:t>
            </w:r>
          </w:p>
        </w:tc>
        <w:tc>
          <w:tcPr>
            <w:tcW w:type="dxa" w:w="2016"/>
          </w:tcPr>
          <w:p>
            <w:pPr>
              <w:spacing w:after="20" w:before="20"/>
            </w:pPr>
            <w:r>
              <w:rPr>
                <w:sz w:val="17"/>
              </w:rPr>
              <w:t>SM712</w:t>
            </w:r>
          </w:p>
        </w:tc>
        <w:tc>
          <w:tcPr>
            <w:tcW w:type="dxa" w:w="2376"/>
          </w:tcPr>
          <w:p>
            <w:pPr>
              <w:spacing w:after="20" w:before="20"/>
            </w:pPr>
            <w:r>
              <w:rPr>
                <w:sz w:val="17"/>
              </w:rPr>
              <w:t>RS-485 A/B</w:t>
            </w:r>
          </w:p>
        </w:tc>
        <w:tc>
          <w:tcPr>
            <w:tcW w:type="dxa" w:w="3096"/>
          </w:tcPr>
          <w:p>
            <w:pPr>
              <w:spacing w:after="20" w:before="20"/>
            </w:pPr>
            <w:r>
              <w:rPr>
                <w:sz w:val="17"/>
              </w:rPr>
              <w:t>RS-485 line TVS</w:t>
            </w:r>
          </w:p>
        </w:tc>
        <w:tc>
          <w:tcPr>
            <w:tcW w:type="dxa" w:w="792"/>
          </w:tcPr>
          <w:p>
            <w:pPr>
              <w:spacing w:after="20" w:before="20"/>
            </w:pPr>
            <w:r>
              <w:rPr>
                <w:sz w:val="17"/>
              </w:rPr>
              <w:t>26</w:t>
            </w:r>
          </w:p>
        </w:tc>
      </w:tr>
      <w:tr>
        <w:trPr>
          <w:cantSplit/>
        </w:trPr>
        <w:tc>
          <w:tcPr>
            <w:tcW w:type="dxa" w:w="1224"/>
          </w:tcPr>
          <w:p>
            <w:pPr>
              <w:spacing w:after="20" w:before="20"/>
            </w:pPr>
            <w:r>
              <w:rPr>
                <w:b/>
                <w:sz w:val="17"/>
              </w:rPr>
              <w:t>L6</w:t>
            </w:r>
          </w:p>
        </w:tc>
        <w:tc>
          <w:tcPr>
            <w:tcW w:type="dxa" w:w="2016"/>
          </w:tcPr>
          <w:p>
            <w:pPr>
              <w:spacing w:after="20" w:before="20"/>
            </w:pPr>
            <w:r>
              <w:rPr>
                <w:sz w:val="17"/>
              </w:rPr>
              <w:t>GZ1005D600TF</w:t>
            </w:r>
          </w:p>
        </w:tc>
        <w:tc>
          <w:tcPr>
            <w:tcW w:type="dxa" w:w="2376"/>
          </w:tcPr>
          <w:p>
            <w:pPr>
              <w:spacing w:after="20" w:before="20"/>
            </w:pPr>
            <w:r>
              <w:rPr>
                <w:sz w:val="17"/>
              </w:rPr>
              <w:t>+5V to +5VA</w:t>
            </w:r>
          </w:p>
        </w:tc>
        <w:tc>
          <w:tcPr>
            <w:tcW w:type="dxa" w:w="3096"/>
          </w:tcPr>
          <w:p>
            <w:pPr>
              <w:spacing w:after="20" w:before="20"/>
            </w:pPr>
            <w:r>
              <w:rPr>
                <w:sz w:val="17"/>
              </w:rPr>
              <w:t>Analog supply noise isolation</w:t>
            </w:r>
          </w:p>
        </w:tc>
        <w:tc>
          <w:tcPr>
            <w:tcW w:type="dxa" w:w="792"/>
          </w:tcPr>
          <w:p>
            <w:pPr>
              <w:spacing w:after="20" w:before="20"/>
            </w:pPr>
            <w:r>
              <w:rPr>
                <w:sz w:val="17"/>
              </w:rPr>
              <w:t>16</w:t>
            </w:r>
          </w:p>
        </w:tc>
      </w:tr>
    </w:tbl>
    <w:p>
      <w:pPr>
        <w:spacing w:after="40"/>
      </w:pPr>
    </w:p>
    <w:p>
      <w:pPr>
        <w:spacing w:after="80"/>
      </w:pPr>
      <w:r>
        <w:rPr>
          <w:b/>
          <w:i w:val="0"/>
          <w:color w:val="1B335F"/>
          <w:sz w:val="24"/>
        </w:rPr>
        <w:t>Grounding</w:t>
      </w:r>
    </w:p>
    <w:p>
      <w:pPr>
        <w:pStyle w:val="ListBullet"/>
        <w:spacing w:after="40"/>
      </w:pPr>
      <w:r>
        <w:rPr>
          <w:sz w:val="20"/>
        </w:rPr>
        <w:t>The circuit uses a single GND net; there is no separate AGND or chassis-ground net. The AGND/PGND/DGND pins of all ICs are connected to GND.</w:t>
      </w:r>
    </w:p>
    <w:p>
      <w:pPr>
        <w:pStyle w:val="ListBullet"/>
        <w:spacing w:after="40"/>
      </w:pPr>
      <w:r>
        <w:rPr>
          <w:sz w:val="20"/>
        </w:rPr>
        <w:t>The 24 V return (J1 pin 5, 24V−) enters GND through one winding of common-mode choke L1 (pin 2 to pin 3). J1 pins 1 and 3 are connected directly to GND.</w:t>
      </w:r>
    </w:p>
    <w:p>
      <w:pPr>
        <w:pStyle w:val="ListBullet"/>
        <w:spacing w:after="40"/>
      </w:pPr>
      <w:r>
        <w:rPr>
          <w:sz w:val="20"/>
        </w:rPr>
        <w:t>The analog supply +5VA is separated from +5V by ferrite bead L6; analog and digital ground are joined at GND.</w:t>
      </w:r>
    </w:p>
    <w:p>
      <w:pPr>
        <w:pStyle w:val="ListBullet"/>
        <w:spacing w:after="40"/>
      </w:pPr>
      <w:r>
        <w:rPr>
          <w:sz w:val="20"/>
        </w:rPr>
        <w:t>The shell/EP pads of USB1 and the GND pads of the LoRa module/antenna connector are connected to GND.</w:t>
      </w:r>
    </w:p>
    <w:p>
      <w:pPr>
        <w:pStyle w:val="ListBullet"/>
        <w:spacing w:after="40"/>
      </w:pPr>
      <w:r>
        <w:rPr>
          <w:sz w:val="20"/>
        </w:rPr>
        <w:t>A connection point from circuit GND to the enclosure / protective earth is not drawn on the schematic; it is defined by the enclosure grounding/bonding drawing.</w:t>
      </w:r>
    </w:p>
    <w:p>
      <w:pPr>
        <w:spacing w:after="80"/>
      </w:pPr>
      <w:r>
        <w:rPr>
          <w:b/>
          <w:i w:val="0"/>
          <w:color w:val="1B335F"/>
          <w:sz w:val="24"/>
        </w:rPr>
        <w:t>Findings to be resolved before the dossier is finalised</w:t>
      </w:r>
    </w:p>
    <w:tbl>
      <w:tblPr>
        <w:tblStyle w:val="TableGrid"/>
        <w:tblW w:type="auto" w:w="0"/>
        <w:jc w:val="center"/>
        <w:tblLayout w:type="fixed"/>
        <w:tblLook w:firstColumn="1" w:firstRow="1" w:lastColumn="0" w:lastRow="0" w:noHBand="0" w:noVBand="1" w:val="04A0"/>
        <w:tblLayout w:type="fixed"/>
      </w:tblPr>
      <w:tblGrid>
        <w:gridCol w:w="432"/>
        <w:gridCol w:w="4752"/>
        <w:gridCol w:w="4320"/>
      </w:tblGrid>
      <w:tr>
        <w:trPr>
          <w:tblHeader w:val="true"/>
        </w:trPr>
        <w:tc>
          <w:tcPr>
            <w:tcW w:type="dxa" w:w="432"/>
            <w:shd w:val="clear" w:fill="EAEFF9"/>
          </w:tcPr>
          <w:p>
            <w:pPr>
              <w:spacing w:after="20"/>
            </w:pPr>
            <w:r>
              <w:rPr>
                <w:b/>
                <w:color w:val="1B335F"/>
                <w:sz w:val="17"/>
              </w:rPr>
              <w:t>#</w:t>
            </w:r>
          </w:p>
        </w:tc>
        <w:tc>
          <w:tcPr>
            <w:tcW w:type="dxa" w:w="4752"/>
            <w:shd w:val="clear" w:fill="EAEFF9"/>
          </w:tcPr>
          <w:p>
            <w:pPr>
              <w:spacing w:after="20"/>
            </w:pPr>
            <w:r>
              <w:rPr>
                <w:b/>
                <w:color w:val="1B335F"/>
                <w:sz w:val="17"/>
              </w:rPr>
              <w:t>Finding (from the schematic)</w:t>
            </w:r>
          </w:p>
        </w:tc>
        <w:tc>
          <w:tcPr>
            <w:tcW w:type="dxa" w:w="4320"/>
            <w:shd w:val="clear" w:fill="EAEFF9"/>
          </w:tcPr>
          <w:p>
            <w:pPr>
              <w:spacing w:after="20"/>
            </w:pPr>
            <w:r>
              <w:rPr>
                <w:b/>
                <w:color w:val="1B335F"/>
                <w:sz w:val="17"/>
              </w:rPr>
              <w:t>Action</w:t>
            </w:r>
          </w:p>
        </w:tc>
      </w:tr>
      <w:tr>
        <w:trPr>
          <w:cantSplit/>
        </w:trPr>
        <w:tc>
          <w:tcPr>
            <w:tcW w:type="dxa" w:w="432"/>
          </w:tcPr>
          <w:p>
            <w:pPr>
              <w:spacing w:after="20" w:before="20"/>
            </w:pPr>
            <w:r>
              <w:rPr>
                <w:b/>
                <w:sz w:val="17"/>
              </w:rPr>
              <w:t>1</w:t>
            </w:r>
          </w:p>
        </w:tc>
        <w:tc>
          <w:tcPr>
            <w:tcW w:type="dxa" w:w="4752"/>
          </w:tcPr>
          <w:p>
            <w:pPr>
              <w:spacing w:after="20" w:before="20"/>
            </w:pPr>
            <w:r>
              <w:rPr>
                <w:sz w:val="17"/>
              </w:rPr>
              <w:t>F1 and F2 are MINISMDC260F/16-2; the "/16" suffix normally means a 16 V rating, while F1 is on the 24 V line.</w:t>
            </w:r>
          </w:p>
        </w:tc>
        <w:tc>
          <w:tcPr>
            <w:tcW w:type="dxa" w:w="4320"/>
          </w:tcPr>
          <w:p>
            <w:pPr>
              <w:spacing w:after="20" w:before="20"/>
            </w:pPr>
            <w:r>
              <w:rPr>
                <w:sz w:val="17"/>
              </w:rPr>
              <w:t>Confirm the PTC voltage rating from the datasheet or change the part.</w:t>
            </w:r>
          </w:p>
        </w:tc>
      </w:tr>
      <w:tr>
        <w:trPr>
          <w:cantSplit/>
        </w:trPr>
        <w:tc>
          <w:tcPr>
            <w:tcW w:type="dxa" w:w="432"/>
          </w:tcPr>
          <w:p>
            <w:pPr>
              <w:spacing w:after="20" w:before="20"/>
            </w:pPr>
            <w:r>
              <w:rPr>
                <w:b/>
                <w:sz w:val="17"/>
              </w:rPr>
              <w:t>2</w:t>
            </w:r>
          </w:p>
        </w:tc>
        <w:tc>
          <w:tcPr>
            <w:tcW w:type="dxa" w:w="4752"/>
          </w:tcPr>
          <w:p>
            <w:pPr>
              <w:spacing w:after="20" w:before="20"/>
            </w:pPr>
            <w:r>
              <w:rPr>
                <w:sz w:val="17"/>
              </w:rPr>
              <w:t>Q3 (24 V) and Q2 (battery) have the source on the input side and the gate pulled to GND; with this orientation the body diode does not block reverse polarity.</w:t>
            </w:r>
          </w:p>
        </w:tc>
        <w:tc>
          <w:tcPr>
            <w:tcW w:type="dxa" w:w="4320"/>
          </w:tcPr>
          <w:p>
            <w:pPr>
              <w:spacing w:after="20" w:before="20"/>
            </w:pPr>
            <w:r>
              <w:rPr>
                <w:sz w:val="17"/>
              </w:rPr>
              <w:t>Confirm the intended function. Any description of "P-channel MOSFET reverse-polarity protection" must match the actual circuit.</w:t>
            </w:r>
          </w:p>
        </w:tc>
      </w:tr>
      <w:tr>
        <w:trPr>
          <w:cantSplit/>
        </w:trPr>
        <w:tc>
          <w:tcPr>
            <w:tcW w:type="dxa" w:w="432"/>
          </w:tcPr>
          <w:p>
            <w:pPr>
              <w:spacing w:after="20" w:before="20"/>
            </w:pPr>
            <w:r>
              <w:rPr>
                <w:b/>
                <w:sz w:val="17"/>
              </w:rPr>
              <w:t>3</w:t>
            </w:r>
          </w:p>
        </w:tc>
        <w:tc>
          <w:tcPr>
            <w:tcW w:type="dxa" w:w="4752"/>
          </w:tcPr>
          <w:p>
            <w:pPr>
              <w:spacing w:after="20" w:before="20"/>
            </w:pPr>
            <w:r>
              <w:rPr>
                <w:sz w:val="17"/>
              </w:rPr>
              <w:t>Battery input, battery boost to 24 V (TPS61175) and to 5 V (TPS61088), battery load switch and power-path mux are populated on the main board.</w:t>
            </w:r>
          </w:p>
        </w:tc>
        <w:tc>
          <w:tcPr>
            <w:tcW w:type="dxa" w:w="4320"/>
          </w:tcPr>
          <w:p>
            <w:pPr>
              <w:spacing w:after="20" w:before="20"/>
            </w:pPr>
            <w:r>
              <w:rPr>
                <w:sz w:val="17"/>
              </w:rPr>
              <w:t>Decide whether the battery path is excluded (depopulated / not fitted) or included in the certified configuration; the production configuration is stated as 24 VDC only.</w:t>
            </w:r>
          </w:p>
        </w:tc>
      </w:tr>
      <w:tr>
        <w:trPr>
          <w:cantSplit/>
        </w:trPr>
        <w:tc>
          <w:tcPr>
            <w:tcW w:type="dxa" w:w="432"/>
          </w:tcPr>
          <w:p>
            <w:pPr>
              <w:spacing w:after="20" w:before="20"/>
            </w:pPr>
            <w:r>
              <w:rPr>
                <w:b/>
                <w:sz w:val="17"/>
              </w:rPr>
              <w:t>4</w:t>
            </w:r>
          </w:p>
        </w:tc>
        <w:tc>
          <w:tcPr>
            <w:tcW w:type="dxa" w:w="4752"/>
          </w:tcPr>
          <w:p>
            <w:pPr>
              <w:spacing w:after="20" w:before="20"/>
            </w:pPr>
            <w:r>
              <w:rPr>
                <w:sz w:val="17"/>
              </w:rPr>
              <w:t>Each sensor connector H1–H8 carries only +5 V, VMID, enable, I2C and AIN. The per-channel heater switch and the sensor load resistor are not on the main board.</w:t>
            </w:r>
          </w:p>
        </w:tc>
        <w:tc>
          <w:tcPr>
            <w:tcW w:type="dxa" w:w="4320"/>
          </w:tcPr>
          <w:p>
            <w:pPr>
              <w:spacing w:after="20" w:before="20"/>
            </w:pPr>
            <w:r>
              <w:rPr>
                <w:sz w:val="17"/>
              </w:rPr>
              <w:t>Provide the sensor-module schematic and layout as a separate drawing set.</w:t>
            </w:r>
          </w:p>
        </w:tc>
      </w:tr>
      <w:tr>
        <w:trPr>
          <w:cantSplit/>
        </w:trPr>
        <w:tc>
          <w:tcPr>
            <w:tcW w:type="dxa" w:w="432"/>
          </w:tcPr>
          <w:p>
            <w:pPr>
              <w:spacing w:after="20" w:before="20"/>
            </w:pPr>
            <w:r>
              <w:rPr>
                <w:b/>
                <w:sz w:val="17"/>
              </w:rPr>
              <w:t>5</w:t>
            </w:r>
          </w:p>
        </w:tc>
        <w:tc>
          <w:tcPr>
            <w:tcW w:type="dxa" w:w="4752"/>
          </w:tcPr>
          <w:p>
            <w:pPr>
              <w:spacing w:after="20" w:before="20"/>
            </w:pPr>
            <w:r>
              <w:rPr>
                <w:sz w:val="17"/>
              </w:rPr>
              <w:t>Single GND net; no chassis/PE connection point on the board.</w:t>
            </w:r>
          </w:p>
        </w:tc>
        <w:tc>
          <w:tcPr>
            <w:tcW w:type="dxa" w:w="4320"/>
          </w:tcPr>
          <w:p>
            <w:pPr>
              <w:spacing w:after="20" w:before="20"/>
            </w:pPr>
            <w:r>
              <w:rPr>
                <w:sz w:val="17"/>
              </w:rPr>
              <w:t>Show the GND-to-enclosure/PE arrangement in the grounding/bonding drawing.</w:t>
            </w:r>
          </w:p>
        </w:tc>
      </w:tr>
      <w:tr>
        <w:trPr>
          <w:cantSplit/>
        </w:trPr>
        <w:tc>
          <w:tcPr>
            <w:tcW w:type="dxa" w:w="432"/>
          </w:tcPr>
          <w:p>
            <w:pPr>
              <w:spacing w:after="20" w:before="20"/>
            </w:pPr>
            <w:r>
              <w:rPr>
                <w:b/>
                <w:sz w:val="17"/>
              </w:rPr>
              <w:t>6</w:t>
            </w:r>
          </w:p>
        </w:tc>
        <w:tc>
          <w:tcPr>
            <w:tcW w:type="dxa" w:w="4752"/>
          </w:tcPr>
          <w:p>
            <w:pPr>
              <w:spacing w:after="20" w:before="20"/>
            </w:pPr>
            <w:r>
              <w:rPr>
                <w:sz w:val="17"/>
              </w:rPr>
              <w:t>RS-485 has TVS D6 only; no 120 Ω termination or A/B bias resistors.</w:t>
            </w:r>
          </w:p>
        </w:tc>
        <w:tc>
          <w:tcPr>
            <w:tcW w:type="dxa" w:w="4320"/>
          </w:tcPr>
          <w:p>
            <w:pPr>
              <w:spacing w:after="20" w:before="20"/>
            </w:pPr>
            <w:r>
              <w:rPr>
                <w:sz w:val="17"/>
              </w:rPr>
              <w:t>Confirm termination/bias is provided externally (installation note) or is not required.</w:t>
            </w:r>
          </w:p>
        </w:tc>
      </w:tr>
      <w:tr>
        <w:trPr>
          <w:cantSplit/>
        </w:trPr>
        <w:tc>
          <w:tcPr>
            <w:tcW w:type="dxa" w:w="432"/>
          </w:tcPr>
          <w:p>
            <w:pPr>
              <w:spacing w:after="20" w:before="20"/>
            </w:pPr>
            <w:r>
              <w:rPr>
                <w:b/>
                <w:sz w:val="17"/>
              </w:rPr>
              <w:t>7</w:t>
            </w:r>
          </w:p>
        </w:tc>
        <w:tc>
          <w:tcPr>
            <w:tcW w:type="dxa" w:w="4752"/>
          </w:tcPr>
          <w:p>
            <w:pPr>
              <w:spacing w:after="20" w:before="20"/>
            </w:pPr>
            <w:r>
              <w:rPr>
                <w:sz w:val="17"/>
              </w:rPr>
              <w:t>Converter output voltages (≈5.0 V, ≈24 V, ≈5.3 V) are calculated from feedback resistors, not measured.</w:t>
            </w:r>
          </w:p>
        </w:tc>
        <w:tc>
          <w:tcPr>
            <w:tcW w:type="dxa" w:w="4320"/>
          </w:tcPr>
          <w:p>
            <w:pPr>
              <w:spacing w:after="20" w:before="20"/>
            </w:pPr>
            <w:r>
              <w:rPr>
                <w:sz w:val="17"/>
              </w:rPr>
              <w:t>Record measured rail voltages in the routine/functional test.</w:t>
            </w:r>
          </w:p>
        </w:tc>
      </w:tr>
      <w:tr>
        <w:trPr>
          <w:cantSplit/>
        </w:trPr>
        <w:tc>
          <w:tcPr>
            <w:tcW w:type="dxa" w:w="432"/>
          </w:tcPr>
          <w:p>
            <w:pPr>
              <w:spacing w:after="20" w:before="20"/>
            </w:pPr>
            <w:r>
              <w:rPr>
                <w:b/>
                <w:sz w:val="17"/>
              </w:rPr>
              <w:t>8</w:t>
            </w:r>
          </w:p>
        </w:tc>
        <w:tc>
          <w:tcPr>
            <w:tcW w:type="dxa" w:w="4752"/>
          </w:tcPr>
          <w:p>
            <w:pPr>
              <w:spacing w:after="20" w:before="20"/>
            </w:pPr>
            <w:r>
              <w:rPr>
                <w:sz w:val="17"/>
              </w:rPr>
              <w:t>The load type on alarm output J2 (24 V siren/beacon) is not defined on the schematic.</w:t>
            </w:r>
          </w:p>
        </w:tc>
        <w:tc>
          <w:tcPr>
            <w:tcW w:type="dxa" w:w="4320"/>
          </w:tcPr>
          <w:p>
            <w:pPr>
              <w:spacing w:after="20" w:before="20"/>
            </w:pPr>
            <w:r>
              <w:rPr>
                <w:sz w:val="17"/>
              </w:rPr>
              <w:t>Identify the alarm module (manufacturer/model, current) in the BOM (6.b).</w:t>
            </w:r>
          </w:p>
        </w:tc>
      </w:tr>
    </w:tbl>
    <w:p>
      <w:pPr>
        <w:spacing w:after="40"/>
      </w:pPr>
    </w:p>
    <w:p>
      <w:r>
        <w:br w:type="page"/>
      </w:r>
    </w:p>
    <w:p>
      <w:pPr>
        <w:spacing w:after="80"/>
      </w:pPr>
      <w:r>
        <w:rPr>
          <w:b/>
          <w:i w:val="0"/>
          <w:color w:val="1B335F"/>
          <w:sz w:val="24"/>
        </w:rPr>
        <w:t>Schematic figures (sheets 01–26)</w:t>
      </w:r>
    </w:p>
    <w:p>
      <w:pPr>
        <w:spacing w:after="120"/>
      </w:pPr>
      <w:r>
        <w:rPr>
          <w:b w:val="0"/>
          <w:i w:val="0"/>
          <w:color w:val="555B66"/>
          <w:sz w:val="18"/>
        </w:rPr>
        <w:t>The pages below reproduce the schematic figures exactly as issued, including the per-figure sheet information table and component description table.</w:t>
      </w:r>
    </w:p>
    <w:p>
      <w:pPr>
        <w:spacing w:after="40"/>
        <w:jc w:val="center"/>
      </w:pPr>
      <w:r>
        <w:drawing>
          <wp:inline xmlns:a="http://schemas.openxmlformats.org/drawingml/2006/main" xmlns:pic="http://schemas.openxmlformats.org/drawingml/2006/picture">
            <wp:extent cx="5669280" cy="8026802"/>
            <wp:docPr id="74" name="Picture 74"/>
            <wp:cNvGraphicFramePr>
              <a:graphicFrameLocks noChangeAspect="1"/>
            </wp:cNvGraphicFramePr>
            <a:graphic>
              <a:graphicData uri="http://schemas.openxmlformats.org/drawingml/2006/picture">
                <pic:pic>
                  <pic:nvPicPr>
                    <pic:cNvPr id="0" name="sheet-02.png"/>
                    <pic:cNvPicPr/>
                  </pic:nvPicPr>
                  <pic:blipFill>
                    <a:blip r:embed="rId84"/>
                    <a:stretch>
                      <a:fillRect/>
                    </a:stretch>
                  </pic:blipFill>
                  <pic:spPr>
                    <a:xfrm>
                      <a:off x="0" y="0"/>
                      <a:ext cx="5669280" cy="8026802"/>
                    </a:xfrm>
                    <a:prstGeom prst="rect"/>
                  </pic:spPr>
                </pic:pic>
              </a:graphicData>
            </a:graphic>
          </wp:inline>
        </w:drawing>
      </w:r>
    </w:p>
    <w:p>
      <w:r>
        <w:br w:type="page"/>
      </w:r>
    </w:p>
    <w:p>
      <w:pPr>
        <w:spacing w:after="40"/>
        <w:jc w:val="center"/>
      </w:pPr>
      <w:r>
        <w:drawing>
          <wp:inline xmlns:a="http://schemas.openxmlformats.org/drawingml/2006/main" xmlns:pic="http://schemas.openxmlformats.org/drawingml/2006/picture">
            <wp:extent cx="5669280" cy="8026802"/>
            <wp:docPr id="75" name="Picture 75"/>
            <wp:cNvGraphicFramePr>
              <a:graphicFrameLocks noChangeAspect="1"/>
            </wp:cNvGraphicFramePr>
            <a:graphic>
              <a:graphicData uri="http://schemas.openxmlformats.org/drawingml/2006/picture">
                <pic:pic>
                  <pic:nvPicPr>
                    <pic:cNvPr id="0" name="sheet-03.png"/>
                    <pic:cNvPicPr/>
                  </pic:nvPicPr>
                  <pic:blipFill>
                    <a:blip r:embed="rId85"/>
                    <a:stretch>
                      <a:fillRect/>
                    </a:stretch>
                  </pic:blipFill>
                  <pic:spPr>
                    <a:xfrm>
                      <a:off x="0" y="0"/>
                      <a:ext cx="5669280" cy="8026802"/>
                    </a:xfrm>
                    <a:prstGeom prst="rect"/>
                  </pic:spPr>
                </pic:pic>
              </a:graphicData>
            </a:graphic>
          </wp:inline>
        </w:drawing>
      </w:r>
    </w:p>
    <w:p>
      <w:r>
        <w:br w:type="page"/>
      </w:r>
    </w:p>
    <w:p>
      <w:pPr>
        <w:spacing w:after="40"/>
        <w:jc w:val="center"/>
      </w:pPr>
      <w:r>
        <w:drawing>
          <wp:inline xmlns:a="http://schemas.openxmlformats.org/drawingml/2006/main" xmlns:pic="http://schemas.openxmlformats.org/drawingml/2006/picture">
            <wp:extent cx="5669280" cy="8026802"/>
            <wp:docPr id="76" name="Picture 76"/>
            <wp:cNvGraphicFramePr>
              <a:graphicFrameLocks noChangeAspect="1"/>
            </wp:cNvGraphicFramePr>
            <a:graphic>
              <a:graphicData uri="http://schemas.openxmlformats.org/drawingml/2006/picture">
                <pic:pic>
                  <pic:nvPicPr>
                    <pic:cNvPr id="0" name="sheet-04.png"/>
                    <pic:cNvPicPr/>
                  </pic:nvPicPr>
                  <pic:blipFill>
                    <a:blip r:embed="rId86"/>
                    <a:stretch>
                      <a:fillRect/>
                    </a:stretch>
                  </pic:blipFill>
                  <pic:spPr>
                    <a:xfrm>
                      <a:off x="0" y="0"/>
                      <a:ext cx="5669280" cy="8026802"/>
                    </a:xfrm>
                    <a:prstGeom prst="rect"/>
                  </pic:spPr>
                </pic:pic>
              </a:graphicData>
            </a:graphic>
          </wp:inline>
        </w:drawing>
      </w:r>
    </w:p>
    <w:p>
      <w:r>
        <w:br w:type="page"/>
      </w:r>
    </w:p>
    <w:p>
      <w:pPr>
        <w:spacing w:after="40"/>
        <w:jc w:val="center"/>
      </w:pPr>
      <w:r>
        <w:drawing>
          <wp:inline xmlns:a="http://schemas.openxmlformats.org/drawingml/2006/main" xmlns:pic="http://schemas.openxmlformats.org/drawingml/2006/picture">
            <wp:extent cx="5669280" cy="8026802"/>
            <wp:docPr id="77" name="Picture 77"/>
            <wp:cNvGraphicFramePr>
              <a:graphicFrameLocks noChangeAspect="1"/>
            </wp:cNvGraphicFramePr>
            <a:graphic>
              <a:graphicData uri="http://schemas.openxmlformats.org/drawingml/2006/picture">
                <pic:pic>
                  <pic:nvPicPr>
                    <pic:cNvPr id="0" name="sheet-05.png"/>
                    <pic:cNvPicPr/>
                  </pic:nvPicPr>
                  <pic:blipFill>
                    <a:blip r:embed="rId87"/>
                    <a:stretch>
                      <a:fillRect/>
                    </a:stretch>
                  </pic:blipFill>
                  <pic:spPr>
                    <a:xfrm>
                      <a:off x="0" y="0"/>
                      <a:ext cx="5669280" cy="8026802"/>
                    </a:xfrm>
                    <a:prstGeom prst="rect"/>
                  </pic:spPr>
                </pic:pic>
              </a:graphicData>
            </a:graphic>
          </wp:inline>
        </w:drawing>
      </w:r>
    </w:p>
    <w:p>
      <w:r>
        <w:br w:type="page"/>
      </w:r>
    </w:p>
    <w:p>
      <w:pPr>
        <w:spacing w:after="40"/>
        <w:jc w:val="center"/>
      </w:pPr>
      <w:r>
        <w:drawing>
          <wp:inline xmlns:a="http://schemas.openxmlformats.org/drawingml/2006/main" xmlns:pic="http://schemas.openxmlformats.org/drawingml/2006/picture">
            <wp:extent cx="5669280" cy="8026802"/>
            <wp:docPr id="78" name="Picture 78"/>
            <wp:cNvGraphicFramePr>
              <a:graphicFrameLocks noChangeAspect="1"/>
            </wp:cNvGraphicFramePr>
            <a:graphic>
              <a:graphicData uri="http://schemas.openxmlformats.org/drawingml/2006/picture">
                <pic:pic>
                  <pic:nvPicPr>
                    <pic:cNvPr id="0" name="sheet-06.png"/>
                    <pic:cNvPicPr/>
                  </pic:nvPicPr>
                  <pic:blipFill>
                    <a:blip r:embed="rId88"/>
                    <a:stretch>
                      <a:fillRect/>
                    </a:stretch>
                  </pic:blipFill>
                  <pic:spPr>
                    <a:xfrm>
                      <a:off x="0" y="0"/>
                      <a:ext cx="5669280" cy="8026802"/>
                    </a:xfrm>
                    <a:prstGeom prst="rect"/>
                  </pic:spPr>
                </pic:pic>
              </a:graphicData>
            </a:graphic>
          </wp:inline>
        </w:drawing>
      </w:r>
    </w:p>
    <w:p>
      <w:r>
        <w:br w:type="page"/>
      </w:r>
    </w:p>
    <w:p>
      <w:pPr>
        <w:spacing w:after="40"/>
        <w:jc w:val="center"/>
      </w:pPr>
      <w:r>
        <w:drawing>
          <wp:inline xmlns:a="http://schemas.openxmlformats.org/drawingml/2006/main" xmlns:pic="http://schemas.openxmlformats.org/drawingml/2006/picture">
            <wp:extent cx="5669280" cy="8026802"/>
            <wp:docPr id="79" name="Picture 79"/>
            <wp:cNvGraphicFramePr>
              <a:graphicFrameLocks noChangeAspect="1"/>
            </wp:cNvGraphicFramePr>
            <a:graphic>
              <a:graphicData uri="http://schemas.openxmlformats.org/drawingml/2006/picture">
                <pic:pic>
                  <pic:nvPicPr>
                    <pic:cNvPr id="0" name="sheet-07.png"/>
                    <pic:cNvPicPr/>
                  </pic:nvPicPr>
                  <pic:blipFill>
                    <a:blip r:embed="rId89"/>
                    <a:stretch>
                      <a:fillRect/>
                    </a:stretch>
                  </pic:blipFill>
                  <pic:spPr>
                    <a:xfrm>
                      <a:off x="0" y="0"/>
                      <a:ext cx="5669280" cy="8026802"/>
                    </a:xfrm>
                    <a:prstGeom prst="rect"/>
                  </pic:spPr>
                </pic:pic>
              </a:graphicData>
            </a:graphic>
          </wp:inline>
        </w:drawing>
      </w:r>
    </w:p>
    <w:p>
      <w:r>
        <w:br w:type="page"/>
      </w:r>
    </w:p>
    <w:p>
      <w:pPr>
        <w:spacing w:after="40"/>
        <w:jc w:val="center"/>
      </w:pPr>
      <w:r>
        <w:drawing>
          <wp:inline xmlns:a="http://schemas.openxmlformats.org/drawingml/2006/main" xmlns:pic="http://schemas.openxmlformats.org/drawingml/2006/picture">
            <wp:extent cx="5669280" cy="8026802"/>
            <wp:docPr id="80" name="Picture 80"/>
            <wp:cNvGraphicFramePr>
              <a:graphicFrameLocks noChangeAspect="1"/>
            </wp:cNvGraphicFramePr>
            <a:graphic>
              <a:graphicData uri="http://schemas.openxmlformats.org/drawingml/2006/picture">
                <pic:pic>
                  <pic:nvPicPr>
                    <pic:cNvPr id="0" name="sheet-08.png"/>
                    <pic:cNvPicPr/>
                  </pic:nvPicPr>
                  <pic:blipFill>
                    <a:blip r:embed="rId90"/>
                    <a:stretch>
                      <a:fillRect/>
                    </a:stretch>
                  </pic:blipFill>
                  <pic:spPr>
                    <a:xfrm>
                      <a:off x="0" y="0"/>
                      <a:ext cx="5669280" cy="8026802"/>
                    </a:xfrm>
                    <a:prstGeom prst="rect"/>
                  </pic:spPr>
                </pic:pic>
              </a:graphicData>
            </a:graphic>
          </wp:inline>
        </w:drawing>
      </w:r>
    </w:p>
    <w:p>
      <w:r>
        <w:br w:type="page"/>
      </w:r>
    </w:p>
    <w:p>
      <w:pPr>
        <w:spacing w:after="40"/>
        <w:jc w:val="center"/>
      </w:pPr>
      <w:r>
        <w:drawing>
          <wp:inline xmlns:a="http://schemas.openxmlformats.org/drawingml/2006/main" xmlns:pic="http://schemas.openxmlformats.org/drawingml/2006/picture">
            <wp:extent cx="5669280" cy="8026802"/>
            <wp:docPr id="81" name="Picture 81"/>
            <wp:cNvGraphicFramePr>
              <a:graphicFrameLocks noChangeAspect="1"/>
            </wp:cNvGraphicFramePr>
            <a:graphic>
              <a:graphicData uri="http://schemas.openxmlformats.org/drawingml/2006/picture">
                <pic:pic>
                  <pic:nvPicPr>
                    <pic:cNvPr id="0" name="sheet-09.png"/>
                    <pic:cNvPicPr/>
                  </pic:nvPicPr>
                  <pic:blipFill>
                    <a:blip r:embed="rId91"/>
                    <a:stretch>
                      <a:fillRect/>
                    </a:stretch>
                  </pic:blipFill>
                  <pic:spPr>
                    <a:xfrm>
                      <a:off x="0" y="0"/>
                      <a:ext cx="5669280" cy="8026802"/>
                    </a:xfrm>
                    <a:prstGeom prst="rect"/>
                  </pic:spPr>
                </pic:pic>
              </a:graphicData>
            </a:graphic>
          </wp:inline>
        </w:drawing>
      </w:r>
    </w:p>
    <w:p>
      <w:r>
        <w:br w:type="page"/>
      </w:r>
    </w:p>
    <w:p>
      <w:pPr>
        <w:spacing w:after="40"/>
        <w:jc w:val="center"/>
      </w:pPr>
      <w:r>
        <w:drawing>
          <wp:inline xmlns:a="http://schemas.openxmlformats.org/drawingml/2006/main" xmlns:pic="http://schemas.openxmlformats.org/drawingml/2006/picture">
            <wp:extent cx="5669280" cy="8026802"/>
            <wp:docPr id="82" name="Picture 82"/>
            <wp:cNvGraphicFramePr>
              <a:graphicFrameLocks noChangeAspect="1"/>
            </wp:cNvGraphicFramePr>
            <a:graphic>
              <a:graphicData uri="http://schemas.openxmlformats.org/drawingml/2006/picture">
                <pic:pic>
                  <pic:nvPicPr>
                    <pic:cNvPr id="0" name="sheet-10.png"/>
                    <pic:cNvPicPr/>
                  </pic:nvPicPr>
                  <pic:blipFill>
                    <a:blip r:embed="rId92"/>
                    <a:stretch>
                      <a:fillRect/>
                    </a:stretch>
                  </pic:blipFill>
                  <pic:spPr>
                    <a:xfrm>
                      <a:off x="0" y="0"/>
                      <a:ext cx="5669280" cy="8026802"/>
                    </a:xfrm>
                    <a:prstGeom prst="rect"/>
                  </pic:spPr>
                </pic:pic>
              </a:graphicData>
            </a:graphic>
          </wp:inline>
        </w:drawing>
      </w:r>
    </w:p>
    <w:p>
      <w:r>
        <w:br w:type="page"/>
      </w:r>
    </w:p>
    <w:p>
      <w:pPr>
        <w:spacing w:after="40"/>
        <w:jc w:val="center"/>
      </w:pPr>
      <w:r>
        <w:drawing>
          <wp:inline xmlns:a="http://schemas.openxmlformats.org/drawingml/2006/main" xmlns:pic="http://schemas.openxmlformats.org/drawingml/2006/picture">
            <wp:extent cx="5669280" cy="8026802"/>
            <wp:docPr id="83" name="Picture 83"/>
            <wp:cNvGraphicFramePr>
              <a:graphicFrameLocks noChangeAspect="1"/>
            </wp:cNvGraphicFramePr>
            <a:graphic>
              <a:graphicData uri="http://schemas.openxmlformats.org/drawingml/2006/picture">
                <pic:pic>
                  <pic:nvPicPr>
                    <pic:cNvPr id="0" name="sheet-11.png"/>
                    <pic:cNvPicPr/>
                  </pic:nvPicPr>
                  <pic:blipFill>
                    <a:blip r:embed="rId93"/>
                    <a:stretch>
                      <a:fillRect/>
                    </a:stretch>
                  </pic:blipFill>
                  <pic:spPr>
                    <a:xfrm>
                      <a:off x="0" y="0"/>
                      <a:ext cx="5669280" cy="8026802"/>
                    </a:xfrm>
                    <a:prstGeom prst="rect"/>
                  </pic:spPr>
                </pic:pic>
              </a:graphicData>
            </a:graphic>
          </wp:inline>
        </w:drawing>
      </w:r>
    </w:p>
    <w:p>
      <w:r>
        <w:br w:type="page"/>
      </w:r>
    </w:p>
    <w:p>
      <w:pPr>
        <w:spacing w:after="40"/>
        <w:jc w:val="center"/>
      </w:pPr>
      <w:r>
        <w:drawing>
          <wp:inline xmlns:a="http://schemas.openxmlformats.org/drawingml/2006/main" xmlns:pic="http://schemas.openxmlformats.org/drawingml/2006/picture">
            <wp:extent cx="5669280" cy="8026802"/>
            <wp:docPr id="84" name="Picture 84"/>
            <wp:cNvGraphicFramePr>
              <a:graphicFrameLocks noChangeAspect="1"/>
            </wp:cNvGraphicFramePr>
            <a:graphic>
              <a:graphicData uri="http://schemas.openxmlformats.org/drawingml/2006/picture">
                <pic:pic>
                  <pic:nvPicPr>
                    <pic:cNvPr id="0" name="sheet-12.png"/>
                    <pic:cNvPicPr/>
                  </pic:nvPicPr>
                  <pic:blipFill>
                    <a:blip r:embed="rId94"/>
                    <a:stretch>
                      <a:fillRect/>
                    </a:stretch>
                  </pic:blipFill>
                  <pic:spPr>
                    <a:xfrm>
                      <a:off x="0" y="0"/>
                      <a:ext cx="5669280" cy="8026802"/>
                    </a:xfrm>
                    <a:prstGeom prst="rect"/>
                  </pic:spPr>
                </pic:pic>
              </a:graphicData>
            </a:graphic>
          </wp:inline>
        </w:drawing>
      </w:r>
    </w:p>
    <w:p>
      <w:r>
        <w:br w:type="page"/>
      </w:r>
    </w:p>
    <w:p>
      <w:pPr>
        <w:spacing w:after="40"/>
        <w:jc w:val="center"/>
      </w:pPr>
      <w:r>
        <w:drawing>
          <wp:inline xmlns:a="http://schemas.openxmlformats.org/drawingml/2006/main" xmlns:pic="http://schemas.openxmlformats.org/drawingml/2006/picture">
            <wp:extent cx="5669280" cy="8026802"/>
            <wp:docPr id="85" name="Picture 85"/>
            <wp:cNvGraphicFramePr>
              <a:graphicFrameLocks noChangeAspect="1"/>
            </wp:cNvGraphicFramePr>
            <a:graphic>
              <a:graphicData uri="http://schemas.openxmlformats.org/drawingml/2006/picture">
                <pic:pic>
                  <pic:nvPicPr>
                    <pic:cNvPr id="0" name="sheet-13.png"/>
                    <pic:cNvPicPr/>
                  </pic:nvPicPr>
                  <pic:blipFill>
                    <a:blip r:embed="rId95"/>
                    <a:stretch>
                      <a:fillRect/>
                    </a:stretch>
                  </pic:blipFill>
                  <pic:spPr>
                    <a:xfrm>
                      <a:off x="0" y="0"/>
                      <a:ext cx="5669280" cy="8026802"/>
                    </a:xfrm>
                    <a:prstGeom prst="rect"/>
                  </pic:spPr>
                </pic:pic>
              </a:graphicData>
            </a:graphic>
          </wp:inline>
        </w:drawing>
      </w:r>
    </w:p>
    <w:p>
      <w:r>
        <w:br w:type="page"/>
      </w:r>
    </w:p>
    <w:p>
      <w:pPr>
        <w:spacing w:after="40"/>
        <w:jc w:val="center"/>
      </w:pPr>
      <w:r>
        <w:drawing>
          <wp:inline xmlns:a="http://schemas.openxmlformats.org/drawingml/2006/main" xmlns:pic="http://schemas.openxmlformats.org/drawingml/2006/picture">
            <wp:extent cx="5669280" cy="8026802"/>
            <wp:docPr id="86" name="Picture 86"/>
            <wp:cNvGraphicFramePr>
              <a:graphicFrameLocks noChangeAspect="1"/>
            </wp:cNvGraphicFramePr>
            <a:graphic>
              <a:graphicData uri="http://schemas.openxmlformats.org/drawingml/2006/picture">
                <pic:pic>
                  <pic:nvPicPr>
                    <pic:cNvPr id="0" name="sheet-14.png"/>
                    <pic:cNvPicPr/>
                  </pic:nvPicPr>
                  <pic:blipFill>
                    <a:blip r:embed="rId96"/>
                    <a:stretch>
                      <a:fillRect/>
                    </a:stretch>
                  </pic:blipFill>
                  <pic:spPr>
                    <a:xfrm>
                      <a:off x="0" y="0"/>
                      <a:ext cx="5669280" cy="8026802"/>
                    </a:xfrm>
                    <a:prstGeom prst="rect"/>
                  </pic:spPr>
                </pic:pic>
              </a:graphicData>
            </a:graphic>
          </wp:inline>
        </w:drawing>
      </w:r>
    </w:p>
    <w:p>
      <w:r>
        <w:br w:type="page"/>
      </w:r>
    </w:p>
    <w:p>
      <w:pPr>
        <w:spacing w:after="40"/>
        <w:jc w:val="center"/>
      </w:pPr>
      <w:r>
        <w:drawing>
          <wp:inline xmlns:a="http://schemas.openxmlformats.org/drawingml/2006/main" xmlns:pic="http://schemas.openxmlformats.org/drawingml/2006/picture">
            <wp:extent cx="5669280" cy="8026802"/>
            <wp:docPr id="87" name="Picture 87"/>
            <wp:cNvGraphicFramePr>
              <a:graphicFrameLocks noChangeAspect="1"/>
            </wp:cNvGraphicFramePr>
            <a:graphic>
              <a:graphicData uri="http://schemas.openxmlformats.org/drawingml/2006/picture">
                <pic:pic>
                  <pic:nvPicPr>
                    <pic:cNvPr id="0" name="sheet-15.png"/>
                    <pic:cNvPicPr/>
                  </pic:nvPicPr>
                  <pic:blipFill>
                    <a:blip r:embed="rId97"/>
                    <a:stretch>
                      <a:fillRect/>
                    </a:stretch>
                  </pic:blipFill>
                  <pic:spPr>
                    <a:xfrm>
                      <a:off x="0" y="0"/>
                      <a:ext cx="5669280" cy="8026802"/>
                    </a:xfrm>
                    <a:prstGeom prst="rect"/>
                  </pic:spPr>
                </pic:pic>
              </a:graphicData>
            </a:graphic>
          </wp:inline>
        </w:drawing>
      </w:r>
    </w:p>
    <w:p>
      <w:r>
        <w:br w:type="page"/>
      </w:r>
    </w:p>
    <w:p>
      <w:pPr>
        <w:spacing w:after="40"/>
        <w:jc w:val="center"/>
      </w:pPr>
      <w:r>
        <w:drawing>
          <wp:inline xmlns:a="http://schemas.openxmlformats.org/drawingml/2006/main" xmlns:pic="http://schemas.openxmlformats.org/drawingml/2006/picture">
            <wp:extent cx="5669280" cy="8026802"/>
            <wp:docPr id="88" name="Picture 88"/>
            <wp:cNvGraphicFramePr>
              <a:graphicFrameLocks noChangeAspect="1"/>
            </wp:cNvGraphicFramePr>
            <a:graphic>
              <a:graphicData uri="http://schemas.openxmlformats.org/drawingml/2006/picture">
                <pic:pic>
                  <pic:nvPicPr>
                    <pic:cNvPr id="0" name="sheet-16.png"/>
                    <pic:cNvPicPr/>
                  </pic:nvPicPr>
                  <pic:blipFill>
                    <a:blip r:embed="rId98"/>
                    <a:stretch>
                      <a:fillRect/>
                    </a:stretch>
                  </pic:blipFill>
                  <pic:spPr>
                    <a:xfrm>
                      <a:off x="0" y="0"/>
                      <a:ext cx="5669280" cy="8026802"/>
                    </a:xfrm>
                    <a:prstGeom prst="rect"/>
                  </pic:spPr>
                </pic:pic>
              </a:graphicData>
            </a:graphic>
          </wp:inline>
        </w:drawing>
      </w:r>
    </w:p>
    <w:p>
      <w:r>
        <w:br w:type="page"/>
      </w:r>
    </w:p>
    <w:p>
      <w:pPr>
        <w:spacing w:after="40"/>
        <w:jc w:val="center"/>
      </w:pPr>
      <w:r>
        <w:drawing>
          <wp:inline xmlns:a="http://schemas.openxmlformats.org/drawingml/2006/main" xmlns:pic="http://schemas.openxmlformats.org/drawingml/2006/picture">
            <wp:extent cx="5669280" cy="8026802"/>
            <wp:docPr id="89" name="Picture 89"/>
            <wp:cNvGraphicFramePr>
              <a:graphicFrameLocks noChangeAspect="1"/>
            </wp:cNvGraphicFramePr>
            <a:graphic>
              <a:graphicData uri="http://schemas.openxmlformats.org/drawingml/2006/picture">
                <pic:pic>
                  <pic:nvPicPr>
                    <pic:cNvPr id="0" name="sheet-17.png"/>
                    <pic:cNvPicPr/>
                  </pic:nvPicPr>
                  <pic:blipFill>
                    <a:blip r:embed="rId99"/>
                    <a:stretch>
                      <a:fillRect/>
                    </a:stretch>
                  </pic:blipFill>
                  <pic:spPr>
                    <a:xfrm>
                      <a:off x="0" y="0"/>
                      <a:ext cx="5669280" cy="8026802"/>
                    </a:xfrm>
                    <a:prstGeom prst="rect"/>
                  </pic:spPr>
                </pic:pic>
              </a:graphicData>
            </a:graphic>
          </wp:inline>
        </w:drawing>
      </w:r>
    </w:p>
    <w:p>
      <w:r>
        <w:br w:type="page"/>
      </w:r>
    </w:p>
    <w:p>
      <w:pPr>
        <w:spacing w:after="40"/>
        <w:jc w:val="center"/>
      </w:pPr>
      <w:r>
        <w:drawing>
          <wp:inline xmlns:a="http://schemas.openxmlformats.org/drawingml/2006/main" xmlns:pic="http://schemas.openxmlformats.org/drawingml/2006/picture">
            <wp:extent cx="5669280" cy="8026802"/>
            <wp:docPr id="90" name="Picture 90"/>
            <wp:cNvGraphicFramePr>
              <a:graphicFrameLocks noChangeAspect="1"/>
            </wp:cNvGraphicFramePr>
            <a:graphic>
              <a:graphicData uri="http://schemas.openxmlformats.org/drawingml/2006/picture">
                <pic:pic>
                  <pic:nvPicPr>
                    <pic:cNvPr id="0" name="sheet-18.png"/>
                    <pic:cNvPicPr/>
                  </pic:nvPicPr>
                  <pic:blipFill>
                    <a:blip r:embed="rId100"/>
                    <a:stretch>
                      <a:fillRect/>
                    </a:stretch>
                  </pic:blipFill>
                  <pic:spPr>
                    <a:xfrm>
                      <a:off x="0" y="0"/>
                      <a:ext cx="5669280" cy="8026802"/>
                    </a:xfrm>
                    <a:prstGeom prst="rect"/>
                  </pic:spPr>
                </pic:pic>
              </a:graphicData>
            </a:graphic>
          </wp:inline>
        </w:drawing>
      </w:r>
    </w:p>
    <w:p>
      <w:r>
        <w:br w:type="page"/>
      </w:r>
    </w:p>
    <w:p>
      <w:pPr>
        <w:spacing w:after="40"/>
        <w:jc w:val="center"/>
      </w:pPr>
      <w:r>
        <w:drawing>
          <wp:inline xmlns:a="http://schemas.openxmlformats.org/drawingml/2006/main" xmlns:pic="http://schemas.openxmlformats.org/drawingml/2006/picture">
            <wp:extent cx="5669280" cy="8026802"/>
            <wp:docPr id="91" name="Picture 91"/>
            <wp:cNvGraphicFramePr>
              <a:graphicFrameLocks noChangeAspect="1"/>
            </wp:cNvGraphicFramePr>
            <a:graphic>
              <a:graphicData uri="http://schemas.openxmlformats.org/drawingml/2006/picture">
                <pic:pic>
                  <pic:nvPicPr>
                    <pic:cNvPr id="0" name="sheet-19.png"/>
                    <pic:cNvPicPr/>
                  </pic:nvPicPr>
                  <pic:blipFill>
                    <a:blip r:embed="rId101"/>
                    <a:stretch>
                      <a:fillRect/>
                    </a:stretch>
                  </pic:blipFill>
                  <pic:spPr>
                    <a:xfrm>
                      <a:off x="0" y="0"/>
                      <a:ext cx="5669280" cy="8026802"/>
                    </a:xfrm>
                    <a:prstGeom prst="rect"/>
                  </pic:spPr>
                </pic:pic>
              </a:graphicData>
            </a:graphic>
          </wp:inline>
        </w:drawing>
      </w:r>
    </w:p>
    <w:p>
      <w:r>
        <w:br w:type="page"/>
      </w:r>
    </w:p>
    <w:p>
      <w:pPr>
        <w:spacing w:after="40"/>
        <w:jc w:val="center"/>
      </w:pPr>
      <w:r>
        <w:drawing>
          <wp:inline xmlns:a="http://schemas.openxmlformats.org/drawingml/2006/main" xmlns:pic="http://schemas.openxmlformats.org/drawingml/2006/picture">
            <wp:extent cx="5669280" cy="8026802"/>
            <wp:docPr id="92" name="Picture 92"/>
            <wp:cNvGraphicFramePr>
              <a:graphicFrameLocks noChangeAspect="1"/>
            </wp:cNvGraphicFramePr>
            <a:graphic>
              <a:graphicData uri="http://schemas.openxmlformats.org/drawingml/2006/picture">
                <pic:pic>
                  <pic:nvPicPr>
                    <pic:cNvPr id="0" name="sheet-20.png"/>
                    <pic:cNvPicPr/>
                  </pic:nvPicPr>
                  <pic:blipFill>
                    <a:blip r:embed="rId102"/>
                    <a:stretch>
                      <a:fillRect/>
                    </a:stretch>
                  </pic:blipFill>
                  <pic:spPr>
                    <a:xfrm>
                      <a:off x="0" y="0"/>
                      <a:ext cx="5669280" cy="8026802"/>
                    </a:xfrm>
                    <a:prstGeom prst="rect"/>
                  </pic:spPr>
                </pic:pic>
              </a:graphicData>
            </a:graphic>
          </wp:inline>
        </w:drawing>
      </w:r>
    </w:p>
    <w:p>
      <w:r>
        <w:br w:type="page"/>
      </w:r>
    </w:p>
    <w:p>
      <w:pPr>
        <w:spacing w:after="40"/>
        <w:jc w:val="center"/>
      </w:pPr>
      <w:r>
        <w:drawing>
          <wp:inline xmlns:a="http://schemas.openxmlformats.org/drawingml/2006/main" xmlns:pic="http://schemas.openxmlformats.org/drawingml/2006/picture">
            <wp:extent cx="5669280" cy="8026802"/>
            <wp:docPr id="93" name="Picture 93"/>
            <wp:cNvGraphicFramePr>
              <a:graphicFrameLocks noChangeAspect="1"/>
            </wp:cNvGraphicFramePr>
            <a:graphic>
              <a:graphicData uri="http://schemas.openxmlformats.org/drawingml/2006/picture">
                <pic:pic>
                  <pic:nvPicPr>
                    <pic:cNvPr id="0" name="sheet-21.png"/>
                    <pic:cNvPicPr/>
                  </pic:nvPicPr>
                  <pic:blipFill>
                    <a:blip r:embed="rId103"/>
                    <a:stretch>
                      <a:fillRect/>
                    </a:stretch>
                  </pic:blipFill>
                  <pic:spPr>
                    <a:xfrm>
                      <a:off x="0" y="0"/>
                      <a:ext cx="5669280" cy="8026802"/>
                    </a:xfrm>
                    <a:prstGeom prst="rect"/>
                  </pic:spPr>
                </pic:pic>
              </a:graphicData>
            </a:graphic>
          </wp:inline>
        </w:drawing>
      </w:r>
    </w:p>
    <w:p>
      <w:r>
        <w:br w:type="page"/>
      </w:r>
    </w:p>
    <w:p>
      <w:pPr>
        <w:spacing w:after="40"/>
        <w:jc w:val="center"/>
      </w:pPr>
      <w:r>
        <w:drawing>
          <wp:inline xmlns:a="http://schemas.openxmlformats.org/drawingml/2006/main" xmlns:pic="http://schemas.openxmlformats.org/drawingml/2006/picture">
            <wp:extent cx="5669280" cy="8026802"/>
            <wp:docPr id="94" name="Picture 94"/>
            <wp:cNvGraphicFramePr>
              <a:graphicFrameLocks noChangeAspect="1"/>
            </wp:cNvGraphicFramePr>
            <a:graphic>
              <a:graphicData uri="http://schemas.openxmlformats.org/drawingml/2006/picture">
                <pic:pic>
                  <pic:nvPicPr>
                    <pic:cNvPr id="0" name="sheet-22.png"/>
                    <pic:cNvPicPr/>
                  </pic:nvPicPr>
                  <pic:blipFill>
                    <a:blip r:embed="rId104"/>
                    <a:stretch>
                      <a:fillRect/>
                    </a:stretch>
                  </pic:blipFill>
                  <pic:spPr>
                    <a:xfrm>
                      <a:off x="0" y="0"/>
                      <a:ext cx="5669280" cy="8026802"/>
                    </a:xfrm>
                    <a:prstGeom prst="rect"/>
                  </pic:spPr>
                </pic:pic>
              </a:graphicData>
            </a:graphic>
          </wp:inline>
        </w:drawing>
      </w:r>
    </w:p>
    <w:p>
      <w:r>
        <w:br w:type="page"/>
      </w:r>
    </w:p>
    <w:p>
      <w:pPr>
        <w:spacing w:after="40"/>
        <w:jc w:val="center"/>
      </w:pPr>
      <w:r>
        <w:drawing>
          <wp:inline xmlns:a="http://schemas.openxmlformats.org/drawingml/2006/main" xmlns:pic="http://schemas.openxmlformats.org/drawingml/2006/picture">
            <wp:extent cx="5669280" cy="8026802"/>
            <wp:docPr id="95" name="Picture 95"/>
            <wp:cNvGraphicFramePr>
              <a:graphicFrameLocks noChangeAspect="1"/>
            </wp:cNvGraphicFramePr>
            <a:graphic>
              <a:graphicData uri="http://schemas.openxmlformats.org/drawingml/2006/picture">
                <pic:pic>
                  <pic:nvPicPr>
                    <pic:cNvPr id="0" name="sheet-23.png"/>
                    <pic:cNvPicPr/>
                  </pic:nvPicPr>
                  <pic:blipFill>
                    <a:blip r:embed="rId105"/>
                    <a:stretch>
                      <a:fillRect/>
                    </a:stretch>
                  </pic:blipFill>
                  <pic:spPr>
                    <a:xfrm>
                      <a:off x="0" y="0"/>
                      <a:ext cx="5669280" cy="8026802"/>
                    </a:xfrm>
                    <a:prstGeom prst="rect"/>
                  </pic:spPr>
                </pic:pic>
              </a:graphicData>
            </a:graphic>
          </wp:inline>
        </w:drawing>
      </w:r>
    </w:p>
    <w:p>
      <w:r>
        <w:br w:type="page"/>
      </w:r>
    </w:p>
    <w:p>
      <w:pPr>
        <w:pStyle w:val="Heading4"/>
      </w:pPr>
      <w:r>
        <w:t>2.6.a.8 PCB layout</w:t>
      </w:r>
    </w:p>
    <w:p>
      <w:pPr>
        <w:spacing w:after="120"/>
      </w:pPr>
      <w:r>
        <w:rPr>
          <w:b w:val="0"/>
          <w:i w:val="0"/>
          <w:color w:val="262321"/>
          <w:sz w:val="20"/>
        </w:rPr>
        <w:t>The layout of the GLD main board is presented in ten views generated from the EasyEDA PCB file of the same project. Each view highlights one aspect required by item 2.6.a.8; numbered markers on the view correspond to the legend printed below it.</w:t>
      </w:r>
    </w:p>
    <w:p>
      <w:pPr>
        <w:spacing w:after="80"/>
      </w:pPr>
      <w:r>
        <w:rPr>
          <w:b/>
          <w:i w:val="0"/>
          <w:color w:val="1B335F"/>
          <w:sz w:val="24"/>
        </w:rPr>
        <w:t>Board data</w:t>
      </w:r>
    </w:p>
    <w:tbl>
      <w:tblPr>
        <w:tblStyle w:val="TableGrid"/>
        <w:tblW w:type="auto" w:w="0"/>
        <w:jc w:val="center"/>
        <w:tblLayout w:type="fixed"/>
        <w:tblLook w:firstColumn="1" w:firstRow="1" w:lastColumn="0" w:lastRow="0" w:noHBand="0" w:noVBand="1" w:val="04A0"/>
        <w:tblLayout w:type="fixed"/>
      </w:tblPr>
      <w:tblGrid>
        <w:gridCol w:w="2304"/>
        <w:gridCol w:w="4176"/>
        <w:gridCol w:w="3024"/>
      </w:tblGrid>
      <w:tr>
        <w:trPr>
          <w:tblHeader w:val="true"/>
        </w:trPr>
        <w:tc>
          <w:tcPr>
            <w:tcW w:type="dxa" w:w="2304"/>
            <w:shd w:val="clear" w:fill="EAEFF9"/>
          </w:tcPr>
          <w:p>
            <w:pPr>
              <w:spacing w:after="20"/>
            </w:pPr>
            <w:r>
              <w:rPr>
                <w:b/>
                <w:color w:val="1B335F"/>
                <w:sz w:val="17"/>
              </w:rPr>
              <w:t>Parameter</w:t>
            </w:r>
          </w:p>
        </w:tc>
        <w:tc>
          <w:tcPr>
            <w:tcW w:type="dxa" w:w="4176"/>
            <w:shd w:val="clear" w:fill="EAEFF9"/>
          </w:tcPr>
          <w:p>
            <w:pPr>
              <w:spacing w:after="20"/>
            </w:pPr>
            <w:r>
              <w:rPr>
                <w:b/>
                <w:color w:val="1B335F"/>
                <w:sz w:val="17"/>
              </w:rPr>
              <w:t>Value</w:t>
            </w:r>
          </w:p>
        </w:tc>
        <w:tc>
          <w:tcPr>
            <w:tcW w:type="dxa" w:w="3024"/>
            <w:shd w:val="clear" w:fill="EAEFF9"/>
          </w:tcPr>
          <w:p>
            <w:pPr>
              <w:spacing w:after="20"/>
            </w:pPr>
            <w:r>
              <w:rPr>
                <w:b/>
                <w:color w:val="1B335F"/>
                <w:sz w:val="17"/>
              </w:rPr>
              <w:t>Source / status</w:t>
            </w:r>
          </w:p>
        </w:tc>
      </w:tr>
      <w:tr>
        <w:trPr>
          <w:cantSplit/>
        </w:trPr>
        <w:tc>
          <w:tcPr>
            <w:tcW w:type="dxa" w:w="2304"/>
          </w:tcPr>
          <w:p>
            <w:pPr>
              <w:spacing w:after="20" w:before="20"/>
            </w:pPr>
            <w:r>
              <w:rPr>
                <w:b/>
                <w:sz w:val="17"/>
              </w:rPr>
              <w:t>Board name</w:t>
            </w:r>
          </w:p>
        </w:tc>
        <w:tc>
          <w:tcPr>
            <w:tcW w:type="dxa" w:w="4176"/>
          </w:tcPr>
          <w:p>
            <w:pPr>
              <w:spacing w:after="20" w:before="20"/>
            </w:pPr>
            <w:r>
              <w:rPr>
                <w:sz w:val="17"/>
              </w:rPr>
              <w:t>Main Board GLD (MotherBoardGLDVer2)</w:t>
            </w:r>
          </w:p>
        </w:tc>
        <w:tc>
          <w:tcPr>
            <w:tcW w:type="dxa" w:w="3024"/>
          </w:tcPr>
          <w:p>
            <w:pPr>
              <w:spacing w:after="20" w:before="20"/>
            </w:pPr>
            <w:r>
              <w:rPr>
                <w:sz w:val="17"/>
              </w:rPr>
              <w:t>Layout file</w:t>
            </w:r>
          </w:p>
        </w:tc>
      </w:tr>
      <w:tr>
        <w:trPr>
          <w:cantSplit/>
        </w:trPr>
        <w:tc>
          <w:tcPr>
            <w:tcW w:type="dxa" w:w="2304"/>
          </w:tcPr>
          <w:p>
            <w:pPr>
              <w:spacing w:after="20" w:before="20"/>
            </w:pPr>
            <w:r>
              <w:rPr>
                <w:b/>
                <w:sz w:val="17"/>
              </w:rPr>
              <w:t>Board outline</w:t>
            </w:r>
          </w:p>
        </w:tc>
        <w:tc>
          <w:tcPr>
            <w:tcW w:type="dxa" w:w="4176"/>
          </w:tcPr>
          <w:p>
            <w:pPr>
              <w:spacing w:after="20" w:before="20"/>
            </w:pPr>
            <w:r>
              <w:rPr>
                <w:sz w:val="17"/>
              </w:rPr>
              <w:t>Circular, Ø 84.0 mm</w:t>
            </w:r>
          </w:p>
        </w:tc>
        <w:tc>
          <w:tcPr>
            <w:tcW w:type="dxa" w:w="3024"/>
          </w:tcPr>
          <w:p>
            <w:pPr>
              <w:spacing w:after="20" w:before="20"/>
            </w:pPr>
            <w:r>
              <w:rPr>
                <w:sz w:val="17"/>
              </w:rPr>
              <w:t>Dimension in view 04</w:t>
            </w:r>
          </w:p>
        </w:tc>
      </w:tr>
      <w:tr>
        <w:trPr>
          <w:cantSplit/>
        </w:trPr>
        <w:tc>
          <w:tcPr>
            <w:tcW w:type="dxa" w:w="2304"/>
          </w:tcPr>
          <w:p>
            <w:pPr>
              <w:spacing w:after="20" w:before="20"/>
            </w:pPr>
            <w:r>
              <w:rPr>
                <w:b/>
                <w:sz w:val="17"/>
              </w:rPr>
              <w:t>Copper layers</w:t>
            </w:r>
          </w:p>
        </w:tc>
        <w:tc>
          <w:tcPr>
            <w:tcW w:type="dxa" w:w="4176"/>
          </w:tcPr>
          <w:p>
            <w:pPr>
              <w:spacing w:after="20" w:before="20"/>
            </w:pPr>
            <w:r>
              <w:rPr>
                <w:sz w:val="17"/>
              </w:rPr>
              <w:t>Top and bottom (two views of copper)</w:t>
            </w:r>
          </w:p>
        </w:tc>
        <w:tc>
          <w:tcPr>
            <w:tcW w:type="dxa" w:w="3024"/>
          </w:tcPr>
          <w:p>
            <w:pPr>
              <w:spacing w:after="20" w:before="20"/>
            </w:pPr>
            <w:r>
              <w:rPr>
                <w:sz w:val="17"/>
              </w:rPr>
              <w:t>Views 01, 02</w:t>
            </w:r>
          </w:p>
        </w:tc>
      </w:tr>
      <w:tr>
        <w:trPr>
          <w:cantSplit/>
        </w:trPr>
        <w:tc>
          <w:tcPr>
            <w:tcW w:type="dxa" w:w="2304"/>
          </w:tcPr>
          <w:p>
            <w:pPr>
              <w:spacing w:after="20" w:before="20"/>
            </w:pPr>
            <w:r>
              <w:rPr>
                <w:b/>
                <w:sz w:val="17"/>
              </w:rPr>
              <w:t>Component side</w:t>
            </w:r>
          </w:p>
        </w:tc>
        <w:tc>
          <w:tcPr>
            <w:tcW w:type="dxa" w:w="4176"/>
          </w:tcPr>
          <w:p>
            <w:pPr>
              <w:spacing w:after="20" w:before="20"/>
            </w:pPr>
            <w:r>
              <w:rPr>
                <w:sz w:val="17"/>
              </w:rPr>
              <w:t>All SMD parts on top; only through-hole connectors pass to the bottom</w:t>
            </w:r>
          </w:p>
        </w:tc>
        <w:tc>
          <w:tcPr>
            <w:tcW w:type="dxa" w:w="3024"/>
          </w:tcPr>
          <w:p>
            <w:pPr>
              <w:spacing w:after="20" w:before="20"/>
            </w:pPr>
            <w:r>
              <w:rPr>
                <w:sz w:val="17"/>
              </w:rPr>
              <w:t>View 02</w:t>
            </w:r>
          </w:p>
        </w:tc>
      </w:tr>
      <w:tr>
        <w:trPr>
          <w:cantSplit/>
        </w:trPr>
        <w:tc>
          <w:tcPr>
            <w:tcW w:type="dxa" w:w="2304"/>
          </w:tcPr>
          <w:p>
            <w:pPr>
              <w:spacing w:after="20" w:before="20"/>
            </w:pPr>
            <w:r>
              <w:rPr>
                <w:b/>
                <w:sz w:val="17"/>
              </w:rPr>
              <w:t>Enclosure fixing holes</w:t>
            </w:r>
          </w:p>
        </w:tc>
        <w:tc>
          <w:tcPr>
            <w:tcW w:type="dxa" w:w="4176"/>
          </w:tcPr>
          <w:p>
            <w:pPr>
              <w:spacing w:after="20" w:before="20"/>
            </w:pPr>
            <w:r>
              <w:rPr>
                <w:sz w:val="17"/>
              </w:rPr>
              <w:t>4 × Ø 3.2 mm on Ø 64 mm pitch circle, at (0, +32), (+32, 0), (0, −32), (−32, 0) mm from centre</w:t>
            </w:r>
          </w:p>
        </w:tc>
        <w:tc>
          <w:tcPr>
            <w:tcW w:type="dxa" w:w="3024"/>
          </w:tcPr>
          <w:p>
            <w:pPr>
              <w:spacing w:after="20" w:before="20"/>
            </w:pPr>
            <w:r>
              <w:rPr>
                <w:sz w:val="17"/>
              </w:rPr>
              <w:t>View 05</w:t>
            </w:r>
          </w:p>
        </w:tc>
      </w:tr>
      <w:tr>
        <w:trPr>
          <w:cantSplit/>
        </w:trPr>
        <w:tc>
          <w:tcPr>
            <w:tcW w:type="dxa" w:w="2304"/>
          </w:tcPr>
          <w:p>
            <w:pPr>
              <w:spacing w:after="20" w:before="20"/>
            </w:pPr>
            <w:r>
              <w:rPr>
                <w:b/>
                <w:sz w:val="17"/>
              </w:rPr>
              <w:t>Additional holes</w:t>
            </w:r>
          </w:p>
        </w:tc>
        <w:tc>
          <w:tcPr>
            <w:tcW w:type="dxa" w:w="4176"/>
          </w:tcPr>
          <w:p>
            <w:pPr>
              <w:spacing w:after="20" w:before="20"/>
            </w:pPr>
            <w:r>
              <w:rPr>
                <w:sz w:val="17"/>
              </w:rPr>
              <w:t>4 × Ø 3.0 mm near the board edge (≈ ±39 mm from centre)</w:t>
            </w:r>
          </w:p>
        </w:tc>
        <w:tc>
          <w:tcPr>
            <w:tcW w:type="dxa" w:w="3024"/>
          </w:tcPr>
          <w:p>
            <w:pPr>
              <w:spacing w:after="20" w:before="20"/>
            </w:pPr>
            <w:r>
              <w:rPr>
                <w:sz w:val="17"/>
              </w:rPr>
              <w:t>View 05 — purpose (casing screw or standoff) to be confirmed against the mechanical drawing</w:t>
            </w:r>
          </w:p>
        </w:tc>
      </w:tr>
      <w:tr>
        <w:trPr>
          <w:cantSplit/>
        </w:trPr>
        <w:tc>
          <w:tcPr>
            <w:tcW w:type="dxa" w:w="2304"/>
          </w:tcPr>
          <w:p>
            <w:pPr>
              <w:spacing w:after="20" w:before="20"/>
            </w:pPr>
            <w:r>
              <w:rPr>
                <w:b/>
                <w:sz w:val="17"/>
              </w:rPr>
              <w:t>Ground</w:t>
            </w:r>
          </w:p>
        </w:tc>
        <w:tc>
          <w:tcPr>
            <w:tcW w:type="dxa" w:w="4176"/>
          </w:tcPr>
          <w:p>
            <w:pPr>
              <w:spacing w:after="20" w:before="20"/>
            </w:pPr>
            <w:r>
              <w:rPr>
                <w:sz w:val="17"/>
              </w:rPr>
              <w:t>GND pour on top and bottom; 176 of 400 vias stitch the GND pours</w:t>
            </w:r>
          </w:p>
        </w:tc>
        <w:tc>
          <w:tcPr>
            <w:tcW w:type="dxa" w:w="3024"/>
          </w:tcPr>
          <w:p>
            <w:pPr>
              <w:spacing w:after="20" w:before="20"/>
            </w:pPr>
            <w:r>
              <w:rPr>
                <w:sz w:val="17"/>
              </w:rPr>
              <w:t>Views 09, 10</w:t>
            </w:r>
          </w:p>
        </w:tc>
      </w:tr>
      <w:tr>
        <w:trPr>
          <w:cantSplit/>
        </w:trPr>
        <w:tc>
          <w:tcPr>
            <w:tcW w:type="dxa" w:w="2304"/>
          </w:tcPr>
          <w:p>
            <w:pPr>
              <w:spacing w:after="20" w:before="20"/>
            </w:pPr>
            <w:r>
              <w:rPr>
                <w:b/>
                <w:sz w:val="17"/>
              </w:rPr>
              <w:t>Laminate, thickness, copper weight</w:t>
            </w:r>
          </w:p>
        </w:tc>
        <w:tc>
          <w:tcPr>
            <w:tcW w:type="dxa" w:w="4176"/>
          </w:tcPr>
          <w:p>
            <w:pPr>
              <w:spacing w:after="20" w:before="20"/>
            </w:pPr>
            <w:r>
              <w:rPr>
                <w:sz w:val="17"/>
              </w:rPr>
              <w:t>Not stated in the layout package</w:t>
            </w:r>
          </w:p>
        </w:tc>
        <w:tc>
          <w:tcPr>
            <w:tcW w:type="dxa" w:w="3024"/>
          </w:tcPr>
          <w:p>
            <w:pPr>
              <w:spacing w:after="20" w:before="20"/>
            </w:pPr>
            <w:r>
              <w:rPr>
                <w:sz w:val="17"/>
              </w:rPr>
              <w:t>To be provided (FR-4 grade, UL 94 rating, Tg, CTI) — see 6.b / 6.c</w:t>
            </w:r>
          </w:p>
        </w:tc>
      </w:tr>
      <w:tr>
        <w:trPr>
          <w:cantSplit/>
        </w:trPr>
        <w:tc>
          <w:tcPr>
            <w:tcW w:type="dxa" w:w="2304"/>
          </w:tcPr>
          <w:p>
            <w:pPr>
              <w:spacing w:after="20" w:before="20"/>
            </w:pPr>
            <w:r>
              <w:rPr>
                <w:b/>
                <w:sz w:val="17"/>
              </w:rPr>
              <w:t>Layout revision / date</w:t>
            </w:r>
          </w:p>
        </w:tc>
        <w:tc>
          <w:tcPr>
            <w:tcW w:type="dxa" w:w="4176"/>
          </w:tcPr>
          <w:p>
            <w:pPr>
              <w:spacing w:after="20" w:before="20"/>
            </w:pPr>
            <w:r>
              <w:rPr>
                <w:sz w:val="17"/>
              </w:rPr>
              <w:t>Not stated in the layout package</w:t>
            </w:r>
          </w:p>
        </w:tc>
        <w:tc>
          <w:tcPr>
            <w:tcW w:type="dxa" w:w="3024"/>
          </w:tcPr>
          <w:p>
            <w:pPr>
              <w:spacing w:after="20" w:before="20"/>
            </w:pPr>
            <w:r>
              <w:rPr>
                <w:sz w:val="17"/>
              </w:rPr>
              <w:t>To be added to the drawing table</w:t>
            </w:r>
          </w:p>
        </w:tc>
      </w:tr>
    </w:tbl>
    <w:p>
      <w:pPr>
        <w:spacing w:after="40"/>
      </w:pPr>
    </w:p>
    <w:p>
      <w:pPr>
        <w:spacing w:after="80"/>
      </w:pPr>
      <w:r>
        <w:rPr>
          <w:b/>
          <w:i w:val="0"/>
          <w:color w:val="1B335F"/>
          <w:sz w:val="24"/>
        </w:rPr>
        <w:t>Drawing register</w:t>
      </w:r>
    </w:p>
    <w:tbl>
      <w:tblPr>
        <w:tblStyle w:val="TableGrid"/>
        <w:tblW w:type="auto" w:w="0"/>
        <w:jc w:val="center"/>
        <w:tblLayout w:type="fixed"/>
        <w:tblLook w:firstColumn="1" w:firstRow="1" w:lastColumn="0" w:lastRow="0" w:noHBand="0" w:noVBand="1" w:val="04A0"/>
        <w:tblLayout w:type="fixed"/>
      </w:tblPr>
      <w:tblGrid>
        <w:gridCol w:w="2520"/>
        <w:gridCol w:w="2880"/>
        <w:gridCol w:w="2808"/>
        <w:gridCol w:w="1296"/>
      </w:tblGrid>
      <w:tr>
        <w:trPr>
          <w:tblHeader w:val="true"/>
        </w:trPr>
        <w:tc>
          <w:tcPr>
            <w:tcW w:type="dxa" w:w="2520"/>
            <w:shd w:val="clear" w:fill="EAEFF9"/>
          </w:tcPr>
          <w:p>
            <w:pPr>
              <w:spacing w:after="20"/>
            </w:pPr>
            <w:r>
              <w:rPr>
                <w:b/>
                <w:color w:val="1B335F"/>
                <w:sz w:val="17"/>
              </w:rPr>
              <w:t>Drawing no.</w:t>
            </w:r>
          </w:p>
        </w:tc>
        <w:tc>
          <w:tcPr>
            <w:tcW w:type="dxa" w:w="2880"/>
            <w:shd w:val="clear" w:fill="EAEFF9"/>
          </w:tcPr>
          <w:p>
            <w:pPr>
              <w:spacing w:after="20"/>
            </w:pPr>
            <w:r>
              <w:rPr>
                <w:b/>
                <w:color w:val="1B335F"/>
                <w:sz w:val="17"/>
              </w:rPr>
              <w:t>Title</w:t>
            </w:r>
          </w:p>
        </w:tc>
        <w:tc>
          <w:tcPr>
            <w:tcW w:type="dxa" w:w="2808"/>
            <w:shd w:val="clear" w:fill="EAEFF9"/>
          </w:tcPr>
          <w:p>
            <w:pPr>
              <w:spacing w:after="20"/>
            </w:pPr>
            <w:r>
              <w:rPr>
                <w:b/>
                <w:color w:val="1B335F"/>
                <w:sz w:val="17"/>
              </w:rPr>
              <w:t>Requirement covered</w:t>
            </w:r>
          </w:p>
        </w:tc>
        <w:tc>
          <w:tcPr>
            <w:tcW w:type="dxa" w:w="1296"/>
            <w:shd w:val="clear" w:fill="EAEFF9"/>
          </w:tcPr>
          <w:p>
            <w:pPr>
              <w:spacing w:after="20"/>
            </w:pPr>
            <w:r>
              <w:rPr>
                <w:b/>
                <w:color w:val="1B335F"/>
                <w:sz w:val="17"/>
              </w:rPr>
              <w:t>Rev / date</w:t>
            </w:r>
          </w:p>
        </w:tc>
      </w:tr>
      <w:tr>
        <w:trPr>
          <w:cantSplit/>
        </w:trPr>
        <w:tc>
          <w:tcPr>
            <w:tcW w:type="dxa" w:w="2520"/>
          </w:tcPr>
          <w:p>
            <w:pPr>
              <w:spacing w:after="20" w:before="20"/>
            </w:pPr>
            <w:r>
              <w:rPr>
                <w:b/>
                <w:sz w:val="17"/>
              </w:rPr>
              <w:t>PGLD-GLD-V4-MB-PCB-01</w:t>
            </w:r>
          </w:p>
        </w:tc>
        <w:tc>
          <w:tcPr>
            <w:tcW w:type="dxa" w:w="2880"/>
          </w:tcPr>
          <w:p>
            <w:pPr>
              <w:spacing w:after="20" w:before="20"/>
            </w:pPr>
            <w:r>
              <w:rPr>
                <w:sz w:val="17"/>
              </w:rPr>
              <w:t>Top layer</w:t>
            </w:r>
          </w:p>
        </w:tc>
        <w:tc>
          <w:tcPr>
            <w:tcW w:type="dxa" w:w="2808"/>
          </w:tcPr>
          <w:p>
            <w:pPr>
              <w:spacing w:after="20" w:before="20"/>
            </w:pPr>
            <w:r>
              <w:rPr>
                <w:sz w:val="17"/>
              </w:rPr>
              <w:t>Top layer</w:t>
            </w:r>
          </w:p>
        </w:tc>
        <w:tc>
          <w:tcPr>
            <w:tcW w:type="dxa" w:w="1296"/>
          </w:tcPr>
          <w:p>
            <w:pPr>
              <w:spacing w:after="20" w:before="20"/>
            </w:pPr>
            <w:r>
              <w:rPr>
                <w:sz w:val="17"/>
              </w:rPr>
              <w:t>TBC</w:t>
            </w:r>
          </w:p>
        </w:tc>
      </w:tr>
      <w:tr>
        <w:trPr>
          <w:cantSplit/>
        </w:trPr>
        <w:tc>
          <w:tcPr>
            <w:tcW w:type="dxa" w:w="2520"/>
          </w:tcPr>
          <w:p>
            <w:pPr>
              <w:spacing w:after="20" w:before="20"/>
            </w:pPr>
            <w:r>
              <w:rPr>
                <w:b/>
                <w:sz w:val="17"/>
              </w:rPr>
              <w:t>PGLD-GLD-V4-MB-PCB-02</w:t>
            </w:r>
          </w:p>
        </w:tc>
        <w:tc>
          <w:tcPr>
            <w:tcW w:type="dxa" w:w="2880"/>
          </w:tcPr>
          <w:p>
            <w:pPr>
              <w:spacing w:after="20" w:before="20"/>
            </w:pPr>
            <w:r>
              <w:rPr>
                <w:sz w:val="17"/>
              </w:rPr>
              <w:t>Bottom layer</w:t>
            </w:r>
          </w:p>
        </w:tc>
        <w:tc>
          <w:tcPr>
            <w:tcW w:type="dxa" w:w="2808"/>
          </w:tcPr>
          <w:p>
            <w:pPr>
              <w:spacing w:after="20" w:before="20"/>
            </w:pPr>
            <w:r>
              <w:rPr>
                <w:sz w:val="17"/>
              </w:rPr>
              <w:t>Bottom layer</w:t>
            </w:r>
          </w:p>
        </w:tc>
        <w:tc>
          <w:tcPr>
            <w:tcW w:type="dxa" w:w="1296"/>
          </w:tcPr>
          <w:p>
            <w:pPr>
              <w:spacing w:after="20" w:before="20"/>
            </w:pPr>
            <w:r>
              <w:rPr>
                <w:sz w:val="17"/>
              </w:rPr>
              <w:t>TBC</w:t>
            </w:r>
          </w:p>
        </w:tc>
      </w:tr>
      <w:tr>
        <w:trPr>
          <w:cantSplit/>
        </w:trPr>
        <w:tc>
          <w:tcPr>
            <w:tcW w:type="dxa" w:w="2520"/>
          </w:tcPr>
          <w:p>
            <w:pPr>
              <w:spacing w:after="20" w:before="20"/>
            </w:pPr>
            <w:r>
              <w:rPr>
                <w:b/>
                <w:sz w:val="17"/>
              </w:rPr>
              <w:t>PGLD-GLD-V4-MB-PCB-03</w:t>
            </w:r>
          </w:p>
        </w:tc>
        <w:tc>
          <w:tcPr>
            <w:tcW w:type="dxa" w:w="2880"/>
          </w:tcPr>
          <w:p>
            <w:pPr>
              <w:spacing w:after="20" w:before="20"/>
            </w:pPr>
            <w:r>
              <w:rPr>
                <w:sz w:val="17"/>
              </w:rPr>
              <w:t>Component placement</w:t>
            </w:r>
          </w:p>
        </w:tc>
        <w:tc>
          <w:tcPr>
            <w:tcW w:type="dxa" w:w="2808"/>
          </w:tcPr>
          <w:p>
            <w:pPr>
              <w:spacing w:after="20" w:before="20"/>
            </w:pPr>
            <w:r>
              <w:rPr>
                <w:sz w:val="17"/>
              </w:rPr>
              <w:t>Component placement</w:t>
            </w:r>
          </w:p>
        </w:tc>
        <w:tc>
          <w:tcPr>
            <w:tcW w:type="dxa" w:w="1296"/>
          </w:tcPr>
          <w:p>
            <w:pPr>
              <w:spacing w:after="20" w:before="20"/>
            </w:pPr>
            <w:r>
              <w:rPr>
                <w:sz w:val="17"/>
              </w:rPr>
              <w:t>TBC</w:t>
            </w:r>
          </w:p>
        </w:tc>
      </w:tr>
      <w:tr>
        <w:trPr>
          <w:cantSplit/>
        </w:trPr>
        <w:tc>
          <w:tcPr>
            <w:tcW w:type="dxa" w:w="2520"/>
          </w:tcPr>
          <w:p>
            <w:pPr>
              <w:spacing w:after="20" w:before="20"/>
            </w:pPr>
            <w:r>
              <w:rPr>
                <w:b/>
                <w:sz w:val="17"/>
              </w:rPr>
              <w:t>PGLD-GLD-V4-MB-PCB-04</w:t>
            </w:r>
          </w:p>
        </w:tc>
        <w:tc>
          <w:tcPr>
            <w:tcW w:type="dxa" w:w="2880"/>
          </w:tcPr>
          <w:p>
            <w:pPr>
              <w:spacing w:after="20" w:before="20"/>
            </w:pPr>
            <w:r>
              <w:rPr>
                <w:sz w:val="17"/>
              </w:rPr>
              <w:t>Board dimensions</w:t>
            </w:r>
          </w:p>
        </w:tc>
        <w:tc>
          <w:tcPr>
            <w:tcW w:type="dxa" w:w="2808"/>
          </w:tcPr>
          <w:p>
            <w:pPr>
              <w:spacing w:after="20" w:before="20"/>
            </w:pPr>
            <w:r>
              <w:rPr>
                <w:sz w:val="17"/>
              </w:rPr>
              <w:t>Board dimensions</w:t>
            </w:r>
          </w:p>
        </w:tc>
        <w:tc>
          <w:tcPr>
            <w:tcW w:type="dxa" w:w="1296"/>
          </w:tcPr>
          <w:p>
            <w:pPr>
              <w:spacing w:after="20" w:before="20"/>
            </w:pPr>
            <w:r>
              <w:rPr>
                <w:sz w:val="17"/>
              </w:rPr>
              <w:t>TBC</w:t>
            </w:r>
          </w:p>
        </w:tc>
      </w:tr>
      <w:tr>
        <w:trPr>
          <w:cantSplit/>
        </w:trPr>
        <w:tc>
          <w:tcPr>
            <w:tcW w:type="dxa" w:w="2520"/>
          </w:tcPr>
          <w:p>
            <w:pPr>
              <w:spacing w:after="20" w:before="20"/>
            </w:pPr>
            <w:r>
              <w:rPr>
                <w:b/>
                <w:sz w:val="17"/>
              </w:rPr>
              <w:t>PGLD-GLD-V4-MB-PCB-05</w:t>
            </w:r>
          </w:p>
        </w:tc>
        <w:tc>
          <w:tcPr>
            <w:tcW w:type="dxa" w:w="2880"/>
          </w:tcPr>
          <w:p>
            <w:pPr>
              <w:spacing w:after="20" w:before="20"/>
            </w:pPr>
            <w:r>
              <w:rPr>
                <w:sz w:val="17"/>
              </w:rPr>
              <w:t>Mounting holes</w:t>
            </w:r>
          </w:p>
        </w:tc>
        <w:tc>
          <w:tcPr>
            <w:tcW w:type="dxa" w:w="2808"/>
          </w:tcPr>
          <w:p>
            <w:pPr>
              <w:spacing w:after="20" w:before="20"/>
            </w:pPr>
            <w:r>
              <w:rPr>
                <w:sz w:val="17"/>
              </w:rPr>
              <w:t>Mounting holes</w:t>
            </w:r>
          </w:p>
        </w:tc>
        <w:tc>
          <w:tcPr>
            <w:tcW w:type="dxa" w:w="1296"/>
          </w:tcPr>
          <w:p>
            <w:pPr>
              <w:spacing w:after="20" w:before="20"/>
            </w:pPr>
            <w:r>
              <w:rPr>
                <w:sz w:val="17"/>
              </w:rPr>
              <w:t>TBC</w:t>
            </w:r>
          </w:p>
        </w:tc>
      </w:tr>
      <w:tr>
        <w:trPr>
          <w:cantSplit/>
        </w:trPr>
        <w:tc>
          <w:tcPr>
            <w:tcW w:type="dxa" w:w="2520"/>
          </w:tcPr>
          <w:p>
            <w:pPr>
              <w:spacing w:after="20" w:before="20"/>
            </w:pPr>
            <w:r>
              <w:rPr>
                <w:b/>
                <w:sz w:val="17"/>
              </w:rPr>
              <w:t>PGLD-GLD-V4-MB-PCB-06</w:t>
            </w:r>
          </w:p>
        </w:tc>
        <w:tc>
          <w:tcPr>
            <w:tcW w:type="dxa" w:w="2880"/>
          </w:tcPr>
          <w:p>
            <w:pPr>
              <w:spacing w:after="20" w:before="20"/>
            </w:pPr>
            <w:r>
              <w:rPr>
                <w:sz w:val="17"/>
              </w:rPr>
              <w:t>Connectors</w:t>
            </w:r>
          </w:p>
        </w:tc>
        <w:tc>
          <w:tcPr>
            <w:tcW w:type="dxa" w:w="2808"/>
          </w:tcPr>
          <w:p>
            <w:pPr>
              <w:spacing w:after="20" w:before="20"/>
            </w:pPr>
            <w:r>
              <w:rPr>
                <w:sz w:val="17"/>
              </w:rPr>
              <w:t>Connectors</w:t>
            </w:r>
          </w:p>
        </w:tc>
        <w:tc>
          <w:tcPr>
            <w:tcW w:type="dxa" w:w="1296"/>
          </w:tcPr>
          <w:p>
            <w:pPr>
              <w:spacing w:after="20" w:before="20"/>
            </w:pPr>
            <w:r>
              <w:rPr>
                <w:sz w:val="17"/>
              </w:rPr>
              <w:t>TBC</w:t>
            </w:r>
          </w:p>
        </w:tc>
      </w:tr>
      <w:tr>
        <w:trPr>
          <w:cantSplit/>
        </w:trPr>
        <w:tc>
          <w:tcPr>
            <w:tcW w:type="dxa" w:w="2520"/>
          </w:tcPr>
          <w:p>
            <w:pPr>
              <w:spacing w:after="20" w:before="20"/>
            </w:pPr>
            <w:r>
              <w:rPr>
                <w:b/>
                <w:sz w:val="17"/>
              </w:rPr>
              <w:t>PGLD-GLD-V4-MB-PCB-07</w:t>
            </w:r>
          </w:p>
        </w:tc>
        <w:tc>
          <w:tcPr>
            <w:tcW w:type="dxa" w:w="2880"/>
          </w:tcPr>
          <w:p>
            <w:pPr>
              <w:spacing w:after="20" w:before="20"/>
            </w:pPr>
            <w:r>
              <w:rPr>
                <w:sz w:val="17"/>
              </w:rPr>
              <w:t>High-current / power area</w:t>
            </w:r>
          </w:p>
        </w:tc>
        <w:tc>
          <w:tcPr>
            <w:tcW w:type="dxa" w:w="2808"/>
          </w:tcPr>
          <w:p>
            <w:pPr>
              <w:spacing w:after="20" w:before="20"/>
            </w:pPr>
            <w:r>
              <w:rPr>
                <w:sz w:val="17"/>
              </w:rPr>
              <w:t>High-current / power area</w:t>
            </w:r>
          </w:p>
        </w:tc>
        <w:tc>
          <w:tcPr>
            <w:tcW w:type="dxa" w:w="1296"/>
          </w:tcPr>
          <w:p>
            <w:pPr>
              <w:spacing w:after="20" w:before="20"/>
            </w:pPr>
            <w:r>
              <w:rPr>
                <w:sz w:val="17"/>
              </w:rPr>
              <w:t>TBC</w:t>
            </w:r>
          </w:p>
        </w:tc>
      </w:tr>
      <w:tr>
        <w:trPr>
          <w:cantSplit/>
        </w:trPr>
        <w:tc>
          <w:tcPr>
            <w:tcW w:type="dxa" w:w="2520"/>
          </w:tcPr>
          <w:p>
            <w:pPr>
              <w:spacing w:after="20" w:before="20"/>
            </w:pPr>
            <w:r>
              <w:rPr>
                <w:b/>
                <w:sz w:val="17"/>
              </w:rPr>
              <w:t>PGLD-GLD-V4-MB-PCB-08</w:t>
            </w:r>
          </w:p>
        </w:tc>
        <w:tc>
          <w:tcPr>
            <w:tcW w:type="dxa" w:w="2880"/>
          </w:tcPr>
          <w:p>
            <w:pPr>
              <w:spacing w:after="20" w:before="20"/>
            </w:pPr>
            <w:r>
              <w:rPr>
                <w:sz w:val="17"/>
              </w:rPr>
              <w:t>Sensor interface</w:t>
            </w:r>
          </w:p>
        </w:tc>
        <w:tc>
          <w:tcPr>
            <w:tcW w:type="dxa" w:w="2808"/>
          </w:tcPr>
          <w:p>
            <w:pPr>
              <w:spacing w:after="20" w:before="20"/>
            </w:pPr>
            <w:r>
              <w:rPr>
                <w:sz w:val="17"/>
              </w:rPr>
              <w:t>Sensor interface</w:t>
            </w:r>
          </w:p>
        </w:tc>
        <w:tc>
          <w:tcPr>
            <w:tcW w:type="dxa" w:w="1296"/>
          </w:tcPr>
          <w:p>
            <w:pPr>
              <w:spacing w:after="20" w:before="20"/>
            </w:pPr>
            <w:r>
              <w:rPr>
                <w:sz w:val="17"/>
              </w:rPr>
              <w:t>TBC</w:t>
            </w:r>
          </w:p>
        </w:tc>
      </w:tr>
      <w:tr>
        <w:trPr>
          <w:cantSplit/>
        </w:trPr>
        <w:tc>
          <w:tcPr>
            <w:tcW w:type="dxa" w:w="2520"/>
          </w:tcPr>
          <w:p>
            <w:pPr>
              <w:spacing w:after="20" w:before="20"/>
            </w:pPr>
            <w:r>
              <w:rPr>
                <w:b/>
                <w:sz w:val="17"/>
              </w:rPr>
              <w:t>PGLD-GLD-V4-MB-PCB-09</w:t>
            </w:r>
          </w:p>
        </w:tc>
        <w:tc>
          <w:tcPr>
            <w:tcW w:type="dxa" w:w="2880"/>
          </w:tcPr>
          <w:p>
            <w:pPr>
              <w:spacing w:after="20" w:before="20"/>
            </w:pPr>
            <w:r>
              <w:rPr>
                <w:sz w:val="17"/>
              </w:rPr>
              <w:t>Grounding arrangement — top</w:t>
            </w:r>
          </w:p>
        </w:tc>
        <w:tc>
          <w:tcPr>
            <w:tcW w:type="dxa" w:w="2808"/>
          </w:tcPr>
          <w:p>
            <w:pPr>
              <w:spacing w:after="20" w:before="20"/>
            </w:pPr>
            <w:r>
              <w:rPr>
                <w:sz w:val="17"/>
              </w:rPr>
              <w:t>Grounding arrangement</w:t>
            </w:r>
          </w:p>
        </w:tc>
        <w:tc>
          <w:tcPr>
            <w:tcW w:type="dxa" w:w="1296"/>
          </w:tcPr>
          <w:p>
            <w:pPr>
              <w:spacing w:after="20" w:before="20"/>
            </w:pPr>
            <w:r>
              <w:rPr>
                <w:sz w:val="17"/>
              </w:rPr>
              <w:t>TBC</w:t>
            </w:r>
          </w:p>
        </w:tc>
      </w:tr>
      <w:tr>
        <w:trPr>
          <w:cantSplit/>
        </w:trPr>
        <w:tc>
          <w:tcPr>
            <w:tcW w:type="dxa" w:w="2520"/>
          </w:tcPr>
          <w:p>
            <w:pPr>
              <w:spacing w:after="20" w:before="20"/>
            </w:pPr>
            <w:r>
              <w:rPr>
                <w:b/>
                <w:sz w:val="17"/>
              </w:rPr>
              <w:t>PGLD-GLD-V4-MB-PCB-10</w:t>
            </w:r>
          </w:p>
        </w:tc>
        <w:tc>
          <w:tcPr>
            <w:tcW w:type="dxa" w:w="2880"/>
          </w:tcPr>
          <w:p>
            <w:pPr>
              <w:spacing w:after="20" w:before="20"/>
            </w:pPr>
            <w:r>
              <w:rPr>
                <w:sz w:val="17"/>
              </w:rPr>
              <w:t>Grounding arrangement — bottom</w:t>
            </w:r>
          </w:p>
        </w:tc>
        <w:tc>
          <w:tcPr>
            <w:tcW w:type="dxa" w:w="2808"/>
          </w:tcPr>
          <w:p>
            <w:pPr>
              <w:spacing w:after="20" w:before="20"/>
            </w:pPr>
            <w:r>
              <w:rPr>
                <w:sz w:val="17"/>
              </w:rPr>
              <w:t>Grounding arrangement</w:t>
            </w:r>
          </w:p>
        </w:tc>
        <w:tc>
          <w:tcPr>
            <w:tcW w:type="dxa" w:w="1296"/>
          </w:tcPr>
          <w:p>
            <w:pPr>
              <w:spacing w:after="20" w:before="20"/>
            </w:pPr>
            <w:r>
              <w:rPr>
                <w:sz w:val="17"/>
              </w:rPr>
              <w:t>TBC</w:t>
            </w:r>
          </w:p>
        </w:tc>
      </w:tr>
    </w:tbl>
    <w:p>
      <w:pPr>
        <w:spacing w:after="40"/>
      </w:pPr>
    </w:p>
    <w:p>
      <w:pPr>
        <w:spacing w:after="80"/>
      </w:pPr>
      <w:r>
        <w:rPr>
          <w:b/>
          <w:i w:val="0"/>
          <w:color w:val="1B335F"/>
          <w:sz w:val="24"/>
        </w:rPr>
        <w:t>Coverage of the required layout content</w:t>
      </w:r>
    </w:p>
    <w:tbl>
      <w:tblPr>
        <w:tblStyle w:val="TableGrid"/>
        <w:tblW w:type="auto" w:w="0"/>
        <w:jc w:val="center"/>
        <w:tblLayout w:type="fixed"/>
        <w:tblLook w:firstColumn="1" w:firstRow="1" w:lastColumn="0" w:lastRow="0" w:noHBand="0" w:noVBand="1" w:val="04A0"/>
        <w:tblLayout w:type="fixed"/>
      </w:tblPr>
      <w:tblGrid>
        <w:gridCol w:w="3311"/>
        <w:gridCol w:w="2304"/>
        <w:gridCol w:w="3888"/>
      </w:tblGrid>
      <w:tr>
        <w:trPr>
          <w:tblHeader w:val="true"/>
        </w:trPr>
        <w:tc>
          <w:tcPr>
            <w:tcW w:type="dxa" w:w="3312"/>
            <w:shd w:val="clear" w:fill="EAEFF9"/>
          </w:tcPr>
          <w:p>
            <w:pPr>
              <w:spacing w:after="20"/>
            </w:pPr>
            <w:r>
              <w:rPr>
                <w:b/>
                <w:color w:val="1B335F"/>
                <w:sz w:val="17"/>
              </w:rPr>
              <w:t>Required content (2.6.a.8)</w:t>
            </w:r>
          </w:p>
        </w:tc>
        <w:tc>
          <w:tcPr>
            <w:tcW w:type="dxa" w:w="2304"/>
            <w:shd w:val="clear" w:fill="EAEFF9"/>
          </w:tcPr>
          <w:p>
            <w:pPr>
              <w:spacing w:after="20"/>
            </w:pPr>
            <w:r>
              <w:rPr>
                <w:b/>
                <w:color w:val="1B335F"/>
                <w:sz w:val="17"/>
              </w:rPr>
              <w:t>Where shown</w:t>
            </w:r>
          </w:p>
        </w:tc>
        <w:tc>
          <w:tcPr>
            <w:tcW w:type="dxa" w:w="3888"/>
            <w:shd w:val="clear" w:fill="EAEFF9"/>
          </w:tcPr>
          <w:p>
            <w:pPr>
              <w:spacing w:after="20"/>
            </w:pPr>
            <w:r>
              <w:rPr>
                <w:b/>
                <w:color w:val="1B335F"/>
                <w:sz w:val="17"/>
              </w:rPr>
              <w:t>Status</w:t>
            </w:r>
          </w:p>
        </w:tc>
      </w:tr>
      <w:tr>
        <w:trPr>
          <w:cantSplit/>
        </w:trPr>
        <w:tc>
          <w:tcPr>
            <w:tcW w:type="dxa" w:w="3312"/>
          </w:tcPr>
          <w:p>
            <w:pPr>
              <w:spacing w:after="20" w:before="20"/>
            </w:pPr>
            <w:r>
              <w:rPr>
                <w:b/>
                <w:sz w:val="17"/>
              </w:rPr>
              <w:t>Top layer</w:t>
            </w:r>
          </w:p>
        </w:tc>
        <w:tc>
          <w:tcPr>
            <w:tcW w:type="dxa" w:w="2304"/>
          </w:tcPr>
          <w:p>
            <w:pPr>
              <w:spacing w:after="20" w:before="20"/>
            </w:pPr>
            <w:r>
              <w:rPr>
                <w:sz w:val="17"/>
              </w:rPr>
              <w:t>View 01</w:t>
            </w:r>
          </w:p>
        </w:tc>
        <w:tc>
          <w:tcPr>
            <w:tcW w:type="dxa" w:w="3888"/>
          </w:tcPr>
          <w:p>
            <w:pPr>
              <w:spacing w:after="20" w:before="20"/>
            </w:pPr>
            <w:r>
              <w:rPr>
                <w:sz w:val="17"/>
              </w:rPr>
              <w:t>Provided</w:t>
            </w:r>
          </w:p>
        </w:tc>
      </w:tr>
      <w:tr>
        <w:trPr>
          <w:cantSplit/>
        </w:trPr>
        <w:tc>
          <w:tcPr>
            <w:tcW w:type="dxa" w:w="3312"/>
          </w:tcPr>
          <w:p>
            <w:pPr>
              <w:spacing w:after="20" w:before="20"/>
            </w:pPr>
            <w:r>
              <w:rPr>
                <w:b/>
                <w:sz w:val="17"/>
              </w:rPr>
              <w:t>Bottom layer</w:t>
            </w:r>
          </w:p>
        </w:tc>
        <w:tc>
          <w:tcPr>
            <w:tcW w:type="dxa" w:w="2304"/>
          </w:tcPr>
          <w:p>
            <w:pPr>
              <w:spacing w:after="20" w:before="20"/>
            </w:pPr>
            <w:r>
              <w:rPr>
                <w:sz w:val="17"/>
              </w:rPr>
              <w:t>View 02</w:t>
            </w:r>
          </w:p>
        </w:tc>
        <w:tc>
          <w:tcPr>
            <w:tcW w:type="dxa" w:w="3888"/>
          </w:tcPr>
          <w:p>
            <w:pPr>
              <w:spacing w:after="20" w:before="20"/>
            </w:pPr>
            <w:r>
              <w:rPr>
                <w:sz w:val="17"/>
              </w:rPr>
              <w:t>Provided</w:t>
            </w:r>
          </w:p>
        </w:tc>
      </w:tr>
      <w:tr>
        <w:trPr>
          <w:cantSplit/>
        </w:trPr>
        <w:tc>
          <w:tcPr>
            <w:tcW w:type="dxa" w:w="3312"/>
          </w:tcPr>
          <w:p>
            <w:pPr>
              <w:spacing w:after="20" w:before="20"/>
            </w:pPr>
            <w:r>
              <w:rPr>
                <w:b/>
                <w:sz w:val="17"/>
              </w:rPr>
              <w:t>Component placement</w:t>
            </w:r>
          </w:p>
        </w:tc>
        <w:tc>
          <w:tcPr>
            <w:tcW w:type="dxa" w:w="2304"/>
          </w:tcPr>
          <w:p>
            <w:pPr>
              <w:spacing w:after="20" w:before="20"/>
            </w:pPr>
            <w:r>
              <w:rPr>
                <w:sz w:val="17"/>
              </w:rPr>
              <w:t>View 03</w:t>
            </w:r>
          </w:p>
        </w:tc>
        <w:tc>
          <w:tcPr>
            <w:tcW w:type="dxa" w:w="3888"/>
          </w:tcPr>
          <w:p>
            <w:pPr>
              <w:spacing w:after="20" w:before="20"/>
            </w:pPr>
            <w:r>
              <w:rPr>
                <w:sz w:val="17"/>
              </w:rPr>
              <w:t>Provided</w:t>
            </w:r>
          </w:p>
        </w:tc>
      </w:tr>
      <w:tr>
        <w:trPr>
          <w:cantSplit/>
        </w:trPr>
        <w:tc>
          <w:tcPr>
            <w:tcW w:type="dxa" w:w="3312"/>
          </w:tcPr>
          <w:p>
            <w:pPr>
              <w:spacing w:after="20" w:before="20"/>
            </w:pPr>
            <w:r>
              <w:rPr>
                <w:b/>
                <w:sz w:val="17"/>
              </w:rPr>
              <w:t>Board dimensions</w:t>
            </w:r>
          </w:p>
        </w:tc>
        <w:tc>
          <w:tcPr>
            <w:tcW w:type="dxa" w:w="2304"/>
          </w:tcPr>
          <w:p>
            <w:pPr>
              <w:spacing w:after="20" w:before="20"/>
            </w:pPr>
            <w:r>
              <w:rPr>
                <w:sz w:val="17"/>
              </w:rPr>
              <w:t>View 04</w:t>
            </w:r>
          </w:p>
        </w:tc>
        <w:tc>
          <w:tcPr>
            <w:tcW w:type="dxa" w:w="3888"/>
          </w:tcPr>
          <w:p>
            <w:pPr>
              <w:spacing w:after="20" w:before="20"/>
            </w:pPr>
            <w:r>
              <w:rPr>
                <w:sz w:val="17"/>
              </w:rPr>
              <w:t>Provided</w:t>
            </w:r>
          </w:p>
        </w:tc>
      </w:tr>
      <w:tr>
        <w:trPr>
          <w:cantSplit/>
        </w:trPr>
        <w:tc>
          <w:tcPr>
            <w:tcW w:type="dxa" w:w="3312"/>
          </w:tcPr>
          <w:p>
            <w:pPr>
              <w:spacing w:after="20" w:before="20"/>
            </w:pPr>
            <w:r>
              <w:rPr>
                <w:b/>
                <w:sz w:val="17"/>
              </w:rPr>
              <w:t>Mounting holes</w:t>
            </w:r>
          </w:p>
        </w:tc>
        <w:tc>
          <w:tcPr>
            <w:tcW w:type="dxa" w:w="2304"/>
          </w:tcPr>
          <w:p>
            <w:pPr>
              <w:spacing w:after="20" w:before="20"/>
            </w:pPr>
            <w:r>
              <w:rPr>
                <w:sz w:val="17"/>
              </w:rPr>
              <w:t>View 05</w:t>
            </w:r>
          </w:p>
        </w:tc>
        <w:tc>
          <w:tcPr>
            <w:tcW w:type="dxa" w:w="3888"/>
          </w:tcPr>
          <w:p>
            <w:pPr>
              <w:spacing w:after="20" w:before="20"/>
            </w:pPr>
            <w:r>
              <w:rPr>
                <w:sz w:val="17"/>
              </w:rPr>
              <w:t>Provided — purpose of 4 × Ø 3.0 mm holes to confirm</w:t>
            </w:r>
          </w:p>
        </w:tc>
      </w:tr>
      <w:tr>
        <w:trPr>
          <w:cantSplit/>
        </w:trPr>
        <w:tc>
          <w:tcPr>
            <w:tcW w:type="dxa" w:w="3312"/>
          </w:tcPr>
          <w:p>
            <w:pPr>
              <w:spacing w:after="20" w:before="20"/>
            </w:pPr>
            <w:r>
              <w:rPr>
                <w:b/>
                <w:sz w:val="17"/>
              </w:rPr>
              <w:t>Connectors</w:t>
            </w:r>
          </w:p>
        </w:tc>
        <w:tc>
          <w:tcPr>
            <w:tcW w:type="dxa" w:w="2304"/>
          </w:tcPr>
          <w:p>
            <w:pPr>
              <w:spacing w:after="20" w:before="20"/>
            </w:pPr>
            <w:r>
              <w:rPr>
                <w:sz w:val="17"/>
              </w:rPr>
              <w:t>View 06</w:t>
            </w:r>
          </w:p>
        </w:tc>
        <w:tc>
          <w:tcPr>
            <w:tcW w:type="dxa" w:w="3888"/>
          </w:tcPr>
          <w:p>
            <w:pPr>
              <w:spacing w:after="20" w:before="20"/>
            </w:pPr>
            <w:r>
              <w:rPr>
                <w:sz w:val="17"/>
              </w:rPr>
              <w:t>Provided</w:t>
            </w:r>
          </w:p>
        </w:tc>
      </w:tr>
      <w:tr>
        <w:trPr>
          <w:cantSplit/>
        </w:trPr>
        <w:tc>
          <w:tcPr>
            <w:tcW w:type="dxa" w:w="3312"/>
          </w:tcPr>
          <w:p>
            <w:pPr>
              <w:spacing w:after="20" w:before="20"/>
            </w:pPr>
            <w:r>
              <w:rPr>
                <w:b/>
                <w:sz w:val="17"/>
              </w:rPr>
              <w:t>High-current / power area</w:t>
            </w:r>
          </w:p>
        </w:tc>
        <w:tc>
          <w:tcPr>
            <w:tcW w:type="dxa" w:w="2304"/>
          </w:tcPr>
          <w:p>
            <w:pPr>
              <w:spacing w:after="20" w:before="20"/>
            </w:pPr>
            <w:r>
              <w:rPr>
                <w:sz w:val="17"/>
              </w:rPr>
              <w:t>View 07</w:t>
            </w:r>
          </w:p>
        </w:tc>
        <w:tc>
          <w:tcPr>
            <w:tcW w:type="dxa" w:w="3888"/>
          </w:tcPr>
          <w:p>
            <w:pPr>
              <w:spacing w:after="20" w:before="20"/>
            </w:pPr>
            <w:r>
              <w:rPr>
                <w:sz w:val="17"/>
              </w:rPr>
              <w:t>Provided</w:t>
            </w:r>
          </w:p>
        </w:tc>
      </w:tr>
      <w:tr>
        <w:trPr>
          <w:cantSplit/>
        </w:trPr>
        <w:tc>
          <w:tcPr>
            <w:tcW w:type="dxa" w:w="3312"/>
          </w:tcPr>
          <w:p>
            <w:pPr>
              <w:spacing w:after="20" w:before="20"/>
            </w:pPr>
            <w:r>
              <w:rPr>
                <w:b/>
                <w:sz w:val="17"/>
              </w:rPr>
              <w:t>Sensor interface</w:t>
            </w:r>
          </w:p>
        </w:tc>
        <w:tc>
          <w:tcPr>
            <w:tcW w:type="dxa" w:w="2304"/>
          </w:tcPr>
          <w:p>
            <w:pPr>
              <w:spacing w:after="20" w:before="20"/>
            </w:pPr>
            <w:r>
              <w:rPr>
                <w:sz w:val="17"/>
              </w:rPr>
              <w:t>View 08</w:t>
            </w:r>
          </w:p>
        </w:tc>
        <w:tc>
          <w:tcPr>
            <w:tcW w:type="dxa" w:w="3888"/>
          </w:tcPr>
          <w:p>
            <w:pPr>
              <w:spacing w:after="20" w:before="20"/>
            </w:pPr>
            <w:r>
              <w:rPr>
                <w:sz w:val="17"/>
              </w:rPr>
              <w:t>Provided</w:t>
            </w:r>
          </w:p>
        </w:tc>
      </w:tr>
      <w:tr>
        <w:trPr>
          <w:cantSplit/>
        </w:trPr>
        <w:tc>
          <w:tcPr>
            <w:tcW w:type="dxa" w:w="3312"/>
          </w:tcPr>
          <w:p>
            <w:pPr>
              <w:spacing w:after="20" w:before="20"/>
            </w:pPr>
            <w:r>
              <w:rPr>
                <w:b/>
                <w:sz w:val="17"/>
              </w:rPr>
              <w:t>Grounding arrangement</w:t>
            </w:r>
          </w:p>
        </w:tc>
        <w:tc>
          <w:tcPr>
            <w:tcW w:type="dxa" w:w="2304"/>
          </w:tcPr>
          <w:p>
            <w:pPr>
              <w:spacing w:after="20" w:before="20"/>
            </w:pPr>
            <w:r>
              <w:rPr>
                <w:sz w:val="17"/>
              </w:rPr>
              <w:t>Views 09, 10</w:t>
            </w:r>
          </w:p>
        </w:tc>
        <w:tc>
          <w:tcPr>
            <w:tcW w:type="dxa" w:w="3888"/>
          </w:tcPr>
          <w:p>
            <w:pPr>
              <w:spacing w:after="20" w:before="20"/>
            </w:pPr>
            <w:r>
              <w:rPr>
                <w:sz w:val="17"/>
              </w:rPr>
              <w:t>Provided</w:t>
            </w:r>
          </w:p>
        </w:tc>
      </w:tr>
      <w:tr>
        <w:trPr>
          <w:cantSplit/>
        </w:trPr>
        <w:tc>
          <w:tcPr>
            <w:tcW w:type="dxa" w:w="3312"/>
          </w:tcPr>
          <w:p>
            <w:pPr>
              <w:spacing w:after="20" w:before="20"/>
            </w:pPr>
            <w:r>
              <w:rPr>
                <w:b/>
                <w:sz w:val="17"/>
              </w:rPr>
              <w:t>One set per board (Main, Sensor, Alarm, Terminal)</w:t>
            </w:r>
          </w:p>
        </w:tc>
        <w:tc>
          <w:tcPr>
            <w:tcW w:type="dxa" w:w="2304"/>
          </w:tcPr>
          <w:p>
            <w:pPr>
              <w:spacing w:after="20" w:before="20"/>
            </w:pPr>
            <w:r>
              <w:rPr>
                <w:sz w:val="17"/>
              </w:rPr>
              <w:t>Main board only</w:t>
            </w:r>
          </w:p>
        </w:tc>
        <w:tc>
          <w:tcPr>
            <w:tcW w:type="dxa" w:w="3888"/>
          </w:tcPr>
          <w:p>
            <w:pPr>
              <w:spacing w:after="20" w:before="20"/>
            </w:pPr>
            <w:r>
              <w:rPr>
                <w:sz w:val="17"/>
              </w:rPr>
              <w:t>Open — sensor-module board layout to be added</w:t>
            </w:r>
          </w:p>
        </w:tc>
      </w:tr>
    </w:tbl>
    <w:p>
      <w:pPr>
        <w:spacing w:after="40"/>
      </w:pPr>
    </w:p>
    <w:p>
      <w:r>
        <w:br w:type="page"/>
      </w:r>
    </w:p>
    <w:p>
      <w:pPr>
        <w:spacing w:after="40"/>
        <w:jc w:val="center"/>
      </w:pPr>
      <w:r>
        <w:drawing>
          <wp:inline xmlns:a="http://schemas.openxmlformats.org/drawingml/2006/main" xmlns:pic="http://schemas.openxmlformats.org/drawingml/2006/picture">
            <wp:extent cx="3291840" cy="3291840"/>
            <wp:docPr id="96" name="Picture 96"/>
            <wp:cNvGraphicFramePr>
              <a:graphicFrameLocks noChangeAspect="1"/>
            </wp:cNvGraphicFramePr>
            <a:graphic>
              <a:graphicData uri="http://schemas.openxmlformats.org/drawingml/2006/picture">
                <pic:pic>
                  <pic:nvPicPr>
                    <pic:cNvPr id="0" name="view01.jpg"/>
                    <pic:cNvPicPr/>
                  </pic:nvPicPr>
                  <pic:blipFill>
                    <a:blip r:embed="rId106"/>
                    <a:stretch>
                      <a:fillRect/>
                    </a:stretch>
                  </pic:blipFill>
                  <pic:spPr>
                    <a:xfrm>
                      <a:off x="0" y="0"/>
                      <a:ext cx="3291840" cy="3291840"/>
                    </a:xfrm>
                    <a:prstGeom prst="rect"/>
                  </pic:spPr>
                </pic:pic>
              </a:graphicData>
            </a:graphic>
          </wp:inline>
        </w:drawing>
      </w:r>
    </w:p>
    <w:p>
      <w:pPr>
        <w:spacing w:after="60"/>
        <w:jc w:val="center"/>
      </w:pPr>
      <w:r>
        <w:rPr>
          <w:b/>
          <w:i w:val="0"/>
          <w:color w:val="1B335F"/>
          <w:sz w:val="18"/>
        </w:rPr>
        <w:t>Figure 8-1. Top layer — Main Board GLD</w:t>
      </w:r>
    </w:p>
    <w:tbl>
      <w:tblPr>
        <w:tblStyle w:val="TableGrid"/>
        <w:tblW w:type="auto" w:w="0"/>
        <w:jc w:val="center"/>
        <w:tblLayout w:type="fixed"/>
        <w:tblLook w:firstColumn="1" w:firstRow="1" w:lastColumn="0" w:lastRow="0" w:noHBand="0" w:noVBand="1" w:val="04A0"/>
        <w:tblLayout w:type="fixed"/>
      </w:tblPr>
      <w:tblGrid>
        <w:gridCol w:w="2592"/>
        <w:gridCol w:w="720"/>
        <w:gridCol w:w="1152"/>
        <w:gridCol w:w="3744"/>
        <w:gridCol w:w="1296"/>
      </w:tblGrid>
      <w:tr>
        <w:trPr>
          <w:tblHeader w:val="true"/>
        </w:trPr>
        <w:tc>
          <w:tcPr>
            <w:tcW w:type="dxa" w:w="2592"/>
            <w:shd w:val="clear" w:fill="EAEFF9"/>
          </w:tcPr>
          <w:p>
            <w:pPr>
              <w:spacing w:after="20"/>
            </w:pPr>
            <w:r>
              <w:rPr>
                <w:b/>
                <w:color w:val="1B335F"/>
                <w:sz w:val="17"/>
              </w:rPr>
              <w:t>Drawing no.</w:t>
            </w:r>
          </w:p>
        </w:tc>
        <w:tc>
          <w:tcPr>
            <w:tcW w:type="dxa" w:w="720"/>
            <w:shd w:val="clear" w:fill="EAEFF9"/>
          </w:tcPr>
          <w:p>
            <w:pPr>
              <w:spacing w:after="20"/>
            </w:pPr>
            <w:r>
              <w:rPr>
                <w:b/>
                <w:color w:val="1B335F"/>
                <w:sz w:val="17"/>
              </w:rPr>
              <w:t>Rev</w:t>
            </w:r>
          </w:p>
        </w:tc>
        <w:tc>
          <w:tcPr>
            <w:tcW w:type="dxa" w:w="1152"/>
            <w:shd w:val="clear" w:fill="EAEFF9"/>
          </w:tcPr>
          <w:p>
            <w:pPr>
              <w:spacing w:after="20"/>
            </w:pPr>
            <w:r>
              <w:rPr>
                <w:b/>
                <w:color w:val="1B335F"/>
                <w:sz w:val="17"/>
              </w:rPr>
              <w:t>Date</w:t>
            </w:r>
          </w:p>
        </w:tc>
        <w:tc>
          <w:tcPr>
            <w:tcW w:type="dxa" w:w="3744"/>
            <w:shd w:val="clear" w:fill="EAEFF9"/>
          </w:tcPr>
          <w:p>
            <w:pPr>
              <w:spacing w:after="20"/>
            </w:pPr>
            <w:r>
              <w:rPr>
                <w:b/>
                <w:color w:val="1B335F"/>
                <w:sz w:val="17"/>
              </w:rPr>
              <w:t>Title</w:t>
            </w:r>
          </w:p>
        </w:tc>
        <w:tc>
          <w:tcPr>
            <w:tcW w:type="dxa" w:w="1296"/>
            <w:shd w:val="clear" w:fill="EAEFF9"/>
          </w:tcPr>
          <w:p>
            <w:pPr>
              <w:spacing w:after="20"/>
            </w:pPr>
            <w:r>
              <w:rPr>
                <w:b/>
                <w:color w:val="1B335F"/>
                <w:sz w:val="17"/>
              </w:rPr>
              <w:t>Sheet</w:t>
            </w:r>
          </w:p>
        </w:tc>
      </w:tr>
      <w:tr>
        <w:trPr>
          <w:cantSplit/>
        </w:trPr>
        <w:tc>
          <w:tcPr>
            <w:tcW w:type="dxa" w:w="2592"/>
          </w:tcPr>
          <w:p>
            <w:pPr>
              <w:spacing w:after="20" w:before="20"/>
            </w:pPr>
            <w:r>
              <w:rPr>
                <w:sz w:val="17"/>
              </w:rPr>
              <w:t>PGLD-GLD-V4-MB-PCB-01</w:t>
            </w:r>
          </w:p>
        </w:tc>
        <w:tc>
          <w:tcPr>
            <w:tcW w:type="dxa" w:w="720"/>
          </w:tcPr>
          <w:p>
            <w:pPr>
              <w:spacing w:after="20" w:before="20"/>
            </w:pPr>
            <w:r>
              <w:rPr>
                <w:sz w:val="17"/>
              </w:rPr>
              <w:t>TBC</w:t>
            </w:r>
          </w:p>
        </w:tc>
        <w:tc>
          <w:tcPr>
            <w:tcW w:type="dxa" w:w="1152"/>
          </w:tcPr>
          <w:p>
            <w:pPr>
              <w:spacing w:after="20" w:before="20"/>
            </w:pPr>
            <w:r>
              <w:rPr>
                <w:sz w:val="17"/>
              </w:rPr>
              <w:t>TBC</w:t>
            </w:r>
          </w:p>
        </w:tc>
        <w:tc>
          <w:tcPr>
            <w:tcW w:type="dxa" w:w="3744"/>
          </w:tcPr>
          <w:p>
            <w:pPr>
              <w:spacing w:after="20" w:before="20"/>
            </w:pPr>
            <w:r>
              <w:rPr>
                <w:sz w:val="17"/>
              </w:rPr>
              <w:t>Top layer</w:t>
            </w:r>
          </w:p>
        </w:tc>
        <w:tc>
          <w:tcPr>
            <w:tcW w:type="dxa" w:w="1296"/>
          </w:tcPr>
          <w:p>
            <w:pPr>
              <w:spacing w:after="20" w:before="20"/>
            </w:pPr>
            <w:r>
              <w:rPr>
                <w:sz w:val="17"/>
              </w:rPr>
              <w:t>1 of 10</w:t>
            </w:r>
          </w:p>
        </w:tc>
      </w:tr>
    </w:tbl>
    <w:p>
      <w:pPr>
        <w:spacing w:after="40"/>
      </w:pPr>
    </w:p>
    <w:tbl>
      <w:tblPr>
        <w:tblStyle w:val="TableGrid"/>
        <w:tblW w:type="auto" w:w="0"/>
        <w:jc w:val="center"/>
        <w:tblLayout w:type="fixed"/>
        <w:tblLook w:firstColumn="1" w:firstRow="1" w:lastColumn="0" w:lastRow="0" w:noHBand="0" w:noVBand="1" w:val="04A0"/>
        <w:tblLayout w:type="fixed"/>
      </w:tblPr>
      <w:tblGrid>
        <w:gridCol w:w="576"/>
        <w:gridCol w:w="2592"/>
        <w:gridCol w:w="6336"/>
      </w:tblGrid>
      <w:tr>
        <w:trPr>
          <w:tblHeader w:val="true"/>
        </w:trPr>
        <w:tc>
          <w:tcPr>
            <w:tcW w:type="dxa" w:w="576"/>
            <w:shd w:val="clear" w:fill="EAEFF9"/>
          </w:tcPr>
          <w:p>
            <w:pPr>
              <w:spacing w:after="20"/>
            </w:pPr>
            <w:r>
              <w:rPr>
                <w:b/>
                <w:color w:val="1B335F"/>
                <w:sz w:val="17"/>
              </w:rPr>
              <w:t>No</w:t>
            </w:r>
          </w:p>
        </w:tc>
        <w:tc>
          <w:tcPr>
            <w:tcW w:type="dxa" w:w="2592"/>
            <w:shd w:val="clear" w:fill="EAEFF9"/>
          </w:tcPr>
          <w:p>
            <w:pPr>
              <w:spacing w:after="20"/>
            </w:pPr>
            <w:r>
              <w:rPr>
                <w:b/>
                <w:color w:val="1B335F"/>
                <w:sz w:val="17"/>
              </w:rPr>
              <w:t>Item</w:t>
            </w:r>
          </w:p>
        </w:tc>
        <w:tc>
          <w:tcPr>
            <w:tcW w:type="dxa" w:w="6336"/>
            <w:shd w:val="clear" w:fill="EAEFF9"/>
          </w:tcPr>
          <w:p>
            <w:pPr>
              <w:spacing w:after="20"/>
            </w:pPr>
            <w:r>
              <w:rPr>
                <w:b/>
                <w:color w:val="1B335F"/>
                <w:sz w:val="17"/>
              </w:rPr>
              <w:t>Description</w:t>
            </w:r>
          </w:p>
        </w:tc>
      </w:tr>
      <w:tr>
        <w:trPr>
          <w:cantSplit/>
        </w:trPr>
        <w:tc>
          <w:tcPr>
            <w:tcW w:type="dxa" w:w="576"/>
          </w:tcPr>
          <w:p>
            <w:pPr>
              <w:spacing w:after="20" w:before="20"/>
            </w:pPr>
            <w:r>
              <w:rPr>
                <w:b/>
                <w:sz w:val="17"/>
              </w:rPr>
              <w:t>1</w:t>
            </w:r>
          </w:p>
        </w:tc>
        <w:tc>
          <w:tcPr>
            <w:tcW w:type="dxa" w:w="2592"/>
          </w:tcPr>
          <w:p>
            <w:pPr>
              <w:spacing w:after="20" w:before="20"/>
            </w:pPr>
            <w:r>
              <w:rPr>
                <w:sz w:val="17"/>
              </w:rPr>
              <w:t>ESP32-S3</w:t>
            </w:r>
          </w:p>
        </w:tc>
        <w:tc>
          <w:tcPr>
            <w:tcW w:type="dxa" w:w="6336"/>
          </w:tcPr>
          <w:p>
            <w:pPr>
              <w:spacing w:after="20" w:before="20"/>
            </w:pPr>
            <w:r>
              <w:rPr>
                <w:sz w:val="17"/>
              </w:rPr>
              <w:t>Main MCU module: runs the GLD firmware; SPI to LoRa and ADC, I²C to sensors, GPIO for alarm/fan.</w:t>
            </w:r>
          </w:p>
        </w:tc>
      </w:tr>
      <w:tr>
        <w:trPr>
          <w:cantSplit/>
        </w:trPr>
        <w:tc>
          <w:tcPr>
            <w:tcW w:type="dxa" w:w="576"/>
          </w:tcPr>
          <w:p>
            <w:pPr>
              <w:spacing w:after="20" w:before="20"/>
            </w:pPr>
            <w:r>
              <w:rPr>
                <w:b/>
                <w:sz w:val="17"/>
              </w:rPr>
              <w:t>2</w:t>
            </w:r>
          </w:p>
        </w:tc>
        <w:tc>
          <w:tcPr>
            <w:tcW w:type="dxa" w:w="2592"/>
          </w:tcPr>
          <w:p>
            <w:pPr>
              <w:spacing w:after="20" w:before="20"/>
            </w:pPr>
            <w:r>
              <w:rPr>
                <w:sz w:val="17"/>
              </w:rPr>
              <w:t>LoRa E22-900MM22S</w:t>
            </w:r>
          </w:p>
        </w:tc>
        <w:tc>
          <w:tcPr>
            <w:tcW w:type="dxa" w:w="6336"/>
          </w:tcPr>
          <w:p>
            <w:pPr>
              <w:spacing w:after="20" w:before="20"/>
            </w:pPr>
            <w:r>
              <w:rPr>
                <w:sz w:val="17"/>
              </w:rPr>
              <w:t>LoRa radio for communication with the cluster head.</w:t>
            </w:r>
          </w:p>
        </w:tc>
      </w:tr>
      <w:tr>
        <w:trPr>
          <w:cantSplit/>
        </w:trPr>
        <w:tc>
          <w:tcPr>
            <w:tcW w:type="dxa" w:w="576"/>
          </w:tcPr>
          <w:p>
            <w:pPr>
              <w:spacing w:after="20" w:before="20"/>
            </w:pPr>
            <w:r>
              <w:rPr>
                <w:b/>
                <w:sz w:val="17"/>
              </w:rPr>
              <w:t>3</w:t>
            </w:r>
          </w:p>
        </w:tc>
        <w:tc>
          <w:tcPr>
            <w:tcW w:type="dxa" w:w="2592"/>
          </w:tcPr>
          <w:p>
            <w:pPr>
              <w:spacing w:after="20" w:before="20"/>
            </w:pPr>
            <w:r>
              <w:rPr>
                <w:sz w:val="17"/>
              </w:rPr>
              <w:t>U.FL antenna connector</w:t>
            </w:r>
          </w:p>
        </w:tc>
        <w:tc>
          <w:tcPr>
            <w:tcW w:type="dxa" w:w="6336"/>
          </w:tcPr>
          <w:p>
            <w:pPr>
              <w:spacing w:after="20" w:before="20"/>
            </w:pPr>
            <w:r>
              <w:rPr>
                <w:sz w:val="17"/>
              </w:rPr>
              <w:t>Connection to the external LoRa antenna.</w:t>
            </w:r>
          </w:p>
        </w:tc>
      </w:tr>
      <w:tr>
        <w:trPr>
          <w:cantSplit/>
        </w:trPr>
        <w:tc>
          <w:tcPr>
            <w:tcW w:type="dxa" w:w="576"/>
          </w:tcPr>
          <w:p>
            <w:pPr>
              <w:spacing w:after="20" w:before="20"/>
            </w:pPr>
            <w:r>
              <w:rPr>
                <w:b/>
                <w:sz w:val="17"/>
              </w:rPr>
              <w:t>4</w:t>
            </w:r>
          </w:p>
        </w:tc>
        <w:tc>
          <w:tcPr>
            <w:tcW w:type="dxa" w:w="2592"/>
          </w:tcPr>
          <w:p>
            <w:pPr>
              <w:spacing w:after="20" w:before="20"/>
            </w:pPr>
            <w:r>
              <w:rPr>
                <w:sz w:val="17"/>
              </w:rPr>
              <w:t>Sensor ports (8)</w:t>
            </w:r>
          </w:p>
        </w:tc>
        <w:tc>
          <w:tcPr>
            <w:tcW w:type="dxa" w:w="6336"/>
          </w:tcPr>
          <w:p>
            <w:pPr>
              <w:spacing w:after="20" w:before="20"/>
            </w:pPr>
            <w:r>
              <w:rPr>
                <w:sz w:val="17"/>
              </w:rPr>
              <w:t>Eight 2 × 4 headers around the board, one per sensor module (yellow circle = module outline).</w:t>
            </w:r>
          </w:p>
        </w:tc>
      </w:tr>
      <w:tr>
        <w:trPr>
          <w:cantSplit/>
        </w:trPr>
        <w:tc>
          <w:tcPr>
            <w:tcW w:type="dxa" w:w="576"/>
          </w:tcPr>
          <w:p>
            <w:pPr>
              <w:spacing w:after="20" w:before="20"/>
            </w:pPr>
            <w:r>
              <w:rPr>
                <w:b/>
                <w:sz w:val="17"/>
              </w:rPr>
              <w:t>5</w:t>
            </w:r>
          </w:p>
        </w:tc>
        <w:tc>
          <w:tcPr>
            <w:tcW w:type="dxa" w:w="2592"/>
          </w:tcPr>
          <w:p>
            <w:pPr>
              <w:spacing w:after="20" w:before="20"/>
            </w:pPr>
            <w:r>
              <w:rPr>
                <w:sz w:val="17"/>
              </w:rPr>
              <w:t>ADS1256</w:t>
            </w:r>
          </w:p>
        </w:tc>
        <w:tc>
          <w:tcPr>
            <w:tcW w:type="dxa" w:w="6336"/>
          </w:tcPr>
          <w:p>
            <w:pPr>
              <w:spacing w:after="20" w:before="20"/>
            </w:pPr>
            <w:r>
              <w:rPr>
                <w:sz w:val="17"/>
              </w:rPr>
              <w:t>24-bit ADC reading the eight analog sensor channels.</w:t>
            </w:r>
          </w:p>
        </w:tc>
      </w:tr>
      <w:tr>
        <w:trPr>
          <w:cantSplit/>
        </w:trPr>
        <w:tc>
          <w:tcPr>
            <w:tcW w:type="dxa" w:w="576"/>
          </w:tcPr>
          <w:p>
            <w:pPr>
              <w:spacing w:after="20" w:before="20"/>
            </w:pPr>
            <w:r>
              <w:rPr>
                <w:b/>
                <w:sz w:val="17"/>
              </w:rPr>
              <w:t>6</w:t>
            </w:r>
          </w:p>
        </w:tc>
        <w:tc>
          <w:tcPr>
            <w:tcW w:type="dxa" w:w="2592"/>
          </w:tcPr>
          <w:p>
            <w:pPr>
              <w:spacing w:after="20" w:before="20"/>
            </w:pPr>
            <w:r>
              <w:rPr>
                <w:sz w:val="17"/>
              </w:rPr>
              <w:t>TCA9548A</w:t>
            </w:r>
          </w:p>
        </w:tc>
        <w:tc>
          <w:tcPr>
            <w:tcW w:type="dxa" w:w="6336"/>
          </w:tcPr>
          <w:p>
            <w:pPr>
              <w:spacing w:after="20" w:before="20"/>
            </w:pPr>
            <w:r>
              <w:rPr>
                <w:sz w:val="17"/>
              </w:rPr>
              <w:t>8-channel I²C multiplexer, one channel per sensor port.</w:t>
            </w:r>
          </w:p>
        </w:tc>
      </w:tr>
      <w:tr>
        <w:trPr>
          <w:cantSplit/>
        </w:trPr>
        <w:tc>
          <w:tcPr>
            <w:tcW w:type="dxa" w:w="576"/>
          </w:tcPr>
          <w:p>
            <w:pPr>
              <w:spacing w:after="20" w:before="20"/>
            </w:pPr>
            <w:r>
              <w:rPr>
                <w:b/>
                <w:sz w:val="17"/>
              </w:rPr>
              <w:t>7</w:t>
            </w:r>
          </w:p>
        </w:tc>
        <w:tc>
          <w:tcPr>
            <w:tcW w:type="dxa" w:w="2592"/>
          </w:tcPr>
          <w:p>
            <w:pPr>
              <w:spacing w:after="20" w:before="20"/>
            </w:pPr>
            <w:r>
              <w:rPr>
                <w:sz w:val="17"/>
              </w:rPr>
              <w:t>PCF8574</w:t>
            </w:r>
          </w:p>
        </w:tc>
        <w:tc>
          <w:tcPr>
            <w:tcW w:type="dxa" w:w="6336"/>
          </w:tcPr>
          <w:p>
            <w:pPr>
              <w:spacing w:after="20" w:before="20"/>
            </w:pPr>
            <w:r>
              <w:rPr>
                <w:sz w:val="17"/>
              </w:rPr>
              <w:t>I/O expander providing the enable signals EN0–EN7 for each sensor.</w:t>
            </w:r>
          </w:p>
        </w:tc>
      </w:tr>
      <w:tr>
        <w:trPr>
          <w:cantSplit/>
        </w:trPr>
        <w:tc>
          <w:tcPr>
            <w:tcW w:type="dxa" w:w="576"/>
          </w:tcPr>
          <w:p>
            <w:pPr>
              <w:spacing w:after="20" w:before="20"/>
            </w:pPr>
            <w:r>
              <w:rPr>
                <w:b/>
                <w:sz w:val="17"/>
              </w:rPr>
              <w:t>8</w:t>
            </w:r>
          </w:p>
        </w:tc>
        <w:tc>
          <w:tcPr>
            <w:tcW w:type="dxa" w:w="2592"/>
          </w:tcPr>
          <w:p>
            <w:pPr>
              <w:spacing w:after="20" w:before="20"/>
            </w:pPr>
            <w:r>
              <w:rPr>
                <w:sz w:val="17"/>
              </w:rPr>
              <w:t>Micro-USB</w:t>
            </w:r>
          </w:p>
        </w:tc>
        <w:tc>
          <w:tcPr>
            <w:tcW w:type="dxa" w:w="6336"/>
          </w:tcPr>
          <w:p>
            <w:pPr>
              <w:spacing w:after="20" w:before="20"/>
            </w:pPr>
            <w:r>
              <w:rPr>
                <w:sz w:val="17"/>
              </w:rPr>
              <w:t>USB port for firmware flashing and serial debug.</w:t>
            </w:r>
          </w:p>
        </w:tc>
      </w:tr>
      <w:tr>
        <w:trPr>
          <w:cantSplit/>
        </w:trPr>
        <w:tc>
          <w:tcPr>
            <w:tcW w:type="dxa" w:w="576"/>
          </w:tcPr>
          <w:p>
            <w:pPr>
              <w:spacing w:after="20" w:before="20"/>
            </w:pPr>
            <w:r>
              <w:rPr>
                <w:b/>
                <w:sz w:val="17"/>
              </w:rPr>
              <w:t>9</w:t>
            </w:r>
          </w:p>
        </w:tc>
        <w:tc>
          <w:tcPr>
            <w:tcW w:type="dxa" w:w="2592"/>
          </w:tcPr>
          <w:p>
            <w:pPr>
              <w:spacing w:after="20" w:before="20"/>
            </w:pPr>
            <w:r>
              <w:rPr>
                <w:sz w:val="17"/>
              </w:rPr>
              <w:t>CH340C</w:t>
            </w:r>
          </w:p>
        </w:tc>
        <w:tc>
          <w:tcPr>
            <w:tcW w:type="dxa" w:w="6336"/>
          </w:tcPr>
          <w:p>
            <w:pPr>
              <w:spacing w:after="20" w:before="20"/>
            </w:pPr>
            <w:r>
              <w:rPr>
                <w:sz w:val="17"/>
              </w:rPr>
              <w:t>USB-to-UART converter for programming and serial monitor.</w:t>
            </w:r>
          </w:p>
        </w:tc>
      </w:tr>
      <w:tr>
        <w:trPr>
          <w:cantSplit/>
        </w:trPr>
        <w:tc>
          <w:tcPr>
            <w:tcW w:type="dxa" w:w="576"/>
          </w:tcPr>
          <w:p>
            <w:pPr>
              <w:spacing w:after="20" w:before="20"/>
            </w:pPr>
            <w:r>
              <w:rPr>
                <w:b/>
                <w:sz w:val="17"/>
              </w:rPr>
              <w:t>10</w:t>
            </w:r>
          </w:p>
        </w:tc>
        <w:tc>
          <w:tcPr>
            <w:tcW w:type="dxa" w:w="2592"/>
          </w:tcPr>
          <w:p>
            <w:pPr>
              <w:spacing w:after="20" w:before="20"/>
            </w:pPr>
            <w:r>
              <w:rPr>
                <w:sz w:val="17"/>
              </w:rPr>
              <w:t>ALARM connector</w:t>
            </w:r>
          </w:p>
        </w:tc>
        <w:tc>
          <w:tcPr>
            <w:tcW w:type="dxa" w:w="6336"/>
          </w:tcPr>
          <w:p>
            <w:pPr>
              <w:spacing w:after="20" w:before="20"/>
            </w:pPr>
            <w:r>
              <w:rPr>
                <w:sz w:val="17"/>
              </w:rPr>
              <w:t>24 V siren/beacon output.</w:t>
            </w:r>
          </w:p>
        </w:tc>
      </w:tr>
      <w:tr>
        <w:trPr>
          <w:cantSplit/>
        </w:trPr>
        <w:tc>
          <w:tcPr>
            <w:tcW w:type="dxa" w:w="576"/>
          </w:tcPr>
          <w:p>
            <w:pPr>
              <w:spacing w:after="20" w:before="20"/>
            </w:pPr>
            <w:r>
              <w:rPr>
                <w:b/>
                <w:sz w:val="17"/>
              </w:rPr>
              <w:t>11</w:t>
            </w:r>
          </w:p>
        </w:tc>
        <w:tc>
          <w:tcPr>
            <w:tcW w:type="dxa" w:w="2592"/>
          </w:tcPr>
          <w:p>
            <w:pPr>
              <w:spacing w:after="20" w:before="20"/>
            </w:pPr>
            <w:r>
              <w:rPr>
                <w:sz w:val="17"/>
              </w:rPr>
              <w:t>FAN connector</w:t>
            </w:r>
          </w:p>
        </w:tc>
        <w:tc>
          <w:tcPr>
            <w:tcW w:type="dxa" w:w="6336"/>
          </w:tcPr>
          <w:p>
            <w:pPr>
              <w:spacing w:after="20" w:before="20"/>
            </w:pPr>
            <w:r>
              <w:rPr>
                <w:sz w:val="17"/>
              </w:rPr>
              <w:t>5 V fan output.</w:t>
            </w:r>
          </w:p>
        </w:tc>
      </w:tr>
      <w:tr>
        <w:trPr>
          <w:cantSplit/>
        </w:trPr>
        <w:tc>
          <w:tcPr>
            <w:tcW w:type="dxa" w:w="576"/>
          </w:tcPr>
          <w:p>
            <w:pPr>
              <w:spacing w:after="20" w:before="20"/>
            </w:pPr>
            <w:r>
              <w:rPr>
                <w:b/>
                <w:sz w:val="17"/>
              </w:rPr>
              <w:t>12</w:t>
            </w:r>
          </w:p>
        </w:tc>
        <w:tc>
          <w:tcPr>
            <w:tcW w:type="dxa" w:w="2592"/>
          </w:tcPr>
          <w:p>
            <w:pPr>
              <w:spacing w:after="20" w:before="20"/>
            </w:pPr>
            <w:r>
              <w:rPr>
                <w:sz w:val="17"/>
              </w:rPr>
              <w:t>RS-485 connector</w:t>
            </w:r>
          </w:p>
        </w:tc>
        <w:tc>
          <w:tcPr>
            <w:tcW w:type="dxa" w:w="6336"/>
          </w:tcPr>
          <w:p>
            <w:pPr>
              <w:spacing w:after="20" w:before="20"/>
            </w:pPr>
            <w:r>
              <w:rPr>
                <w:sz w:val="17"/>
              </w:rPr>
              <w:t>RS-485 bus (A/B).</w:t>
            </w:r>
          </w:p>
        </w:tc>
      </w:tr>
      <w:tr>
        <w:trPr>
          <w:cantSplit/>
        </w:trPr>
        <w:tc>
          <w:tcPr>
            <w:tcW w:type="dxa" w:w="576"/>
          </w:tcPr>
          <w:p>
            <w:pPr>
              <w:spacing w:after="20" w:before="20"/>
            </w:pPr>
            <w:r>
              <w:rPr>
                <w:b/>
                <w:sz w:val="17"/>
              </w:rPr>
              <w:t>13</w:t>
            </w:r>
          </w:p>
        </w:tc>
        <w:tc>
          <w:tcPr>
            <w:tcW w:type="dxa" w:w="2592"/>
          </w:tcPr>
          <w:p>
            <w:pPr>
              <w:spacing w:after="20" w:before="20"/>
            </w:pPr>
            <w:r>
              <w:rPr>
                <w:sz w:val="17"/>
              </w:rPr>
              <w:t>VIN connector</w:t>
            </w:r>
          </w:p>
        </w:tc>
        <w:tc>
          <w:tcPr>
            <w:tcW w:type="dxa" w:w="6336"/>
          </w:tcPr>
          <w:p>
            <w:pPr>
              <w:spacing w:after="20" w:before="20"/>
            </w:pPr>
            <w:r>
              <w:rPr>
                <w:sz w:val="17"/>
              </w:rPr>
              <w:t>Power input: 24V+, 24V−, 5VEXT, GND, BAT (battery).</w:t>
            </w:r>
          </w:p>
        </w:tc>
      </w:tr>
      <w:tr>
        <w:trPr>
          <w:cantSplit/>
        </w:trPr>
        <w:tc>
          <w:tcPr>
            <w:tcW w:type="dxa" w:w="576"/>
          </w:tcPr>
          <w:p>
            <w:pPr>
              <w:spacing w:after="20" w:before="20"/>
            </w:pPr>
            <w:r>
              <w:rPr>
                <w:b/>
                <w:sz w:val="17"/>
              </w:rPr>
              <w:t>14</w:t>
            </w:r>
          </w:p>
        </w:tc>
        <w:tc>
          <w:tcPr>
            <w:tcW w:type="dxa" w:w="2592"/>
          </w:tcPr>
          <w:p>
            <w:pPr>
              <w:spacing w:after="20" w:before="20"/>
            </w:pPr>
            <w:r>
              <w:rPr>
                <w:sz w:val="17"/>
              </w:rPr>
              <w:t>PTC fuse</w:t>
            </w:r>
          </w:p>
        </w:tc>
        <w:tc>
          <w:tcPr>
            <w:tcW w:type="dxa" w:w="6336"/>
          </w:tcPr>
          <w:p>
            <w:pPr>
              <w:spacing w:after="20" w:before="20"/>
            </w:pPr>
            <w:r>
              <w:rPr>
                <w:sz w:val="17"/>
              </w:rPr>
              <w:t>Limits current on the 24 V line under short circuit.</w:t>
            </w:r>
          </w:p>
        </w:tc>
      </w:tr>
      <w:tr>
        <w:trPr>
          <w:cantSplit/>
        </w:trPr>
        <w:tc>
          <w:tcPr>
            <w:tcW w:type="dxa" w:w="576"/>
          </w:tcPr>
          <w:p>
            <w:pPr>
              <w:spacing w:after="20" w:before="20"/>
            </w:pPr>
            <w:r>
              <w:rPr>
                <w:b/>
                <w:sz w:val="17"/>
              </w:rPr>
              <w:t>15</w:t>
            </w:r>
          </w:p>
        </w:tc>
        <w:tc>
          <w:tcPr>
            <w:tcW w:type="dxa" w:w="2592"/>
          </w:tcPr>
          <w:p>
            <w:pPr>
              <w:spacing w:after="20" w:before="20"/>
            </w:pPr>
            <w:r>
              <w:rPr>
                <w:sz w:val="17"/>
              </w:rPr>
              <w:t>TVS</w:t>
            </w:r>
          </w:p>
        </w:tc>
        <w:tc>
          <w:tcPr>
            <w:tcW w:type="dxa" w:w="6336"/>
          </w:tcPr>
          <w:p>
            <w:pPr>
              <w:spacing w:after="20" w:before="20"/>
            </w:pPr>
            <w:r>
              <w:rPr>
                <w:sz w:val="17"/>
              </w:rPr>
              <w:t>Clamps voltage surges on the 24 V input.</w:t>
            </w:r>
          </w:p>
        </w:tc>
      </w:tr>
      <w:tr>
        <w:trPr>
          <w:cantSplit/>
        </w:trPr>
        <w:tc>
          <w:tcPr>
            <w:tcW w:type="dxa" w:w="576"/>
          </w:tcPr>
          <w:p>
            <w:pPr>
              <w:spacing w:after="20" w:before="20"/>
            </w:pPr>
            <w:r>
              <w:rPr>
                <w:b/>
                <w:sz w:val="17"/>
              </w:rPr>
              <w:t>16</w:t>
            </w:r>
          </w:p>
        </w:tc>
        <w:tc>
          <w:tcPr>
            <w:tcW w:type="dxa" w:w="2592"/>
          </w:tcPr>
          <w:p>
            <w:pPr>
              <w:spacing w:after="20" w:before="20"/>
            </w:pPr>
            <w:r>
              <w:rPr>
                <w:sz w:val="17"/>
              </w:rPr>
              <w:t>Common-mode filter</w:t>
            </w:r>
          </w:p>
        </w:tc>
        <w:tc>
          <w:tcPr>
            <w:tcW w:type="dxa" w:w="6336"/>
          </w:tcPr>
          <w:p>
            <w:pPr>
              <w:spacing w:after="20" w:before="20"/>
            </w:pPr>
            <w:r>
              <w:rPr>
                <w:sz w:val="17"/>
              </w:rPr>
              <w:t>Filters common-mode noise on the 24 V input.</w:t>
            </w:r>
          </w:p>
        </w:tc>
      </w:tr>
      <w:tr>
        <w:trPr>
          <w:cantSplit/>
        </w:trPr>
        <w:tc>
          <w:tcPr>
            <w:tcW w:type="dxa" w:w="576"/>
          </w:tcPr>
          <w:p>
            <w:pPr>
              <w:spacing w:after="20" w:before="20"/>
            </w:pPr>
            <w:r>
              <w:rPr>
                <w:b/>
                <w:sz w:val="17"/>
              </w:rPr>
              <w:t>17</w:t>
            </w:r>
          </w:p>
        </w:tc>
        <w:tc>
          <w:tcPr>
            <w:tcW w:type="dxa" w:w="2592"/>
          </w:tcPr>
          <w:p>
            <w:pPr>
              <w:spacing w:after="20" w:before="20"/>
            </w:pPr>
            <w:r>
              <w:rPr>
                <w:sz w:val="17"/>
              </w:rPr>
              <w:t>Buck 24 V → 5 V</w:t>
            </w:r>
          </w:p>
        </w:tc>
        <w:tc>
          <w:tcPr>
            <w:tcW w:type="dxa" w:w="6336"/>
          </w:tcPr>
          <w:p>
            <w:pPr>
              <w:spacing w:after="20" w:before="20"/>
            </w:pPr>
            <w:r>
              <w:rPr>
                <w:sz w:val="17"/>
              </w:rPr>
              <w:t>LMR51450 regulator stepping 24 V down to 5 V.</w:t>
            </w:r>
          </w:p>
        </w:tc>
      </w:tr>
      <w:tr>
        <w:trPr>
          <w:cantSplit/>
        </w:trPr>
        <w:tc>
          <w:tcPr>
            <w:tcW w:type="dxa" w:w="576"/>
          </w:tcPr>
          <w:p>
            <w:pPr>
              <w:spacing w:after="20" w:before="20"/>
            </w:pPr>
            <w:r>
              <w:rPr>
                <w:b/>
                <w:sz w:val="17"/>
              </w:rPr>
              <w:t>18</w:t>
            </w:r>
          </w:p>
        </w:tc>
        <w:tc>
          <w:tcPr>
            <w:tcW w:type="dxa" w:w="2592"/>
          </w:tcPr>
          <w:p>
            <w:pPr>
              <w:spacing w:after="20" w:before="20"/>
            </w:pPr>
            <w:r>
              <w:rPr>
                <w:sz w:val="17"/>
              </w:rPr>
              <w:t>Battery boost → 24 V</w:t>
            </w:r>
          </w:p>
        </w:tc>
        <w:tc>
          <w:tcPr>
            <w:tcW w:type="dxa" w:w="6336"/>
          </w:tcPr>
          <w:p>
            <w:pPr>
              <w:spacing w:after="20" w:before="20"/>
            </w:pPr>
            <w:r>
              <w:rPr>
                <w:sz w:val="17"/>
              </w:rPr>
              <w:t>TPS61175 boosting the battery to the +24V rail.</w:t>
            </w:r>
          </w:p>
        </w:tc>
      </w:tr>
      <w:tr>
        <w:trPr>
          <w:cantSplit/>
        </w:trPr>
        <w:tc>
          <w:tcPr>
            <w:tcW w:type="dxa" w:w="576"/>
          </w:tcPr>
          <w:p>
            <w:pPr>
              <w:spacing w:after="20" w:before="20"/>
            </w:pPr>
            <w:r>
              <w:rPr>
                <w:b/>
                <w:sz w:val="17"/>
              </w:rPr>
              <w:t>19</w:t>
            </w:r>
          </w:p>
        </w:tc>
        <w:tc>
          <w:tcPr>
            <w:tcW w:type="dxa" w:w="2592"/>
          </w:tcPr>
          <w:p>
            <w:pPr>
              <w:spacing w:after="20" w:before="20"/>
            </w:pPr>
            <w:r>
              <w:rPr>
                <w:sz w:val="17"/>
              </w:rPr>
              <w:t>Battery boost → 5 V</w:t>
            </w:r>
          </w:p>
        </w:tc>
        <w:tc>
          <w:tcPr>
            <w:tcW w:type="dxa" w:w="6336"/>
          </w:tcPr>
          <w:p>
            <w:pPr>
              <w:spacing w:after="20" w:before="20"/>
            </w:pPr>
            <w:r>
              <w:rPr>
                <w:sz w:val="17"/>
              </w:rPr>
              <w:t>TPS61088 generating 5 V from the battery.</w:t>
            </w:r>
          </w:p>
        </w:tc>
      </w:tr>
    </w:tbl>
    <w:p>
      <w:pPr>
        <w:spacing w:after="40"/>
      </w:pPr>
    </w:p>
    <w:p>
      <w:r>
        <w:br w:type="page"/>
      </w:r>
    </w:p>
    <w:p>
      <w:pPr>
        <w:spacing w:after="40"/>
        <w:jc w:val="center"/>
      </w:pPr>
      <w:r>
        <w:drawing>
          <wp:inline xmlns:a="http://schemas.openxmlformats.org/drawingml/2006/main" xmlns:pic="http://schemas.openxmlformats.org/drawingml/2006/picture">
            <wp:extent cx="4480560" cy="4480560"/>
            <wp:docPr id="97" name="Picture 97"/>
            <wp:cNvGraphicFramePr>
              <a:graphicFrameLocks noChangeAspect="1"/>
            </wp:cNvGraphicFramePr>
            <a:graphic>
              <a:graphicData uri="http://schemas.openxmlformats.org/drawingml/2006/picture">
                <pic:pic>
                  <pic:nvPicPr>
                    <pic:cNvPr id="0" name="view02.jpg"/>
                    <pic:cNvPicPr/>
                  </pic:nvPicPr>
                  <pic:blipFill>
                    <a:blip r:embed="rId107"/>
                    <a:stretch>
                      <a:fillRect/>
                    </a:stretch>
                  </pic:blipFill>
                  <pic:spPr>
                    <a:xfrm>
                      <a:off x="0" y="0"/>
                      <a:ext cx="4480560" cy="4480560"/>
                    </a:xfrm>
                    <a:prstGeom prst="rect"/>
                  </pic:spPr>
                </pic:pic>
              </a:graphicData>
            </a:graphic>
          </wp:inline>
        </w:drawing>
      </w:r>
    </w:p>
    <w:p>
      <w:pPr>
        <w:spacing w:after="60"/>
        <w:jc w:val="center"/>
      </w:pPr>
      <w:r>
        <w:rPr>
          <w:b/>
          <w:i w:val="0"/>
          <w:color w:val="1B335F"/>
          <w:sz w:val="18"/>
        </w:rPr>
        <w:t>Figure 8-2. Bottom layer — Main Board GLD</w:t>
      </w:r>
    </w:p>
    <w:tbl>
      <w:tblPr>
        <w:tblStyle w:val="TableGrid"/>
        <w:tblW w:type="auto" w:w="0"/>
        <w:jc w:val="center"/>
        <w:tblLayout w:type="fixed"/>
        <w:tblLook w:firstColumn="1" w:firstRow="1" w:lastColumn="0" w:lastRow="0" w:noHBand="0" w:noVBand="1" w:val="04A0"/>
        <w:tblLayout w:type="fixed"/>
      </w:tblPr>
      <w:tblGrid>
        <w:gridCol w:w="2592"/>
        <w:gridCol w:w="720"/>
        <w:gridCol w:w="1152"/>
        <w:gridCol w:w="3744"/>
        <w:gridCol w:w="1296"/>
      </w:tblGrid>
      <w:tr>
        <w:trPr>
          <w:tblHeader w:val="true"/>
        </w:trPr>
        <w:tc>
          <w:tcPr>
            <w:tcW w:type="dxa" w:w="2592"/>
            <w:shd w:val="clear" w:fill="EAEFF9"/>
          </w:tcPr>
          <w:p>
            <w:pPr>
              <w:spacing w:after="20"/>
            </w:pPr>
            <w:r>
              <w:rPr>
                <w:b/>
                <w:color w:val="1B335F"/>
                <w:sz w:val="17"/>
              </w:rPr>
              <w:t>Drawing no.</w:t>
            </w:r>
          </w:p>
        </w:tc>
        <w:tc>
          <w:tcPr>
            <w:tcW w:type="dxa" w:w="720"/>
            <w:shd w:val="clear" w:fill="EAEFF9"/>
          </w:tcPr>
          <w:p>
            <w:pPr>
              <w:spacing w:after="20"/>
            </w:pPr>
            <w:r>
              <w:rPr>
                <w:b/>
                <w:color w:val="1B335F"/>
                <w:sz w:val="17"/>
              </w:rPr>
              <w:t>Rev</w:t>
            </w:r>
          </w:p>
        </w:tc>
        <w:tc>
          <w:tcPr>
            <w:tcW w:type="dxa" w:w="1152"/>
            <w:shd w:val="clear" w:fill="EAEFF9"/>
          </w:tcPr>
          <w:p>
            <w:pPr>
              <w:spacing w:after="20"/>
            </w:pPr>
            <w:r>
              <w:rPr>
                <w:b/>
                <w:color w:val="1B335F"/>
                <w:sz w:val="17"/>
              </w:rPr>
              <w:t>Date</w:t>
            </w:r>
          </w:p>
        </w:tc>
        <w:tc>
          <w:tcPr>
            <w:tcW w:type="dxa" w:w="3744"/>
            <w:shd w:val="clear" w:fill="EAEFF9"/>
          </w:tcPr>
          <w:p>
            <w:pPr>
              <w:spacing w:after="20"/>
            </w:pPr>
            <w:r>
              <w:rPr>
                <w:b/>
                <w:color w:val="1B335F"/>
                <w:sz w:val="17"/>
              </w:rPr>
              <w:t>Title</w:t>
            </w:r>
          </w:p>
        </w:tc>
        <w:tc>
          <w:tcPr>
            <w:tcW w:type="dxa" w:w="1296"/>
            <w:shd w:val="clear" w:fill="EAEFF9"/>
          </w:tcPr>
          <w:p>
            <w:pPr>
              <w:spacing w:after="20"/>
            </w:pPr>
            <w:r>
              <w:rPr>
                <w:b/>
                <w:color w:val="1B335F"/>
                <w:sz w:val="17"/>
              </w:rPr>
              <w:t>Sheet</w:t>
            </w:r>
          </w:p>
        </w:tc>
      </w:tr>
      <w:tr>
        <w:trPr>
          <w:cantSplit/>
        </w:trPr>
        <w:tc>
          <w:tcPr>
            <w:tcW w:type="dxa" w:w="2592"/>
          </w:tcPr>
          <w:p>
            <w:pPr>
              <w:spacing w:after="20" w:before="20"/>
            </w:pPr>
            <w:r>
              <w:rPr>
                <w:sz w:val="17"/>
              </w:rPr>
              <w:t>PGLD-GLD-V4-MB-PCB-02</w:t>
            </w:r>
          </w:p>
        </w:tc>
        <w:tc>
          <w:tcPr>
            <w:tcW w:type="dxa" w:w="720"/>
          </w:tcPr>
          <w:p>
            <w:pPr>
              <w:spacing w:after="20" w:before="20"/>
            </w:pPr>
            <w:r>
              <w:rPr>
                <w:sz w:val="17"/>
              </w:rPr>
              <w:t>TBC</w:t>
            </w:r>
          </w:p>
        </w:tc>
        <w:tc>
          <w:tcPr>
            <w:tcW w:type="dxa" w:w="1152"/>
          </w:tcPr>
          <w:p>
            <w:pPr>
              <w:spacing w:after="20" w:before="20"/>
            </w:pPr>
            <w:r>
              <w:rPr>
                <w:sz w:val="17"/>
              </w:rPr>
              <w:t>TBC</w:t>
            </w:r>
          </w:p>
        </w:tc>
        <w:tc>
          <w:tcPr>
            <w:tcW w:type="dxa" w:w="3744"/>
          </w:tcPr>
          <w:p>
            <w:pPr>
              <w:spacing w:after="20" w:before="20"/>
            </w:pPr>
            <w:r>
              <w:rPr>
                <w:sz w:val="17"/>
              </w:rPr>
              <w:t>Bottom layer</w:t>
            </w:r>
          </w:p>
        </w:tc>
        <w:tc>
          <w:tcPr>
            <w:tcW w:type="dxa" w:w="1296"/>
          </w:tcPr>
          <w:p>
            <w:pPr>
              <w:spacing w:after="20" w:before="20"/>
            </w:pPr>
            <w:r>
              <w:rPr>
                <w:sz w:val="17"/>
              </w:rPr>
              <w:t>2 of 10</w:t>
            </w:r>
          </w:p>
        </w:tc>
      </w:tr>
    </w:tbl>
    <w:p>
      <w:pPr>
        <w:spacing w:after="40"/>
      </w:pPr>
    </w:p>
    <w:tbl>
      <w:tblPr>
        <w:tblStyle w:val="TableGrid"/>
        <w:tblW w:type="auto" w:w="0"/>
        <w:jc w:val="center"/>
        <w:tblLayout w:type="fixed"/>
        <w:tblLook w:firstColumn="1" w:firstRow="1" w:lastColumn="0" w:lastRow="0" w:noHBand="0" w:noVBand="1" w:val="04A0"/>
        <w:tblLayout w:type="fixed"/>
      </w:tblPr>
      <w:tblGrid>
        <w:gridCol w:w="576"/>
        <w:gridCol w:w="2592"/>
        <w:gridCol w:w="6336"/>
      </w:tblGrid>
      <w:tr>
        <w:trPr>
          <w:tblHeader w:val="true"/>
        </w:trPr>
        <w:tc>
          <w:tcPr>
            <w:tcW w:type="dxa" w:w="576"/>
            <w:shd w:val="clear" w:fill="EAEFF9"/>
          </w:tcPr>
          <w:p>
            <w:pPr>
              <w:spacing w:after="20"/>
            </w:pPr>
            <w:r>
              <w:rPr>
                <w:b/>
                <w:color w:val="1B335F"/>
                <w:sz w:val="17"/>
              </w:rPr>
              <w:t>No</w:t>
            </w:r>
          </w:p>
        </w:tc>
        <w:tc>
          <w:tcPr>
            <w:tcW w:type="dxa" w:w="2592"/>
            <w:shd w:val="clear" w:fill="EAEFF9"/>
          </w:tcPr>
          <w:p>
            <w:pPr>
              <w:spacing w:after="20"/>
            </w:pPr>
            <w:r>
              <w:rPr>
                <w:b/>
                <w:color w:val="1B335F"/>
                <w:sz w:val="17"/>
              </w:rPr>
              <w:t>Item</w:t>
            </w:r>
          </w:p>
        </w:tc>
        <w:tc>
          <w:tcPr>
            <w:tcW w:type="dxa" w:w="6336"/>
            <w:shd w:val="clear" w:fill="EAEFF9"/>
          </w:tcPr>
          <w:p>
            <w:pPr>
              <w:spacing w:after="20"/>
            </w:pPr>
            <w:r>
              <w:rPr>
                <w:b/>
                <w:color w:val="1B335F"/>
                <w:sz w:val="17"/>
              </w:rPr>
              <w:t>Description</w:t>
            </w:r>
          </w:p>
        </w:tc>
      </w:tr>
      <w:tr>
        <w:trPr>
          <w:cantSplit/>
        </w:trPr>
        <w:tc>
          <w:tcPr>
            <w:tcW w:type="dxa" w:w="576"/>
          </w:tcPr>
          <w:p>
            <w:pPr>
              <w:spacing w:after="20" w:before="20"/>
            </w:pPr>
            <w:r>
              <w:rPr>
                <w:b/>
                <w:sz w:val="17"/>
              </w:rPr>
              <w:t>1</w:t>
            </w:r>
          </w:p>
        </w:tc>
        <w:tc>
          <w:tcPr>
            <w:tcW w:type="dxa" w:w="2592"/>
          </w:tcPr>
          <w:p>
            <w:pPr>
              <w:spacing w:after="20" w:before="20"/>
            </w:pPr>
            <w:r>
              <w:rPr>
                <w:sz w:val="17"/>
              </w:rPr>
              <w:t>Bottom GND pour (solid blue area)</w:t>
            </w:r>
          </w:p>
        </w:tc>
        <w:tc>
          <w:tcPr>
            <w:tcW w:type="dxa" w:w="6336"/>
          </w:tcPr>
          <w:p>
            <w:pPr>
              <w:spacing w:after="20" w:before="20"/>
            </w:pPr>
            <w:r>
              <w:rPr>
                <w:sz w:val="17"/>
              </w:rPr>
              <w:t>GND plane filling almost the whole bottom side; connected to the top pour through vias.</w:t>
            </w:r>
          </w:p>
        </w:tc>
      </w:tr>
      <w:tr>
        <w:trPr>
          <w:cantSplit/>
        </w:trPr>
        <w:tc>
          <w:tcPr>
            <w:tcW w:type="dxa" w:w="576"/>
          </w:tcPr>
          <w:p>
            <w:pPr>
              <w:spacing w:after="20" w:before="20"/>
            </w:pPr>
            <w:r>
              <w:rPr>
                <w:b/>
                <w:sz w:val="17"/>
              </w:rPr>
              <w:t>2</w:t>
            </w:r>
          </w:p>
        </w:tc>
        <w:tc>
          <w:tcPr>
            <w:tcW w:type="dxa" w:w="2592"/>
          </w:tcPr>
          <w:p>
            <w:pPr>
              <w:spacing w:after="20" w:before="20"/>
            </w:pPr>
            <w:r>
              <w:rPr>
                <w:sz w:val="17"/>
              </w:rPr>
              <w:t>Through-hole connectors</w:t>
            </w:r>
          </w:p>
        </w:tc>
        <w:tc>
          <w:tcPr>
            <w:tcW w:type="dxa" w:w="6336"/>
          </w:tcPr>
          <w:p>
            <w:pPr>
              <w:spacing w:after="20" w:before="20"/>
            </w:pPr>
            <w:r>
              <w:rPr>
                <w:sz w:val="17"/>
              </w:rPr>
              <w:t>The only parts passing through to the bottom; all SMD parts are on the top side.</w:t>
            </w:r>
          </w:p>
        </w:tc>
      </w:tr>
    </w:tbl>
    <w:p>
      <w:pPr>
        <w:spacing w:after="40"/>
      </w:pPr>
    </w:p>
    <w:p>
      <w:r>
        <w:br w:type="page"/>
      </w:r>
    </w:p>
    <w:p>
      <w:pPr>
        <w:spacing w:after="40"/>
        <w:jc w:val="center"/>
      </w:pPr>
      <w:r>
        <w:drawing>
          <wp:inline xmlns:a="http://schemas.openxmlformats.org/drawingml/2006/main" xmlns:pic="http://schemas.openxmlformats.org/drawingml/2006/picture">
            <wp:extent cx="3291840" cy="3291840"/>
            <wp:docPr id="98" name="Picture 98"/>
            <wp:cNvGraphicFramePr>
              <a:graphicFrameLocks noChangeAspect="1"/>
            </wp:cNvGraphicFramePr>
            <a:graphic>
              <a:graphicData uri="http://schemas.openxmlformats.org/drawingml/2006/picture">
                <pic:pic>
                  <pic:nvPicPr>
                    <pic:cNvPr id="0" name="view03.jpg"/>
                    <pic:cNvPicPr/>
                  </pic:nvPicPr>
                  <pic:blipFill>
                    <a:blip r:embed="rId108"/>
                    <a:stretch>
                      <a:fillRect/>
                    </a:stretch>
                  </pic:blipFill>
                  <pic:spPr>
                    <a:xfrm>
                      <a:off x="0" y="0"/>
                      <a:ext cx="3291840" cy="3291840"/>
                    </a:xfrm>
                    <a:prstGeom prst="rect"/>
                  </pic:spPr>
                </pic:pic>
              </a:graphicData>
            </a:graphic>
          </wp:inline>
        </w:drawing>
      </w:r>
    </w:p>
    <w:p>
      <w:pPr>
        <w:spacing w:after="60"/>
        <w:jc w:val="center"/>
      </w:pPr>
      <w:r>
        <w:rPr>
          <w:b/>
          <w:i w:val="0"/>
          <w:color w:val="1B335F"/>
          <w:sz w:val="18"/>
        </w:rPr>
        <w:t>Figure 8-3. Component placement — Main Board GLD</w:t>
      </w:r>
    </w:p>
    <w:tbl>
      <w:tblPr>
        <w:tblStyle w:val="TableGrid"/>
        <w:tblW w:type="auto" w:w="0"/>
        <w:jc w:val="center"/>
        <w:tblLayout w:type="fixed"/>
        <w:tblLook w:firstColumn="1" w:firstRow="1" w:lastColumn="0" w:lastRow="0" w:noHBand="0" w:noVBand="1" w:val="04A0"/>
        <w:tblLayout w:type="fixed"/>
      </w:tblPr>
      <w:tblGrid>
        <w:gridCol w:w="2592"/>
        <w:gridCol w:w="720"/>
        <w:gridCol w:w="1152"/>
        <w:gridCol w:w="3744"/>
        <w:gridCol w:w="1296"/>
      </w:tblGrid>
      <w:tr>
        <w:trPr>
          <w:tblHeader w:val="true"/>
        </w:trPr>
        <w:tc>
          <w:tcPr>
            <w:tcW w:type="dxa" w:w="2592"/>
            <w:shd w:val="clear" w:fill="EAEFF9"/>
          </w:tcPr>
          <w:p>
            <w:pPr>
              <w:spacing w:after="20"/>
            </w:pPr>
            <w:r>
              <w:rPr>
                <w:b/>
                <w:color w:val="1B335F"/>
                <w:sz w:val="17"/>
              </w:rPr>
              <w:t>Drawing no.</w:t>
            </w:r>
          </w:p>
        </w:tc>
        <w:tc>
          <w:tcPr>
            <w:tcW w:type="dxa" w:w="720"/>
            <w:shd w:val="clear" w:fill="EAEFF9"/>
          </w:tcPr>
          <w:p>
            <w:pPr>
              <w:spacing w:after="20"/>
            </w:pPr>
            <w:r>
              <w:rPr>
                <w:b/>
                <w:color w:val="1B335F"/>
                <w:sz w:val="17"/>
              </w:rPr>
              <w:t>Rev</w:t>
            </w:r>
          </w:p>
        </w:tc>
        <w:tc>
          <w:tcPr>
            <w:tcW w:type="dxa" w:w="1152"/>
            <w:shd w:val="clear" w:fill="EAEFF9"/>
          </w:tcPr>
          <w:p>
            <w:pPr>
              <w:spacing w:after="20"/>
            </w:pPr>
            <w:r>
              <w:rPr>
                <w:b/>
                <w:color w:val="1B335F"/>
                <w:sz w:val="17"/>
              </w:rPr>
              <w:t>Date</w:t>
            </w:r>
          </w:p>
        </w:tc>
        <w:tc>
          <w:tcPr>
            <w:tcW w:type="dxa" w:w="3744"/>
            <w:shd w:val="clear" w:fill="EAEFF9"/>
          </w:tcPr>
          <w:p>
            <w:pPr>
              <w:spacing w:after="20"/>
            </w:pPr>
            <w:r>
              <w:rPr>
                <w:b/>
                <w:color w:val="1B335F"/>
                <w:sz w:val="17"/>
              </w:rPr>
              <w:t>Title</w:t>
            </w:r>
          </w:p>
        </w:tc>
        <w:tc>
          <w:tcPr>
            <w:tcW w:type="dxa" w:w="1296"/>
            <w:shd w:val="clear" w:fill="EAEFF9"/>
          </w:tcPr>
          <w:p>
            <w:pPr>
              <w:spacing w:after="20"/>
            </w:pPr>
            <w:r>
              <w:rPr>
                <w:b/>
                <w:color w:val="1B335F"/>
                <w:sz w:val="17"/>
              </w:rPr>
              <w:t>Sheet</w:t>
            </w:r>
          </w:p>
        </w:tc>
      </w:tr>
      <w:tr>
        <w:trPr>
          <w:cantSplit/>
        </w:trPr>
        <w:tc>
          <w:tcPr>
            <w:tcW w:type="dxa" w:w="2592"/>
          </w:tcPr>
          <w:p>
            <w:pPr>
              <w:spacing w:after="20" w:before="20"/>
            </w:pPr>
            <w:r>
              <w:rPr>
                <w:sz w:val="17"/>
              </w:rPr>
              <w:t>PGLD-GLD-V4-MB-PCB-03</w:t>
            </w:r>
          </w:p>
        </w:tc>
        <w:tc>
          <w:tcPr>
            <w:tcW w:type="dxa" w:w="720"/>
          </w:tcPr>
          <w:p>
            <w:pPr>
              <w:spacing w:after="20" w:before="20"/>
            </w:pPr>
            <w:r>
              <w:rPr>
                <w:sz w:val="17"/>
              </w:rPr>
              <w:t>TBC</w:t>
            </w:r>
          </w:p>
        </w:tc>
        <w:tc>
          <w:tcPr>
            <w:tcW w:type="dxa" w:w="1152"/>
          </w:tcPr>
          <w:p>
            <w:pPr>
              <w:spacing w:after="20" w:before="20"/>
            </w:pPr>
            <w:r>
              <w:rPr>
                <w:sz w:val="17"/>
              </w:rPr>
              <w:t>TBC</w:t>
            </w:r>
          </w:p>
        </w:tc>
        <w:tc>
          <w:tcPr>
            <w:tcW w:type="dxa" w:w="3744"/>
          </w:tcPr>
          <w:p>
            <w:pPr>
              <w:spacing w:after="20" w:before="20"/>
            </w:pPr>
            <w:r>
              <w:rPr>
                <w:sz w:val="17"/>
              </w:rPr>
              <w:t>Component placement</w:t>
            </w:r>
          </w:p>
        </w:tc>
        <w:tc>
          <w:tcPr>
            <w:tcW w:type="dxa" w:w="1296"/>
          </w:tcPr>
          <w:p>
            <w:pPr>
              <w:spacing w:after="20" w:before="20"/>
            </w:pPr>
            <w:r>
              <w:rPr>
                <w:sz w:val="17"/>
              </w:rPr>
              <w:t>3 of 10</w:t>
            </w:r>
          </w:p>
        </w:tc>
      </w:tr>
    </w:tbl>
    <w:p>
      <w:pPr>
        <w:spacing w:after="40"/>
      </w:pPr>
    </w:p>
    <w:tbl>
      <w:tblPr>
        <w:tblStyle w:val="TableGrid"/>
        <w:tblW w:type="auto" w:w="0"/>
        <w:jc w:val="center"/>
        <w:tblLayout w:type="fixed"/>
        <w:tblLook w:firstColumn="1" w:firstRow="1" w:lastColumn="0" w:lastRow="0" w:noHBand="0" w:noVBand="1" w:val="04A0"/>
        <w:tblLayout w:type="fixed"/>
      </w:tblPr>
      <w:tblGrid>
        <w:gridCol w:w="576"/>
        <w:gridCol w:w="2592"/>
        <w:gridCol w:w="6336"/>
      </w:tblGrid>
      <w:tr>
        <w:trPr>
          <w:tblHeader w:val="true"/>
        </w:trPr>
        <w:tc>
          <w:tcPr>
            <w:tcW w:type="dxa" w:w="576"/>
            <w:shd w:val="clear" w:fill="EAEFF9"/>
          </w:tcPr>
          <w:p>
            <w:pPr>
              <w:spacing w:after="20"/>
            </w:pPr>
            <w:r>
              <w:rPr>
                <w:b/>
                <w:color w:val="1B335F"/>
                <w:sz w:val="17"/>
              </w:rPr>
              <w:t>No</w:t>
            </w:r>
          </w:p>
        </w:tc>
        <w:tc>
          <w:tcPr>
            <w:tcW w:type="dxa" w:w="2592"/>
            <w:shd w:val="clear" w:fill="EAEFF9"/>
          </w:tcPr>
          <w:p>
            <w:pPr>
              <w:spacing w:after="20"/>
            </w:pPr>
            <w:r>
              <w:rPr>
                <w:b/>
                <w:color w:val="1B335F"/>
                <w:sz w:val="17"/>
              </w:rPr>
              <w:t>Item</w:t>
            </w:r>
          </w:p>
        </w:tc>
        <w:tc>
          <w:tcPr>
            <w:tcW w:type="dxa" w:w="6336"/>
            <w:shd w:val="clear" w:fill="EAEFF9"/>
          </w:tcPr>
          <w:p>
            <w:pPr>
              <w:spacing w:after="20"/>
            </w:pPr>
            <w:r>
              <w:rPr>
                <w:b/>
                <w:color w:val="1B335F"/>
                <w:sz w:val="17"/>
              </w:rPr>
              <w:t>Description</w:t>
            </w:r>
          </w:p>
        </w:tc>
      </w:tr>
      <w:tr>
        <w:trPr>
          <w:cantSplit/>
        </w:trPr>
        <w:tc>
          <w:tcPr>
            <w:tcW w:type="dxa" w:w="576"/>
          </w:tcPr>
          <w:p>
            <w:pPr>
              <w:spacing w:after="20" w:before="20"/>
            </w:pPr>
            <w:r>
              <w:rPr>
                <w:b/>
                <w:sz w:val="17"/>
              </w:rPr>
              <w:t>1</w:t>
            </w:r>
          </w:p>
        </w:tc>
        <w:tc>
          <w:tcPr>
            <w:tcW w:type="dxa" w:w="2592"/>
          </w:tcPr>
          <w:p>
            <w:pPr>
              <w:spacing w:after="20" w:before="20"/>
            </w:pPr>
            <w:r>
              <w:rPr>
                <w:sz w:val="17"/>
              </w:rPr>
              <w:t>ESP32-S3</w:t>
            </w:r>
          </w:p>
        </w:tc>
        <w:tc>
          <w:tcPr>
            <w:tcW w:type="dxa" w:w="6336"/>
          </w:tcPr>
          <w:p>
            <w:pPr>
              <w:spacing w:after="20" w:before="20"/>
            </w:pPr>
            <w:r>
              <w:rPr>
                <w:sz w:val="17"/>
              </w:rPr>
              <w:t>Main MCU: runs the firmware and controls all blocks.</w:t>
            </w:r>
          </w:p>
        </w:tc>
      </w:tr>
      <w:tr>
        <w:trPr>
          <w:cantSplit/>
        </w:trPr>
        <w:tc>
          <w:tcPr>
            <w:tcW w:type="dxa" w:w="576"/>
          </w:tcPr>
          <w:p>
            <w:pPr>
              <w:spacing w:after="20" w:before="20"/>
            </w:pPr>
            <w:r>
              <w:rPr>
                <w:b/>
                <w:sz w:val="17"/>
              </w:rPr>
              <w:t>2</w:t>
            </w:r>
          </w:p>
        </w:tc>
        <w:tc>
          <w:tcPr>
            <w:tcW w:type="dxa" w:w="2592"/>
          </w:tcPr>
          <w:p>
            <w:pPr>
              <w:spacing w:after="20" w:before="20"/>
            </w:pPr>
            <w:r>
              <w:rPr>
                <w:sz w:val="17"/>
              </w:rPr>
              <w:t>LoRa (E22-900MM22S)</w:t>
            </w:r>
          </w:p>
        </w:tc>
        <w:tc>
          <w:tcPr>
            <w:tcW w:type="dxa" w:w="6336"/>
          </w:tcPr>
          <w:p>
            <w:pPr>
              <w:spacing w:after="20" w:before="20"/>
            </w:pPr>
            <w:r>
              <w:rPr>
                <w:sz w:val="17"/>
              </w:rPr>
              <w:t>LoRa radio for communication with the cluster head.</w:t>
            </w:r>
          </w:p>
        </w:tc>
      </w:tr>
      <w:tr>
        <w:trPr>
          <w:cantSplit/>
        </w:trPr>
        <w:tc>
          <w:tcPr>
            <w:tcW w:type="dxa" w:w="576"/>
          </w:tcPr>
          <w:p>
            <w:pPr>
              <w:spacing w:after="20" w:before="20"/>
            </w:pPr>
            <w:r>
              <w:rPr>
                <w:b/>
                <w:sz w:val="17"/>
              </w:rPr>
              <w:t>3</w:t>
            </w:r>
          </w:p>
        </w:tc>
        <w:tc>
          <w:tcPr>
            <w:tcW w:type="dxa" w:w="2592"/>
          </w:tcPr>
          <w:p>
            <w:pPr>
              <w:spacing w:after="20" w:before="20"/>
            </w:pPr>
            <w:r>
              <w:rPr>
                <w:sz w:val="17"/>
              </w:rPr>
              <w:t>Antenna (U.FL)</w:t>
            </w:r>
          </w:p>
        </w:tc>
        <w:tc>
          <w:tcPr>
            <w:tcW w:type="dxa" w:w="6336"/>
          </w:tcPr>
          <w:p>
            <w:pPr>
              <w:spacing w:after="20" w:before="20"/>
            </w:pPr>
            <w:r>
              <w:rPr>
                <w:sz w:val="17"/>
              </w:rPr>
              <w:t>External LoRa antenna connector.</w:t>
            </w:r>
          </w:p>
        </w:tc>
      </w:tr>
      <w:tr>
        <w:trPr>
          <w:cantSplit/>
        </w:trPr>
        <w:tc>
          <w:tcPr>
            <w:tcW w:type="dxa" w:w="576"/>
          </w:tcPr>
          <w:p>
            <w:pPr>
              <w:spacing w:after="20" w:before="20"/>
            </w:pPr>
            <w:r>
              <w:rPr>
                <w:b/>
                <w:sz w:val="17"/>
              </w:rPr>
              <w:t>4</w:t>
            </w:r>
          </w:p>
        </w:tc>
        <w:tc>
          <w:tcPr>
            <w:tcW w:type="dxa" w:w="2592"/>
          </w:tcPr>
          <w:p>
            <w:pPr>
              <w:spacing w:after="20" w:before="20"/>
            </w:pPr>
            <w:r>
              <w:rPr>
                <w:sz w:val="17"/>
              </w:rPr>
              <w:t>ADS1256</w:t>
            </w:r>
          </w:p>
        </w:tc>
        <w:tc>
          <w:tcPr>
            <w:tcW w:type="dxa" w:w="6336"/>
          </w:tcPr>
          <w:p>
            <w:pPr>
              <w:spacing w:after="20" w:before="20"/>
            </w:pPr>
            <w:r>
              <w:rPr>
                <w:sz w:val="17"/>
              </w:rPr>
              <w:t>24-bit ADC for the eight analog sensor channels.</w:t>
            </w:r>
          </w:p>
        </w:tc>
      </w:tr>
      <w:tr>
        <w:trPr>
          <w:cantSplit/>
        </w:trPr>
        <w:tc>
          <w:tcPr>
            <w:tcW w:type="dxa" w:w="576"/>
          </w:tcPr>
          <w:p>
            <w:pPr>
              <w:spacing w:after="20" w:before="20"/>
            </w:pPr>
            <w:r>
              <w:rPr>
                <w:b/>
                <w:sz w:val="17"/>
              </w:rPr>
              <w:t>5</w:t>
            </w:r>
          </w:p>
        </w:tc>
        <w:tc>
          <w:tcPr>
            <w:tcW w:type="dxa" w:w="2592"/>
          </w:tcPr>
          <w:p>
            <w:pPr>
              <w:spacing w:after="20" w:before="20"/>
            </w:pPr>
            <w:r>
              <w:rPr>
                <w:sz w:val="17"/>
              </w:rPr>
              <w:t>TCA9548</w:t>
            </w:r>
          </w:p>
        </w:tc>
        <w:tc>
          <w:tcPr>
            <w:tcW w:type="dxa" w:w="6336"/>
          </w:tcPr>
          <w:p>
            <w:pPr>
              <w:spacing w:after="20" w:before="20"/>
            </w:pPr>
            <w:r>
              <w:rPr>
                <w:sz w:val="17"/>
              </w:rPr>
              <w:t>8-channel I²C mux, one channel per sensor port.</w:t>
            </w:r>
          </w:p>
        </w:tc>
      </w:tr>
      <w:tr>
        <w:trPr>
          <w:cantSplit/>
        </w:trPr>
        <w:tc>
          <w:tcPr>
            <w:tcW w:type="dxa" w:w="576"/>
          </w:tcPr>
          <w:p>
            <w:pPr>
              <w:spacing w:after="20" w:before="20"/>
            </w:pPr>
            <w:r>
              <w:rPr>
                <w:b/>
                <w:sz w:val="17"/>
              </w:rPr>
              <w:t>6</w:t>
            </w:r>
          </w:p>
        </w:tc>
        <w:tc>
          <w:tcPr>
            <w:tcW w:type="dxa" w:w="2592"/>
          </w:tcPr>
          <w:p>
            <w:pPr>
              <w:spacing w:after="20" w:before="20"/>
            </w:pPr>
            <w:r>
              <w:rPr>
                <w:sz w:val="17"/>
              </w:rPr>
              <w:t>PCF8574</w:t>
            </w:r>
          </w:p>
        </w:tc>
        <w:tc>
          <w:tcPr>
            <w:tcW w:type="dxa" w:w="6336"/>
          </w:tcPr>
          <w:p>
            <w:pPr>
              <w:spacing w:after="20" w:before="20"/>
            </w:pPr>
            <w:r>
              <w:rPr>
                <w:sz w:val="17"/>
              </w:rPr>
              <w:t>I/O expander for the enable signals EN0–EN7.</w:t>
            </w:r>
          </w:p>
        </w:tc>
      </w:tr>
      <w:tr>
        <w:trPr>
          <w:cantSplit/>
        </w:trPr>
        <w:tc>
          <w:tcPr>
            <w:tcW w:type="dxa" w:w="576"/>
          </w:tcPr>
          <w:p>
            <w:pPr>
              <w:spacing w:after="20" w:before="20"/>
            </w:pPr>
            <w:r>
              <w:rPr>
                <w:b/>
                <w:sz w:val="17"/>
              </w:rPr>
              <w:t>7</w:t>
            </w:r>
          </w:p>
        </w:tc>
        <w:tc>
          <w:tcPr>
            <w:tcW w:type="dxa" w:w="2592"/>
          </w:tcPr>
          <w:p>
            <w:pPr>
              <w:spacing w:after="20" w:before="20"/>
            </w:pPr>
            <w:r>
              <w:rPr>
                <w:sz w:val="17"/>
              </w:rPr>
              <w:t>USB</w:t>
            </w:r>
          </w:p>
        </w:tc>
        <w:tc>
          <w:tcPr>
            <w:tcW w:type="dxa" w:w="6336"/>
          </w:tcPr>
          <w:p>
            <w:pPr>
              <w:spacing w:after="20" w:before="20"/>
            </w:pPr>
            <w:r>
              <w:rPr>
                <w:sz w:val="17"/>
              </w:rPr>
              <w:t>Micro-USB + CH340C for firmware flashing and serial monitor.</w:t>
            </w:r>
          </w:p>
        </w:tc>
      </w:tr>
      <w:tr>
        <w:trPr>
          <w:cantSplit/>
        </w:trPr>
        <w:tc>
          <w:tcPr>
            <w:tcW w:type="dxa" w:w="576"/>
          </w:tcPr>
          <w:p>
            <w:pPr>
              <w:spacing w:after="20" w:before="20"/>
            </w:pPr>
            <w:r>
              <w:rPr>
                <w:b/>
                <w:sz w:val="17"/>
              </w:rPr>
              <w:t>8</w:t>
            </w:r>
          </w:p>
        </w:tc>
        <w:tc>
          <w:tcPr>
            <w:tcW w:type="dxa" w:w="2592"/>
          </w:tcPr>
          <w:p>
            <w:pPr>
              <w:spacing w:after="20" w:before="20"/>
            </w:pPr>
            <w:r>
              <w:rPr>
                <w:sz w:val="17"/>
              </w:rPr>
              <w:t>RS-485</w:t>
            </w:r>
          </w:p>
        </w:tc>
        <w:tc>
          <w:tcPr>
            <w:tcW w:type="dxa" w:w="6336"/>
          </w:tcPr>
          <w:p>
            <w:pPr>
              <w:spacing w:after="20" w:before="20"/>
            </w:pPr>
            <w:r>
              <w:rPr>
                <w:sz w:val="17"/>
              </w:rPr>
              <w:t>THVD1410 transceiver for the RS-485 bus.</w:t>
            </w:r>
          </w:p>
        </w:tc>
      </w:tr>
      <w:tr>
        <w:trPr>
          <w:cantSplit/>
        </w:trPr>
        <w:tc>
          <w:tcPr>
            <w:tcW w:type="dxa" w:w="576"/>
          </w:tcPr>
          <w:p>
            <w:pPr>
              <w:spacing w:after="20" w:before="20"/>
            </w:pPr>
            <w:r>
              <w:rPr>
                <w:b/>
                <w:sz w:val="17"/>
              </w:rPr>
              <w:t>9</w:t>
            </w:r>
          </w:p>
        </w:tc>
        <w:tc>
          <w:tcPr>
            <w:tcW w:type="dxa" w:w="2592"/>
          </w:tcPr>
          <w:p>
            <w:pPr>
              <w:spacing w:after="20" w:before="20"/>
            </w:pPr>
            <w:r>
              <w:rPr>
                <w:sz w:val="17"/>
              </w:rPr>
              <w:t>Alarm driver</w:t>
            </w:r>
          </w:p>
        </w:tc>
        <w:tc>
          <w:tcPr>
            <w:tcW w:type="dxa" w:w="6336"/>
          </w:tcPr>
          <w:p>
            <w:pPr>
              <w:spacing w:after="20" w:before="20"/>
            </w:pPr>
            <w:r>
              <w:rPr>
                <w:sz w:val="17"/>
              </w:rPr>
              <w:t>MOSFET switching the 24 V siren/beacon.</w:t>
            </w:r>
          </w:p>
        </w:tc>
      </w:tr>
      <w:tr>
        <w:trPr>
          <w:cantSplit/>
        </w:trPr>
        <w:tc>
          <w:tcPr>
            <w:tcW w:type="dxa" w:w="576"/>
          </w:tcPr>
          <w:p>
            <w:pPr>
              <w:spacing w:after="20" w:before="20"/>
            </w:pPr>
            <w:r>
              <w:rPr>
                <w:b/>
                <w:sz w:val="17"/>
              </w:rPr>
              <w:t>10</w:t>
            </w:r>
          </w:p>
        </w:tc>
        <w:tc>
          <w:tcPr>
            <w:tcW w:type="dxa" w:w="2592"/>
          </w:tcPr>
          <w:p>
            <w:pPr>
              <w:spacing w:after="20" w:before="20"/>
            </w:pPr>
            <w:r>
              <w:rPr>
                <w:sz w:val="17"/>
              </w:rPr>
              <w:t>Fan driver</w:t>
            </w:r>
          </w:p>
        </w:tc>
        <w:tc>
          <w:tcPr>
            <w:tcW w:type="dxa" w:w="6336"/>
          </w:tcPr>
          <w:p>
            <w:pPr>
              <w:spacing w:after="20" w:before="20"/>
            </w:pPr>
            <w:r>
              <w:rPr>
                <w:sz w:val="17"/>
              </w:rPr>
              <w:t>MOSFET switching the 5 V fan.</w:t>
            </w:r>
          </w:p>
        </w:tc>
      </w:tr>
      <w:tr>
        <w:trPr>
          <w:cantSplit/>
        </w:trPr>
        <w:tc>
          <w:tcPr>
            <w:tcW w:type="dxa" w:w="576"/>
          </w:tcPr>
          <w:p>
            <w:pPr>
              <w:spacing w:after="20" w:before="20"/>
            </w:pPr>
            <w:r>
              <w:rPr>
                <w:b/>
                <w:sz w:val="17"/>
              </w:rPr>
              <w:t>11</w:t>
            </w:r>
          </w:p>
        </w:tc>
        <w:tc>
          <w:tcPr>
            <w:tcW w:type="dxa" w:w="2592"/>
          </w:tcPr>
          <w:p>
            <w:pPr>
              <w:spacing w:after="20" w:before="20"/>
            </w:pPr>
            <w:r>
              <w:rPr>
                <w:sz w:val="17"/>
              </w:rPr>
              <w:t>SHT40</w:t>
            </w:r>
          </w:p>
        </w:tc>
        <w:tc>
          <w:tcPr>
            <w:tcW w:type="dxa" w:w="6336"/>
          </w:tcPr>
          <w:p>
            <w:pPr>
              <w:spacing w:after="20" w:before="20"/>
            </w:pPr>
            <w:r>
              <w:rPr>
                <w:sz w:val="17"/>
              </w:rPr>
              <w:t>Temperature and humidity sensor inside the enclosure.</w:t>
            </w:r>
          </w:p>
        </w:tc>
      </w:tr>
      <w:tr>
        <w:trPr>
          <w:cantSplit/>
        </w:trPr>
        <w:tc>
          <w:tcPr>
            <w:tcW w:type="dxa" w:w="576"/>
          </w:tcPr>
          <w:p>
            <w:pPr>
              <w:spacing w:after="20" w:before="20"/>
            </w:pPr>
            <w:r>
              <w:rPr>
                <w:b/>
                <w:sz w:val="17"/>
              </w:rPr>
              <w:t>12</w:t>
            </w:r>
          </w:p>
        </w:tc>
        <w:tc>
          <w:tcPr>
            <w:tcW w:type="dxa" w:w="2592"/>
          </w:tcPr>
          <w:p>
            <w:pPr>
              <w:spacing w:after="20" w:before="20"/>
            </w:pPr>
            <w:r>
              <w:rPr>
                <w:sz w:val="17"/>
              </w:rPr>
              <w:t>Power block</w:t>
            </w:r>
          </w:p>
        </w:tc>
        <w:tc>
          <w:tcPr>
            <w:tcW w:type="dxa" w:w="6336"/>
          </w:tcPr>
          <w:p>
            <w:pPr>
              <w:spacing w:after="20" w:before="20"/>
            </w:pPr>
            <w:r>
              <w:rPr>
                <w:sz w:val="17"/>
              </w:rPr>
              <w:t>Power input and protection (VIN connector, fuse, TVS, filter).</w:t>
            </w:r>
          </w:p>
        </w:tc>
      </w:tr>
      <w:tr>
        <w:trPr>
          <w:cantSplit/>
        </w:trPr>
        <w:tc>
          <w:tcPr>
            <w:tcW w:type="dxa" w:w="576"/>
          </w:tcPr>
          <w:p>
            <w:pPr>
              <w:spacing w:after="20" w:before="20"/>
            </w:pPr>
            <w:r>
              <w:rPr>
                <w:b/>
                <w:sz w:val="17"/>
              </w:rPr>
              <w:t>13</w:t>
            </w:r>
          </w:p>
        </w:tc>
        <w:tc>
          <w:tcPr>
            <w:tcW w:type="dxa" w:w="2592"/>
          </w:tcPr>
          <w:p>
            <w:pPr>
              <w:spacing w:after="20" w:before="20"/>
            </w:pPr>
            <w:r>
              <w:rPr>
                <w:sz w:val="17"/>
              </w:rPr>
              <w:t>TPL5010</w:t>
            </w:r>
          </w:p>
        </w:tc>
        <w:tc>
          <w:tcPr>
            <w:tcW w:type="dxa" w:w="6336"/>
          </w:tcPr>
          <w:p>
            <w:pPr>
              <w:spacing w:after="20" w:before="20"/>
            </w:pPr>
            <w:r>
              <w:rPr>
                <w:sz w:val="17"/>
              </w:rPr>
              <w:t>Watchdog timer that wakes the system periodically.</w:t>
            </w:r>
          </w:p>
        </w:tc>
      </w:tr>
    </w:tbl>
    <w:p>
      <w:pPr>
        <w:spacing w:after="40"/>
      </w:pPr>
    </w:p>
    <w:p>
      <w:r>
        <w:br w:type="page"/>
      </w:r>
    </w:p>
    <w:p>
      <w:pPr>
        <w:spacing w:after="40"/>
        <w:jc w:val="center"/>
      </w:pPr>
      <w:r>
        <w:drawing>
          <wp:inline xmlns:a="http://schemas.openxmlformats.org/drawingml/2006/main" xmlns:pic="http://schemas.openxmlformats.org/drawingml/2006/picture">
            <wp:extent cx="4443813" cy="4754880"/>
            <wp:docPr id="99" name="Picture 99"/>
            <wp:cNvGraphicFramePr>
              <a:graphicFrameLocks noChangeAspect="1"/>
            </wp:cNvGraphicFramePr>
            <a:graphic>
              <a:graphicData uri="http://schemas.openxmlformats.org/drawingml/2006/picture">
                <pic:pic>
                  <pic:nvPicPr>
                    <pic:cNvPr id="0" name="view04.jpg"/>
                    <pic:cNvPicPr/>
                  </pic:nvPicPr>
                  <pic:blipFill>
                    <a:blip r:embed="rId109"/>
                    <a:stretch>
                      <a:fillRect/>
                    </a:stretch>
                  </pic:blipFill>
                  <pic:spPr>
                    <a:xfrm>
                      <a:off x="0" y="0"/>
                      <a:ext cx="4443813" cy="4754880"/>
                    </a:xfrm>
                    <a:prstGeom prst="rect"/>
                  </pic:spPr>
                </pic:pic>
              </a:graphicData>
            </a:graphic>
          </wp:inline>
        </w:drawing>
      </w:r>
    </w:p>
    <w:p>
      <w:pPr>
        <w:spacing w:after="60"/>
        <w:jc w:val="center"/>
      </w:pPr>
      <w:r>
        <w:rPr>
          <w:b/>
          <w:i w:val="0"/>
          <w:color w:val="1B335F"/>
          <w:sz w:val="18"/>
        </w:rPr>
        <w:t>Figure 8-4. Board dimensions — Main Board GLD</w:t>
      </w:r>
    </w:p>
    <w:tbl>
      <w:tblPr>
        <w:tblStyle w:val="TableGrid"/>
        <w:tblW w:type="auto" w:w="0"/>
        <w:jc w:val="center"/>
        <w:tblLayout w:type="fixed"/>
        <w:tblLook w:firstColumn="1" w:firstRow="1" w:lastColumn="0" w:lastRow="0" w:noHBand="0" w:noVBand="1" w:val="04A0"/>
        <w:tblLayout w:type="fixed"/>
      </w:tblPr>
      <w:tblGrid>
        <w:gridCol w:w="2592"/>
        <w:gridCol w:w="720"/>
        <w:gridCol w:w="1152"/>
        <w:gridCol w:w="3744"/>
        <w:gridCol w:w="1296"/>
      </w:tblGrid>
      <w:tr>
        <w:trPr>
          <w:tblHeader w:val="true"/>
        </w:trPr>
        <w:tc>
          <w:tcPr>
            <w:tcW w:type="dxa" w:w="2592"/>
            <w:shd w:val="clear" w:fill="EAEFF9"/>
          </w:tcPr>
          <w:p>
            <w:pPr>
              <w:spacing w:after="20"/>
            </w:pPr>
            <w:r>
              <w:rPr>
                <w:b/>
                <w:color w:val="1B335F"/>
                <w:sz w:val="17"/>
              </w:rPr>
              <w:t>Drawing no.</w:t>
            </w:r>
          </w:p>
        </w:tc>
        <w:tc>
          <w:tcPr>
            <w:tcW w:type="dxa" w:w="720"/>
            <w:shd w:val="clear" w:fill="EAEFF9"/>
          </w:tcPr>
          <w:p>
            <w:pPr>
              <w:spacing w:after="20"/>
            </w:pPr>
            <w:r>
              <w:rPr>
                <w:b/>
                <w:color w:val="1B335F"/>
                <w:sz w:val="17"/>
              </w:rPr>
              <w:t>Rev</w:t>
            </w:r>
          </w:p>
        </w:tc>
        <w:tc>
          <w:tcPr>
            <w:tcW w:type="dxa" w:w="1152"/>
            <w:shd w:val="clear" w:fill="EAEFF9"/>
          </w:tcPr>
          <w:p>
            <w:pPr>
              <w:spacing w:after="20"/>
            </w:pPr>
            <w:r>
              <w:rPr>
                <w:b/>
                <w:color w:val="1B335F"/>
                <w:sz w:val="17"/>
              </w:rPr>
              <w:t>Date</w:t>
            </w:r>
          </w:p>
        </w:tc>
        <w:tc>
          <w:tcPr>
            <w:tcW w:type="dxa" w:w="3744"/>
            <w:shd w:val="clear" w:fill="EAEFF9"/>
          </w:tcPr>
          <w:p>
            <w:pPr>
              <w:spacing w:after="20"/>
            </w:pPr>
            <w:r>
              <w:rPr>
                <w:b/>
                <w:color w:val="1B335F"/>
                <w:sz w:val="17"/>
              </w:rPr>
              <w:t>Title</w:t>
            </w:r>
          </w:p>
        </w:tc>
        <w:tc>
          <w:tcPr>
            <w:tcW w:type="dxa" w:w="1296"/>
            <w:shd w:val="clear" w:fill="EAEFF9"/>
          </w:tcPr>
          <w:p>
            <w:pPr>
              <w:spacing w:after="20"/>
            </w:pPr>
            <w:r>
              <w:rPr>
                <w:b/>
                <w:color w:val="1B335F"/>
                <w:sz w:val="17"/>
              </w:rPr>
              <w:t>Sheet</w:t>
            </w:r>
          </w:p>
        </w:tc>
      </w:tr>
      <w:tr>
        <w:trPr>
          <w:cantSplit/>
        </w:trPr>
        <w:tc>
          <w:tcPr>
            <w:tcW w:type="dxa" w:w="2592"/>
          </w:tcPr>
          <w:p>
            <w:pPr>
              <w:spacing w:after="20" w:before="20"/>
            </w:pPr>
            <w:r>
              <w:rPr>
                <w:sz w:val="17"/>
              </w:rPr>
              <w:t>PGLD-GLD-V4-MB-PCB-04</w:t>
            </w:r>
          </w:p>
        </w:tc>
        <w:tc>
          <w:tcPr>
            <w:tcW w:type="dxa" w:w="720"/>
          </w:tcPr>
          <w:p>
            <w:pPr>
              <w:spacing w:after="20" w:before="20"/>
            </w:pPr>
            <w:r>
              <w:rPr>
                <w:sz w:val="17"/>
              </w:rPr>
              <w:t>TBC</w:t>
            </w:r>
          </w:p>
        </w:tc>
        <w:tc>
          <w:tcPr>
            <w:tcW w:type="dxa" w:w="1152"/>
          </w:tcPr>
          <w:p>
            <w:pPr>
              <w:spacing w:after="20" w:before="20"/>
            </w:pPr>
            <w:r>
              <w:rPr>
                <w:sz w:val="17"/>
              </w:rPr>
              <w:t>TBC</w:t>
            </w:r>
          </w:p>
        </w:tc>
        <w:tc>
          <w:tcPr>
            <w:tcW w:type="dxa" w:w="3744"/>
          </w:tcPr>
          <w:p>
            <w:pPr>
              <w:spacing w:after="20" w:before="20"/>
            </w:pPr>
            <w:r>
              <w:rPr>
                <w:sz w:val="17"/>
              </w:rPr>
              <w:t>Board dimensions</w:t>
            </w:r>
          </w:p>
        </w:tc>
        <w:tc>
          <w:tcPr>
            <w:tcW w:type="dxa" w:w="1296"/>
          </w:tcPr>
          <w:p>
            <w:pPr>
              <w:spacing w:after="20" w:before="20"/>
            </w:pPr>
            <w:r>
              <w:rPr>
                <w:sz w:val="17"/>
              </w:rPr>
              <w:t>4 of 10</w:t>
            </w:r>
          </w:p>
        </w:tc>
      </w:tr>
    </w:tbl>
    <w:p>
      <w:pPr>
        <w:spacing w:after="40"/>
      </w:pPr>
    </w:p>
    <w:tbl>
      <w:tblPr>
        <w:tblStyle w:val="TableGrid"/>
        <w:tblW w:type="auto" w:w="0"/>
        <w:jc w:val="center"/>
        <w:tblLayout w:type="fixed"/>
        <w:tblLook w:firstColumn="1" w:firstRow="1" w:lastColumn="0" w:lastRow="0" w:noHBand="0" w:noVBand="1" w:val="04A0"/>
        <w:tblLayout w:type="fixed"/>
      </w:tblPr>
      <w:tblGrid>
        <w:gridCol w:w="576"/>
        <w:gridCol w:w="2592"/>
        <w:gridCol w:w="6336"/>
      </w:tblGrid>
      <w:tr>
        <w:trPr>
          <w:tblHeader w:val="true"/>
        </w:trPr>
        <w:tc>
          <w:tcPr>
            <w:tcW w:type="dxa" w:w="576"/>
            <w:shd w:val="clear" w:fill="EAEFF9"/>
          </w:tcPr>
          <w:p>
            <w:pPr>
              <w:spacing w:after="20"/>
            </w:pPr>
            <w:r>
              <w:rPr>
                <w:b/>
                <w:color w:val="1B335F"/>
                <w:sz w:val="17"/>
              </w:rPr>
              <w:t>No</w:t>
            </w:r>
          </w:p>
        </w:tc>
        <w:tc>
          <w:tcPr>
            <w:tcW w:type="dxa" w:w="2592"/>
            <w:shd w:val="clear" w:fill="EAEFF9"/>
          </w:tcPr>
          <w:p>
            <w:pPr>
              <w:spacing w:after="20"/>
            </w:pPr>
            <w:r>
              <w:rPr>
                <w:b/>
                <w:color w:val="1B335F"/>
                <w:sz w:val="17"/>
              </w:rPr>
              <w:t>Item</w:t>
            </w:r>
          </w:p>
        </w:tc>
        <w:tc>
          <w:tcPr>
            <w:tcW w:type="dxa" w:w="6336"/>
            <w:shd w:val="clear" w:fill="EAEFF9"/>
          </w:tcPr>
          <w:p>
            <w:pPr>
              <w:spacing w:after="20"/>
            </w:pPr>
            <w:r>
              <w:rPr>
                <w:b/>
                <w:color w:val="1B335F"/>
                <w:sz w:val="17"/>
              </w:rPr>
              <w:t>Description</w:t>
            </w:r>
          </w:p>
        </w:tc>
      </w:tr>
      <w:tr>
        <w:trPr>
          <w:cantSplit/>
        </w:trPr>
        <w:tc>
          <w:tcPr>
            <w:tcW w:type="dxa" w:w="576"/>
          </w:tcPr>
          <w:p>
            <w:pPr>
              <w:spacing w:after="20" w:before="20"/>
            </w:pPr>
            <w:r>
              <w:rPr>
                <w:b/>
                <w:sz w:val="17"/>
              </w:rPr>
              <w:t>1</w:t>
            </w:r>
          </w:p>
        </w:tc>
        <w:tc>
          <w:tcPr>
            <w:tcW w:type="dxa" w:w="2592"/>
          </w:tcPr>
          <w:p>
            <w:pPr>
              <w:spacing w:after="20" w:before="20"/>
            </w:pPr>
            <w:r>
              <w:rPr>
                <w:sz w:val="17"/>
              </w:rPr>
              <w:t>Board diameter: 84 mm</w:t>
            </w:r>
          </w:p>
        </w:tc>
        <w:tc>
          <w:tcPr>
            <w:tcW w:type="dxa" w:w="6336"/>
          </w:tcPr>
          <w:p>
            <w:pPr>
              <w:spacing w:after="20" w:before="20"/>
            </w:pPr>
            <w:r>
              <w:rPr>
                <w:sz w:val="17"/>
              </w:rPr>
              <w:t>Circular board (outline) matching the round aluminium enclosure.</w:t>
            </w:r>
          </w:p>
        </w:tc>
      </w:tr>
      <w:tr>
        <w:trPr>
          <w:cantSplit/>
        </w:trPr>
        <w:tc>
          <w:tcPr>
            <w:tcW w:type="dxa" w:w="576"/>
          </w:tcPr>
          <w:p>
            <w:pPr>
              <w:spacing w:after="20" w:before="20"/>
            </w:pPr>
            <w:r>
              <w:rPr>
                <w:b/>
                <w:sz w:val="17"/>
              </w:rPr>
              <w:t>2</w:t>
            </w:r>
          </w:p>
        </w:tc>
        <w:tc>
          <w:tcPr>
            <w:tcW w:type="dxa" w:w="2592"/>
          </w:tcPr>
          <w:p>
            <w:pPr>
              <w:spacing w:after="20" w:before="20"/>
            </w:pPr>
            <w:r>
              <w:rPr>
                <w:sz w:val="17"/>
              </w:rPr>
              <w:t>Enclosure-hole pitch circle: Ø 64 mm</w:t>
            </w:r>
          </w:p>
        </w:tc>
        <w:tc>
          <w:tcPr>
            <w:tcW w:type="dxa" w:w="6336"/>
          </w:tcPr>
          <w:p>
            <w:pPr>
              <w:spacing w:after="20" w:before="20"/>
            </w:pPr>
            <w:r>
              <w:rPr>
                <w:sz w:val="17"/>
              </w:rPr>
              <w:t>The four enclosure fixing holes lie on this circle, 90° apart.</w:t>
            </w:r>
          </w:p>
        </w:tc>
      </w:tr>
    </w:tbl>
    <w:p>
      <w:pPr>
        <w:spacing w:after="40"/>
      </w:pPr>
    </w:p>
    <w:p>
      <w:r>
        <w:br w:type="page"/>
      </w:r>
    </w:p>
    <w:p>
      <w:pPr>
        <w:spacing w:after="40"/>
        <w:jc w:val="center"/>
      </w:pPr>
      <w:r>
        <w:drawing>
          <wp:inline xmlns:a="http://schemas.openxmlformats.org/drawingml/2006/main" xmlns:pic="http://schemas.openxmlformats.org/drawingml/2006/picture">
            <wp:extent cx="4480560" cy="4480560"/>
            <wp:docPr id="100" name="Picture 100"/>
            <wp:cNvGraphicFramePr>
              <a:graphicFrameLocks noChangeAspect="1"/>
            </wp:cNvGraphicFramePr>
            <a:graphic>
              <a:graphicData uri="http://schemas.openxmlformats.org/drawingml/2006/picture">
                <pic:pic>
                  <pic:nvPicPr>
                    <pic:cNvPr id="0" name="view05.jpg"/>
                    <pic:cNvPicPr/>
                  </pic:nvPicPr>
                  <pic:blipFill>
                    <a:blip r:embed="rId110"/>
                    <a:stretch>
                      <a:fillRect/>
                    </a:stretch>
                  </pic:blipFill>
                  <pic:spPr>
                    <a:xfrm>
                      <a:off x="0" y="0"/>
                      <a:ext cx="4480560" cy="4480560"/>
                    </a:xfrm>
                    <a:prstGeom prst="rect"/>
                  </pic:spPr>
                </pic:pic>
              </a:graphicData>
            </a:graphic>
          </wp:inline>
        </w:drawing>
      </w:r>
    </w:p>
    <w:p>
      <w:pPr>
        <w:spacing w:after="60"/>
        <w:jc w:val="center"/>
      </w:pPr>
      <w:r>
        <w:rPr>
          <w:b/>
          <w:i w:val="0"/>
          <w:color w:val="1B335F"/>
          <w:sz w:val="18"/>
        </w:rPr>
        <w:t>Figure 8-5. Mounting holes — Main Board GLD</w:t>
      </w:r>
    </w:p>
    <w:tbl>
      <w:tblPr>
        <w:tblStyle w:val="TableGrid"/>
        <w:tblW w:type="auto" w:w="0"/>
        <w:jc w:val="center"/>
        <w:tblLayout w:type="fixed"/>
        <w:tblLook w:firstColumn="1" w:firstRow="1" w:lastColumn="0" w:lastRow="0" w:noHBand="0" w:noVBand="1" w:val="04A0"/>
        <w:tblLayout w:type="fixed"/>
      </w:tblPr>
      <w:tblGrid>
        <w:gridCol w:w="2592"/>
        <w:gridCol w:w="720"/>
        <w:gridCol w:w="1152"/>
        <w:gridCol w:w="3744"/>
        <w:gridCol w:w="1296"/>
      </w:tblGrid>
      <w:tr>
        <w:trPr>
          <w:tblHeader w:val="true"/>
        </w:trPr>
        <w:tc>
          <w:tcPr>
            <w:tcW w:type="dxa" w:w="2592"/>
            <w:shd w:val="clear" w:fill="EAEFF9"/>
          </w:tcPr>
          <w:p>
            <w:pPr>
              <w:spacing w:after="20"/>
            </w:pPr>
            <w:r>
              <w:rPr>
                <w:b/>
                <w:color w:val="1B335F"/>
                <w:sz w:val="17"/>
              </w:rPr>
              <w:t>Drawing no.</w:t>
            </w:r>
          </w:p>
        </w:tc>
        <w:tc>
          <w:tcPr>
            <w:tcW w:type="dxa" w:w="720"/>
            <w:shd w:val="clear" w:fill="EAEFF9"/>
          </w:tcPr>
          <w:p>
            <w:pPr>
              <w:spacing w:after="20"/>
            </w:pPr>
            <w:r>
              <w:rPr>
                <w:b/>
                <w:color w:val="1B335F"/>
                <w:sz w:val="17"/>
              </w:rPr>
              <w:t>Rev</w:t>
            </w:r>
          </w:p>
        </w:tc>
        <w:tc>
          <w:tcPr>
            <w:tcW w:type="dxa" w:w="1152"/>
            <w:shd w:val="clear" w:fill="EAEFF9"/>
          </w:tcPr>
          <w:p>
            <w:pPr>
              <w:spacing w:after="20"/>
            </w:pPr>
            <w:r>
              <w:rPr>
                <w:b/>
                <w:color w:val="1B335F"/>
                <w:sz w:val="17"/>
              </w:rPr>
              <w:t>Date</w:t>
            </w:r>
          </w:p>
        </w:tc>
        <w:tc>
          <w:tcPr>
            <w:tcW w:type="dxa" w:w="3744"/>
            <w:shd w:val="clear" w:fill="EAEFF9"/>
          </w:tcPr>
          <w:p>
            <w:pPr>
              <w:spacing w:after="20"/>
            </w:pPr>
            <w:r>
              <w:rPr>
                <w:b/>
                <w:color w:val="1B335F"/>
                <w:sz w:val="17"/>
              </w:rPr>
              <w:t>Title</w:t>
            </w:r>
          </w:p>
        </w:tc>
        <w:tc>
          <w:tcPr>
            <w:tcW w:type="dxa" w:w="1296"/>
            <w:shd w:val="clear" w:fill="EAEFF9"/>
          </w:tcPr>
          <w:p>
            <w:pPr>
              <w:spacing w:after="20"/>
            </w:pPr>
            <w:r>
              <w:rPr>
                <w:b/>
                <w:color w:val="1B335F"/>
                <w:sz w:val="17"/>
              </w:rPr>
              <w:t>Sheet</w:t>
            </w:r>
          </w:p>
        </w:tc>
      </w:tr>
      <w:tr>
        <w:trPr>
          <w:cantSplit/>
        </w:trPr>
        <w:tc>
          <w:tcPr>
            <w:tcW w:type="dxa" w:w="2592"/>
          </w:tcPr>
          <w:p>
            <w:pPr>
              <w:spacing w:after="20" w:before="20"/>
            </w:pPr>
            <w:r>
              <w:rPr>
                <w:sz w:val="17"/>
              </w:rPr>
              <w:t>PGLD-GLD-V4-MB-PCB-05</w:t>
            </w:r>
          </w:p>
        </w:tc>
        <w:tc>
          <w:tcPr>
            <w:tcW w:type="dxa" w:w="720"/>
          </w:tcPr>
          <w:p>
            <w:pPr>
              <w:spacing w:after="20" w:before="20"/>
            </w:pPr>
            <w:r>
              <w:rPr>
                <w:sz w:val="17"/>
              </w:rPr>
              <w:t>TBC</w:t>
            </w:r>
          </w:p>
        </w:tc>
        <w:tc>
          <w:tcPr>
            <w:tcW w:type="dxa" w:w="1152"/>
          </w:tcPr>
          <w:p>
            <w:pPr>
              <w:spacing w:after="20" w:before="20"/>
            </w:pPr>
            <w:r>
              <w:rPr>
                <w:sz w:val="17"/>
              </w:rPr>
              <w:t>TBC</w:t>
            </w:r>
          </w:p>
        </w:tc>
        <w:tc>
          <w:tcPr>
            <w:tcW w:type="dxa" w:w="3744"/>
          </w:tcPr>
          <w:p>
            <w:pPr>
              <w:spacing w:after="20" w:before="20"/>
            </w:pPr>
            <w:r>
              <w:rPr>
                <w:sz w:val="17"/>
              </w:rPr>
              <w:t>Mounting holes</w:t>
            </w:r>
          </w:p>
        </w:tc>
        <w:tc>
          <w:tcPr>
            <w:tcW w:type="dxa" w:w="1296"/>
          </w:tcPr>
          <w:p>
            <w:pPr>
              <w:spacing w:after="20" w:before="20"/>
            </w:pPr>
            <w:r>
              <w:rPr>
                <w:sz w:val="17"/>
              </w:rPr>
              <w:t>5 of 10</w:t>
            </w:r>
          </w:p>
        </w:tc>
      </w:tr>
    </w:tbl>
    <w:p>
      <w:pPr>
        <w:spacing w:after="40"/>
      </w:pPr>
    </w:p>
    <w:tbl>
      <w:tblPr>
        <w:tblStyle w:val="TableGrid"/>
        <w:tblW w:type="auto" w:w="0"/>
        <w:jc w:val="center"/>
        <w:tblLayout w:type="fixed"/>
        <w:tblLook w:firstColumn="1" w:firstRow="1" w:lastColumn="0" w:lastRow="0" w:noHBand="0" w:noVBand="1" w:val="04A0"/>
        <w:tblLayout w:type="fixed"/>
      </w:tblPr>
      <w:tblGrid>
        <w:gridCol w:w="576"/>
        <w:gridCol w:w="2592"/>
        <w:gridCol w:w="6336"/>
      </w:tblGrid>
      <w:tr>
        <w:trPr>
          <w:tblHeader w:val="true"/>
        </w:trPr>
        <w:tc>
          <w:tcPr>
            <w:tcW w:type="dxa" w:w="576"/>
            <w:shd w:val="clear" w:fill="EAEFF9"/>
          </w:tcPr>
          <w:p>
            <w:pPr>
              <w:spacing w:after="20"/>
            </w:pPr>
            <w:r>
              <w:rPr>
                <w:b/>
                <w:color w:val="1B335F"/>
                <w:sz w:val="17"/>
              </w:rPr>
              <w:t>No</w:t>
            </w:r>
          </w:p>
        </w:tc>
        <w:tc>
          <w:tcPr>
            <w:tcW w:type="dxa" w:w="2592"/>
            <w:shd w:val="clear" w:fill="EAEFF9"/>
          </w:tcPr>
          <w:p>
            <w:pPr>
              <w:spacing w:after="20"/>
            </w:pPr>
            <w:r>
              <w:rPr>
                <w:b/>
                <w:color w:val="1B335F"/>
                <w:sz w:val="17"/>
              </w:rPr>
              <w:t>Item</w:t>
            </w:r>
          </w:p>
        </w:tc>
        <w:tc>
          <w:tcPr>
            <w:tcW w:type="dxa" w:w="6336"/>
            <w:shd w:val="clear" w:fill="EAEFF9"/>
          </w:tcPr>
          <w:p>
            <w:pPr>
              <w:spacing w:after="20"/>
            </w:pPr>
            <w:r>
              <w:rPr>
                <w:b/>
                <w:color w:val="1B335F"/>
                <w:sz w:val="17"/>
              </w:rPr>
              <w:t>Description</w:t>
            </w:r>
          </w:p>
        </w:tc>
      </w:tr>
      <w:tr>
        <w:trPr>
          <w:cantSplit/>
        </w:trPr>
        <w:tc>
          <w:tcPr>
            <w:tcW w:type="dxa" w:w="576"/>
          </w:tcPr>
          <w:p>
            <w:pPr>
              <w:spacing w:after="20" w:before="20"/>
            </w:pPr>
            <w:r>
              <w:rPr>
                <w:b/>
                <w:sz w:val="17"/>
              </w:rPr>
              <w:t>1</w:t>
            </w:r>
          </w:p>
        </w:tc>
        <w:tc>
          <w:tcPr>
            <w:tcW w:type="dxa" w:w="2592"/>
          </w:tcPr>
          <w:p>
            <w:pPr>
              <w:spacing w:after="20" w:before="20"/>
            </w:pPr>
            <w:r>
              <w:rPr>
                <w:sz w:val="17"/>
              </w:rPr>
              <w:t>Enclosure holes (4 × Ø 3.2 mm)</w:t>
            </w:r>
          </w:p>
        </w:tc>
        <w:tc>
          <w:tcPr>
            <w:tcW w:type="dxa" w:w="6336"/>
          </w:tcPr>
          <w:p>
            <w:pPr>
              <w:spacing w:after="20" w:before="20"/>
            </w:pPr>
            <w:r>
              <w:rPr>
                <w:sz w:val="17"/>
              </w:rPr>
              <w:t>Hole pattern of the enclosure footprint on the Ø 64 mm circle; board-to-enclosure fixing screws. Positions from centre: (0, +32), (+32, 0), (0, −32), (−32, 0) mm.</w:t>
            </w:r>
          </w:p>
        </w:tc>
      </w:tr>
      <w:tr>
        <w:trPr>
          <w:cantSplit/>
        </w:trPr>
        <w:tc>
          <w:tcPr>
            <w:tcW w:type="dxa" w:w="576"/>
          </w:tcPr>
          <w:p>
            <w:pPr>
              <w:spacing w:after="20" w:before="20"/>
            </w:pPr>
            <w:r>
              <w:rPr>
                <w:b/>
                <w:sz w:val="17"/>
              </w:rPr>
              <w:t>2</w:t>
            </w:r>
          </w:p>
        </w:tc>
        <w:tc>
          <w:tcPr>
            <w:tcW w:type="dxa" w:w="2592"/>
          </w:tcPr>
          <w:p>
            <w:pPr>
              <w:spacing w:after="20" w:before="20"/>
            </w:pPr>
            <w:r>
              <w:rPr>
                <w:sz w:val="17"/>
              </w:rPr>
              <w:t>Additional holes (4 × Ø 3.0 mm)</w:t>
            </w:r>
          </w:p>
        </w:tc>
        <w:tc>
          <w:tcPr>
            <w:tcW w:type="dxa" w:w="6336"/>
          </w:tcPr>
          <w:p>
            <w:pPr>
              <w:spacing w:after="20" w:before="20"/>
            </w:pPr>
            <w:r>
              <w:rPr>
                <w:sz w:val="17"/>
              </w:rPr>
              <w:t>Four further fixing holes near the board edge (≈ ±39 mm from centre). Exact use (enclosure screw or standoff) to be confirmed with the mechanical drawing.</w:t>
            </w:r>
          </w:p>
        </w:tc>
      </w:tr>
    </w:tbl>
    <w:p>
      <w:pPr>
        <w:spacing w:after="40"/>
      </w:pPr>
    </w:p>
    <w:p>
      <w:r>
        <w:br w:type="page"/>
      </w:r>
    </w:p>
    <w:p>
      <w:pPr>
        <w:spacing w:after="40"/>
        <w:jc w:val="center"/>
      </w:pPr>
      <w:r>
        <w:drawing>
          <wp:inline xmlns:a="http://schemas.openxmlformats.org/drawingml/2006/main" xmlns:pic="http://schemas.openxmlformats.org/drawingml/2006/picture">
            <wp:extent cx="4480560" cy="4480560"/>
            <wp:docPr id="101" name="Picture 101"/>
            <wp:cNvGraphicFramePr>
              <a:graphicFrameLocks noChangeAspect="1"/>
            </wp:cNvGraphicFramePr>
            <a:graphic>
              <a:graphicData uri="http://schemas.openxmlformats.org/drawingml/2006/picture">
                <pic:pic>
                  <pic:nvPicPr>
                    <pic:cNvPr id="0" name="view06.jpg"/>
                    <pic:cNvPicPr/>
                  </pic:nvPicPr>
                  <pic:blipFill>
                    <a:blip r:embed="rId111"/>
                    <a:stretch>
                      <a:fillRect/>
                    </a:stretch>
                  </pic:blipFill>
                  <pic:spPr>
                    <a:xfrm>
                      <a:off x="0" y="0"/>
                      <a:ext cx="4480560" cy="4480560"/>
                    </a:xfrm>
                    <a:prstGeom prst="rect"/>
                  </pic:spPr>
                </pic:pic>
              </a:graphicData>
            </a:graphic>
          </wp:inline>
        </w:drawing>
      </w:r>
    </w:p>
    <w:p>
      <w:pPr>
        <w:spacing w:after="60"/>
        <w:jc w:val="center"/>
      </w:pPr>
      <w:r>
        <w:rPr>
          <w:b/>
          <w:i w:val="0"/>
          <w:color w:val="1B335F"/>
          <w:sz w:val="18"/>
        </w:rPr>
        <w:t>Figure 8-6. Connectors — Main Board GLD</w:t>
      </w:r>
    </w:p>
    <w:tbl>
      <w:tblPr>
        <w:tblStyle w:val="TableGrid"/>
        <w:tblW w:type="auto" w:w="0"/>
        <w:jc w:val="center"/>
        <w:tblLayout w:type="fixed"/>
        <w:tblLook w:firstColumn="1" w:firstRow="1" w:lastColumn="0" w:lastRow="0" w:noHBand="0" w:noVBand="1" w:val="04A0"/>
        <w:tblLayout w:type="fixed"/>
      </w:tblPr>
      <w:tblGrid>
        <w:gridCol w:w="2592"/>
        <w:gridCol w:w="720"/>
        <w:gridCol w:w="1152"/>
        <w:gridCol w:w="3744"/>
        <w:gridCol w:w="1296"/>
      </w:tblGrid>
      <w:tr>
        <w:trPr>
          <w:tblHeader w:val="true"/>
        </w:trPr>
        <w:tc>
          <w:tcPr>
            <w:tcW w:type="dxa" w:w="2592"/>
            <w:shd w:val="clear" w:fill="EAEFF9"/>
          </w:tcPr>
          <w:p>
            <w:pPr>
              <w:spacing w:after="20"/>
            </w:pPr>
            <w:r>
              <w:rPr>
                <w:b/>
                <w:color w:val="1B335F"/>
                <w:sz w:val="17"/>
              </w:rPr>
              <w:t>Drawing no.</w:t>
            </w:r>
          </w:p>
        </w:tc>
        <w:tc>
          <w:tcPr>
            <w:tcW w:type="dxa" w:w="720"/>
            <w:shd w:val="clear" w:fill="EAEFF9"/>
          </w:tcPr>
          <w:p>
            <w:pPr>
              <w:spacing w:after="20"/>
            </w:pPr>
            <w:r>
              <w:rPr>
                <w:b/>
                <w:color w:val="1B335F"/>
                <w:sz w:val="17"/>
              </w:rPr>
              <w:t>Rev</w:t>
            </w:r>
          </w:p>
        </w:tc>
        <w:tc>
          <w:tcPr>
            <w:tcW w:type="dxa" w:w="1152"/>
            <w:shd w:val="clear" w:fill="EAEFF9"/>
          </w:tcPr>
          <w:p>
            <w:pPr>
              <w:spacing w:after="20"/>
            </w:pPr>
            <w:r>
              <w:rPr>
                <w:b/>
                <w:color w:val="1B335F"/>
                <w:sz w:val="17"/>
              </w:rPr>
              <w:t>Date</w:t>
            </w:r>
          </w:p>
        </w:tc>
        <w:tc>
          <w:tcPr>
            <w:tcW w:type="dxa" w:w="3744"/>
            <w:shd w:val="clear" w:fill="EAEFF9"/>
          </w:tcPr>
          <w:p>
            <w:pPr>
              <w:spacing w:after="20"/>
            </w:pPr>
            <w:r>
              <w:rPr>
                <w:b/>
                <w:color w:val="1B335F"/>
                <w:sz w:val="17"/>
              </w:rPr>
              <w:t>Title</w:t>
            </w:r>
          </w:p>
        </w:tc>
        <w:tc>
          <w:tcPr>
            <w:tcW w:type="dxa" w:w="1296"/>
            <w:shd w:val="clear" w:fill="EAEFF9"/>
          </w:tcPr>
          <w:p>
            <w:pPr>
              <w:spacing w:after="20"/>
            </w:pPr>
            <w:r>
              <w:rPr>
                <w:b/>
                <w:color w:val="1B335F"/>
                <w:sz w:val="17"/>
              </w:rPr>
              <w:t>Sheet</w:t>
            </w:r>
          </w:p>
        </w:tc>
      </w:tr>
      <w:tr>
        <w:trPr>
          <w:cantSplit/>
        </w:trPr>
        <w:tc>
          <w:tcPr>
            <w:tcW w:type="dxa" w:w="2592"/>
          </w:tcPr>
          <w:p>
            <w:pPr>
              <w:spacing w:after="20" w:before="20"/>
            </w:pPr>
            <w:r>
              <w:rPr>
                <w:sz w:val="17"/>
              </w:rPr>
              <w:t>PGLD-GLD-V4-MB-PCB-06</w:t>
            </w:r>
          </w:p>
        </w:tc>
        <w:tc>
          <w:tcPr>
            <w:tcW w:type="dxa" w:w="720"/>
          </w:tcPr>
          <w:p>
            <w:pPr>
              <w:spacing w:after="20" w:before="20"/>
            </w:pPr>
            <w:r>
              <w:rPr>
                <w:sz w:val="17"/>
              </w:rPr>
              <w:t>TBC</w:t>
            </w:r>
          </w:p>
        </w:tc>
        <w:tc>
          <w:tcPr>
            <w:tcW w:type="dxa" w:w="1152"/>
          </w:tcPr>
          <w:p>
            <w:pPr>
              <w:spacing w:after="20" w:before="20"/>
            </w:pPr>
            <w:r>
              <w:rPr>
                <w:sz w:val="17"/>
              </w:rPr>
              <w:t>TBC</w:t>
            </w:r>
          </w:p>
        </w:tc>
        <w:tc>
          <w:tcPr>
            <w:tcW w:type="dxa" w:w="3744"/>
          </w:tcPr>
          <w:p>
            <w:pPr>
              <w:spacing w:after="20" w:before="20"/>
            </w:pPr>
            <w:r>
              <w:rPr>
                <w:sz w:val="17"/>
              </w:rPr>
              <w:t>Connectors</w:t>
            </w:r>
          </w:p>
        </w:tc>
        <w:tc>
          <w:tcPr>
            <w:tcW w:type="dxa" w:w="1296"/>
          </w:tcPr>
          <w:p>
            <w:pPr>
              <w:spacing w:after="20" w:before="20"/>
            </w:pPr>
            <w:r>
              <w:rPr>
                <w:sz w:val="17"/>
              </w:rPr>
              <w:t>6 of 10</w:t>
            </w:r>
          </w:p>
        </w:tc>
      </w:tr>
    </w:tbl>
    <w:p>
      <w:pPr>
        <w:spacing w:after="40"/>
      </w:pPr>
    </w:p>
    <w:tbl>
      <w:tblPr>
        <w:tblStyle w:val="TableGrid"/>
        <w:tblW w:type="auto" w:w="0"/>
        <w:jc w:val="center"/>
        <w:tblLayout w:type="fixed"/>
        <w:tblLook w:firstColumn="1" w:firstRow="1" w:lastColumn="0" w:lastRow="0" w:noHBand="0" w:noVBand="1" w:val="04A0"/>
        <w:tblLayout w:type="fixed"/>
      </w:tblPr>
      <w:tblGrid>
        <w:gridCol w:w="576"/>
        <w:gridCol w:w="2592"/>
        <w:gridCol w:w="6336"/>
      </w:tblGrid>
      <w:tr>
        <w:trPr>
          <w:tblHeader w:val="true"/>
        </w:trPr>
        <w:tc>
          <w:tcPr>
            <w:tcW w:type="dxa" w:w="576"/>
            <w:shd w:val="clear" w:fill="EAEFF9"/>
          </w:tcPr>
          <w:p>
            <w:pPr>
              <w:spacing w:after="20"/>
            </w:pPr>
            <w:r>
              <w:rPr>
                <w:b/>
                <w:color w:val="1B335F"/>
                <w:sz w:val="17"/>
              </w:rPr>
              <w:t>No</w:t>
            </w:r>
          </w:p>
        </w:tc>
        <w:tc>
          <w:tcPr>
            <w:tcW w:type="dxa" w:w="2592"/>
            <w:shd w:val="clear" w:fill="EAEFF9"/>
          </w:tcPr>
          <w:p>
            <w:pPr>
              <w:spacing w:after="20"/>
            </w:pPr>
            <w:r>
              <w:rPr>
                <w:b/>
                <w:color w:val="1B335F"/>
                <w:sz w:val="17"/>
              </w:rPr>
              <w:t>Item</w:t>
            </w:r>
          </w:p>
        </w:tc>
        <w:tc>
          <w:tcPr>
            <w:tcW w:type="dxa" w:w="6336"/>
            <w:shd w:val="clear" w:fill="EAEFF9"/>
          </w:tcPr>
          <w:p>
            <w:pPr>
              <w:spacing w:after="20"/>
            </w:pPr>
            <w:r>
              <w:rPr>
                <w:b/>
                <w:color w:val="1B335F"/>
                <w:sz w:val="17"/>
              </w:rPr>
              <w:t>Description</w:t>
            </w:r>
          </w:p>
        </w:tc>
      </w:tr>
      <w:tr>
        <w:trPr>
          <w:cantSplit/>
        </w:trPr>
        <w:tc>
          <w:tcPr>
            <w:tcW w:type="dxa" w:w="576"/>
          </w:tcPr>
          <w:p>
            <w:pPr>
              <w:spacing w:after="20" w:before="20"/>
            </w:pPr>
            <w:r>
              <w:rPr>
                <w:b/>
                <w:sz w:val="17"/>
              </w:rPr>
              <w:t>1</w:t>
            </w:r>
          </w:p>
        </w:tc>
        <w:tc>
          <w:tcPr>
            <w:tcW w:type="dxa" w:w="2592"/>
          </w:tcPr>
          <w:p>
            <w:pPr>
              <w:spacing w:after="20" w:before="20"/>
            </w:pPr>
            <w:r>
              <w:rPr>
                <w:sz w:val="17"/>
              </w:rPr>
              <w:t>VIN</w:t>
            </w:r>
          </w:p>
        </w:tc>
        <w:tc>
          <w:tcPr>
            <w:tcW w:type="dxa" w:w="6336"/>
          </w:tcPr>
          <w:p>
            <w:pPr>
              <w:spacing w:after="20" w:before="20"/>
            </w:pPr>
            <w:r>
              <w:rPr>
                <w:sz w:val="17"/>
              </w:rPr>
              <w:t>Power input, 2 × 3 pins: 24V+, 24V−, 5VEXT, GND, BAT (battery).</w:t>
            </w:r>
          </w:p>
        </w:tc>
      </w:tr>
      <w:tr>
        <w:trPr>
          <w:cantSplit/>
        </w:trPr>
        <w:tc>
          <w:tcPr>
            <w:tcW w:type="dxa" w:w="576"/>
          </w:tcPr>
          <w:p>
            <w:pPr>
              <w:spacing w:after="20" w:before="20"/>
            </w:pPr>
            <w:r>
              <w:rPr>
                <w:b/>
                <w:sz w:val="17"/>
              </w:rPr>
              <w:t>2</w:t>
            </w:r>
          </w:p>
        </w:tc>
        <w:tc>
          <w:tcPr>
            <w:tcW w:type="dxa" w:w="2592"/>
          </w:tcPr>
          <w:p>
            <w:pPr>
              <w:spacing w:after="20" w:before="20"/>
            </w:pPr>
            <w:r>
              <w:rPr>
                <w:sz w:val="17"/>
              </w:rPr>
              <w:t>ALARM</w:t>
            </w:r>
          </w:p>
        </w:tc>
        <w:tc>
          <w:tcPr>
            <w:tcW w:type="dxa" w:w="6336"/>
          </w:tcPr>
          <w:p>
            <w:pPr>
              <w:spacing w:after="20" w:before="20"/>
            </w:pPr>
            <w:r>
              <w:rPr>
                <w:sz w:val="17"/>
              </w:rPr>
              <w:t>24 V siren/beacon output (pin 1 = +24V, pin 2 = MOSFET switch side).</w:t>
            </w:r>
          </w:p>
        </w:tc>
      </w:tr>
      <w:tr>
        <w:trPr>
          <w:cantSplit/>
        </w:trPr>
        <w:tc>
          <w:tcPr>
            <w:tcW w:type="dxa" w:w="576"/>
          </w:tcPr>
          <w:p>
            <w:pPr>
              <w:spacing w:after="20" w:before="20"/>
            </w:pPr>
            <w:r>
              <w:rPr>
                <w:b/>
                <w:sz w:val="17"/>
              </w:rPr>
              <w:t>3</w:t>
            </w:r>
          </w:p>
        </w:tc>
        <w:tc>
          <w:tcPr>
            <w:tcW w:type="dxa" w:w="2592"/>
          </w:tcPr>
          <w:p>
            <w:pPr>
              <w:spacing w:after="20" w:before="20"/>
            </w:pPr>
            <w:r>
              <w:rPr>
                <w:sz w:val="17"/>
              </w:rPr>
              <w:t>FAN</w:t>
            </w:r>
          </w:p>
        </w:tc>
        <w:tc>
          <w:tcPr>
            <w:tcW w:type="dxa" w:w="6336"/>
          </w:tcPr>
          <w:p>
            <w:pPr>
              <w:spacing w:after="20" w:before="20"/>
            </w:pPr>
            <w:r>
              <w:rPr>
                <w:sz w:val="17"/>
              </w:rPr>
              <w:t>5 V fan output (pin 1 = +5V, pin 2 = MOSFET switch side).</w:t>
            </w:r>
          </w:p>
        </w:tc>
      </w:tr>
      <w:tr>
        <w:trPr>
          <w:cantSplit/>
        </w:trPr>
        <w:tc>
          <w:tcPr>
            <w:tcW w:type="dxa" w:w="576"/>
          </w:tcPr>
          <w:p>
            <w:pPr>
              <w:spacing w:after="20" w:before="20"/>
            </w:pPr>
            <w:r>
              <w:rPr>
                <w:b/>
                <w:sz w:val="17"/>
              </w:rPr>
              <w:t>4</w:t>
            </w:r>
          </w:p>
        </w:tc>
        <w:tc>
          <w:tcPr>
            <w:tcW w:type="dxa" w:w="2592"/>
          </w:tcPr>
          <w:p>
            <w:pPr>
              <w:spacing w:after="20" w:before="20"/>
            </w:pPr>
            <w:r>
              <w:rPr>
                <w:sz w:val="17"/>
              </w:rPr>
              <w:t>RS-485</w:t>
            </w:r>
          </w:p>
        </w:tc>
        <w:tc>
          <w:tcPr>
            <w:tcW w:type="dxa" w:w="6336"/>
          </w:tcPr>
          <w:p>
            <w:pPr>
              <w:spacing w:after="20" w:before="20"/>
            </w:pPr>
            <w:r>
              <w:rPr>
                <w:sz w:val="17"/>
              </w:rPr>
              <w:t>RS-485 bus: B (pin 1) and A (pin 2).</w:t>
            </w:r>
          </w:p>
        </w:tc>
      </w:tr>
      <w:tr>
        <w:trPr>
          <w:cantSplit/>
        </w:trPr>
        <w:tc>
          <w:tcPr>
            <w:tcW w:type="dxa" w:w="576"/>
          </w:tcPr>
          <w:p>
            <w:pPr>
              <w:spacing w:after="20" w:before="20"/>
            </w:pPr>
            <w:r>
              <w:rPr>
                <w:b/>
                <w:sz w:val="17"/>
              </w:rPr>
              <w:t>5</w:t>
            </w:r>
          </w:p>
        </w:tc>
        <w:tc>
          <w:tcPr>
            <w:tcW w:type="dxa" w:w="2592"/>
          </w:tcPr>
          <w:p>
            <w:pPr>
              <w:spacing w:after="20" w:before="20"/>
            </w:pPr>
            <w:r>
              <w:rPr>
                <w:sz w:val="17"/>
              </w:rPr>
              <w:t>Micro-USB</w:t>
            </w:r>
          </w:p>
        </w:tc>
        <w:tc>
          <w:tcPr>
            <w:tcW w:type="dxa" w:w="6336"/>
          </w:tcPr>
          <w:p>
            <w:pPr>
              <w:spacing w:after="20" w:before="20"/>
            </w:pPr>
            <w:r>
              <w:rPr>
                <w:sz w:val="17"/>
              </w:rPr>
              <w:t>Firmware flashing and serial debug.</w:t>
            </w:r>
          </w:p>
        </w:tc>
      </w:tr>
      <w:tr>
        <w:trPr>
          <w:cantSplit/>
        </w:trPr>
        <w:tc>
          <w:tcPr>
            <w:tcW w:type="dxa" w:w="576"/>
          </w:tcPr>
          <w:p>
            <w:pPr>
              <w:spacing w:after="20" w:before="20"/>
            </w:pPr>
            <w:r>
              <w:rPr>
                <w:b/>
                <w:sz w:val="17"/>
              </w:rPr>
              <w:t>6</w:t>
            </w:r>
          </w:p>
        </w:tc>
        <w:tc>
          <w:tcPr>
            <w:tcW w:type="dxa" w:w="2592"/>
          </w:tcPr>
          <w:p>
            <w:pPr>
              <w:spacing w:after="20" w:before="20"/>
            </w:pPr>
            <w:r>
              <w:rPr>
                <w:sz w:val="17"/>
              </w:rPr>
              <w:t>U.FL (antenna)</w:t>
            </w:r>
          </w:p>
        </w:tc>
        <w:tc>
          <w:tcPr>
            <w:tcW w:type="dxa" w:w="6336"/>
          </w:tcPr>
          <w:p>
            <w:pPr>
              <w:spacing w:after="20" w:before="20"/>
            </w:pPr>
            <w:r>
              <w:rPr>
                <w:sz w:val="17"/>
              </w:rPr>
              <w:t>External LoRa antenna connector.</w:t>
            </w:r>
          </w:p>
        </w:tc>
      </w:tr>
      <w:tr>
        <w:trPr>
          <w:cantSplit/>
        </w:trPr>
        <w:tc>
          <w:tcPr>
            <w:tcW w:type="dxa" w:w="576"/>
          </w:tcPr>
          <w:p>
            <w:pPr>
              <w:spacing w:after="20" w:before="20"/>
            </w:pPr>
            <w:r>
              <w:rPr>
                <w:b/>
                <w:sz w:val="17"/>
              </w:rPr>
              <w:t>7</w:t>
            </w:r>
          </w:p>
        </w:tc>
        <w:tc>
          <w:tcPr>
            <w:tcW w:type="dxa" w:w="2592"/>
          </w:tcPr>
          <w:p>
            <w:pPr>
              <w:spacing w:after="20" w:before="20"/>
            </w:pPr>
            <w:r>
              <w:rPr>
                <w:sz w:val="17"/>
              </w:rPr>
              <w:t>Sensor ports (8)</w:t>
            </w:r>
          </w:p>
        </w:tc>
        <w:tc>
          <w:tcPr>
            <w:tcW w:type="dxa" w:w="6336"/>
          </w:tcPr>
          <w:p>
            <w:pPr>
              <w:spacing w:after="20" w:before="20"/>
            </w:pPr>
            <w:r>
              <w:rPr>
                <w:sz w:val="17"/>
              </w:rPr>
              <w:t>Eight 2 × 4 headers (1.27 mm pitch): GND, +5V, AINx, SCLx, SDAx, ENx, VMID — one sensor module each.</w:t>
            </w:r>
          </w:p>
        </w:tc>
      </w:tr>
    </w:tbl>
    <w:p>
      <w:pPr>
        <w:spacing w:after="40"/>
      </w:pPr>
    </w:p>
    <w:p>
      <w:r>
        <w:br w:type="page"/>
      </w:r>
    </w:p>
    <w:p>
      <w:pPr>
        <w:spacing w:after="40"/>
        <w:jc w:val="center"/>
      </w:pPr>
      <w:r>
        <w:drawing>
          <wp:inline xmlns:a="http://schemas.openxmlformats.org/drawingml/2006/main" xmlns:pic="http://schemas.openxmlformats.org/drawingml/2006/picture">
            <wp:extent cx="4480560" cy="4480560"/>
            <wp:docPr id="102" name="Picture 102"/>
            <wp:cNvGraphicFramePr>
              <a:graphicFrameLocks noChangeAspect="1"/>
            </wp:cNvGraphicFramePr>
            <a:graphic>
              <a:graphicData uri="http://schemas.openxmlformats.org/drawingml/2006/picture">
                <pic:pic>
                  <pic:nvPicPr>
                    <pic:cNvPr id="0" name="view07.jpg"/>
                    <pic:cNvPicPr/>
                  </pic:nvPicPr>
                  <pic:blipFill>
                    <a:blip r:embed="rId112"/>
                    <a:stretch>
                      <a:fillRect/>
                    </a:stretch>
                  </pic:blipFill>
                  <pic:spPr>
                    <a:xfrm>
                      <a:off x="0" y="0"/>
                      <a:ext cx="4480560" cy="4480560"/>
                    </a:xfrm>
                    <a:prstGeom prst="rect"/>
                  </pic:spPr>
                </pic:pic>
              </a:graphicData>
            </a:graphic>
          </wp:inline>
        </w:drawing>
      </w:r>
    </w:p>
    <w:p>
      <w:pPr>
        <w:spacing w:after="60"/>
        <w:jc w:val="center"/>
      </w:pPr>
      <w:r>
        <w:rPr>
          <w:b/>
          <w:i w:val="0"/>
          <w:color w:val="1B335F"/>
          <w:sz w:val="18"/>
        </w:rPr>
        <w:t>Figure 8-7. High-current / power area — Main Board GLD</w:t>
      </w:r>
    </w:p>
    <w:tbl>
      <w:tblPr>
        <w:tblStyle w:val="TableGrid"/>
        <w:tblW w:type="auto" w:w="0"/>
        <w:jc w:val="center"/>
        <w:tblLayout w:type="fixed"/>
        <w:tblLook w:firstColumn="1" w:firstRow="1" w:lastColumn="0" w:lastRow="0" w:noHBand="0" w:noVBand="1" w:val="04A0"/>
        <w:tblLayout w:type="fixed"/>
      </w:tblPr>
      <w:tblGrid>
        <w:gridCol w:w="2592"/>
        <w:gridCol w:w="720"/>
        <w:gridCol w:w="1152"/>
        <w:gridCol w:w="3744"/>
        <w:gridCol w:w="1296"/>
      </w:tblGrid>
      <w:tr>
        <w:trPr>
          <w:tblHeader w:val="true"/>
        </w:trPr>
        <w:tc>
          <w:tcPr>
            <w:tcW w:type="dxa" w:w="2592"/>
            <w:shd w:val="clear" w:fill="EAEFF9"/>
          </w:tcPr>
          <w:p>
            <w:pPr>
              <w:spacing w:after="20"/>
            </w:pPr>
            <w:r>
              <w:rPr>
                <w:b/>
                <w:color w:val="1B335F"/>
                <w:sz w:val="17"/>
              </w:rPr>
              <w:t>Drawing no.</w:t>
            </w:r>
          </w:p>
        </w:tc>
        <w:tc>
          <w:tcPr>
            <w:tcW w:type="dxa" w:w="720"/>
            <w:shd w:val="clear" w:fill="EAEFF9"/>
          </w:tcPr>
          <w:p>
            <w:pPr>
              <w:spacing w:after="20"/>
            </w:pPr>
            <w:r>
              <w:rPr>
                <w:b/>
                <w:color w:val="1B335F"/>
                <w:sz w:val="17"/>
              </w:rPr>
              <w:t>Rev</w:t>
            </w:r>
          </w:p>
        </w:tc>
        <w:tc>
          <w:tcPr>
            <w:tcW w:type="dxa" w:w="1152"/>
            <w:shd w:val="clear" w:fill="EAEFF9"/>
          </w:tcPr>
          <w:p>
            <w:pPr>
              <w:spacing w:after="20"/>
            </w:pPr>
            <w:r>
              <w:rPr>
                <w:b/>
                <w:color w:val="1B335F"/>
                <w:sz w:val="17"/>
              </w:rPr>
              <w:t>Date</w:t>
            </w:r>
          </w:p>
        </w:tc>
        <w:tc>
          <w:tcPr>
            <w:tcW w:type="dxa" w:w="3744"/>
            <w:shd w:val="clear" w:fill="EAEFF9"/>
          </w:tcPr>
          <w:p>
            <w:pPr>
              <w:spacing w:after="20"/>
            </w:pPr>
            <w:r>
              <w:rPr>
                <w:b/>
                <w:color w:val="1B335F"/>
                <w:sz w:val="17"/>
              </w:rPr>
              <w:t>Title</w:t>
            </w:r>
          </w:p>
        </w:tc>
        <w:tc>
          <w:tcPr>
            <w:tcW w:type="dxa" w:w="1296"/>
            <w:shd w:val="clear" w:fill="EAEFF9"/>
          </w:tcPr>
          <w:p>
            <w:pPr>
              <w:spacing w:after="20"/>
            </w:pPr>
            <w:r>
              <w:rPr>
                <w:b/>
                <w:color w:val="1B335F"/>
                <w:sz w:val="17"/>
              </w:rPr>
              <w:t>Sheet</w:t>
            </w:r>
          </w:p>
        </w:tc>
      </w:tr>
      <w:tr>
        <w:trPr>
          <w:cantSplit/>
        </w:trPr>
        <w:tc>
          <w:tcPr>
            <w:tcW w:type="dxa" w:w="2592"/>
          </w:tcPr>
          <w:p>
            <w:pPr>
              <w:spacing w:after="20" w:before="20"/>
            </w:pPr>
            <w:r>
              <w:rPr>
                <w:sz w:val="17"/>
              </w:rPr>
              <w:t>PGLD-GLD-V4-MB-PCB-07</w:t>
            </w:r>
          </w:p>
        </w:tc>
        <w:tc>
          <w:tcPr>
            <w:tcW w:type="dxa" w:w="720"/>
          </w:tcPr>
          <w:p>
            <w:pPr>
              <w:spacing w:after="20" w:before="20"/>
            </w:pPr>
            <w:r>
              <w:rPr>
                <w:sz w:val="17"/>
              </w:rPr>
              <w:t>TBC</w:t>
            </w:r>
          </w:p>
        </w:tc>
        <w:tc>
          <w:tcPr>
            <w:tcW w:type="dxa" w:w="1152"/>
          </w:tcPr>
          <w:p>
            <w:pPr>
              <w:spacing w:after="20" w:before="20"/>
            </w:pPr>
            <w:r>
              <w:rPr>
                <w:sz w:val="17"/>
              </w:rPr>
              <w:t>TBC</w:t>
            </w:r>
          </w:p>
        </w:tc>
        <w:tc>
          <w:tcPr>
            <w:tcW w:type="dxa" w:w="3744"/>
          </w:tcPr>
          <w:p>
            <w:pPr>
              <w:spacing w:after="20" w:before="20"/>
            </w:pPr>
            <w:r>
              <w:rPr>
                <w:sz w:val="17"/>
              </w:rPr>
              <w:t>High-current / power area</w:t>
            </w:r>
          </w:p>
        </w:tc>
        <w:tc>
          <w:tcPr>
            <w:tcW w:type="dxa" w:w="1296"/>
          </w:tcPr>
          <w:p>
            <w:pPr>
              <w:spacing w:after="20" w:before="20"/>
            </w:pPr>
            <w:r>
              <w:rPr>
                <w:sz w:val="17"/>
              </w:rPr>
              <w:t>7 of 10</w:t>
            </w:r>
          </w:p>
        </w:tc>
      </w:tr>
    </w:tbl>
    <w:p>
      <w:pPr>
        <w:spacing w:after="40"/>
      </w:pPr>
    </w:p>
    <w:tbl>
      <w:tblPr>
        <w:tblStyle w:val="TableGrid"/>
        <w:tblW w:type="auto" w:w="0"/>
        <w:jc w:val="center"/>
        <w:tblLayout w:type="fixed"/>
        <w:tblLook w:firstColumn="1" w:firstRow="1" w:lastColumn="0" w:lastRow="0" w:noHBand="0" w:noVBand="1" w:val="04A0"/>
        <w:tblLayout w:type="fixed"/>
      </w:tblPr>
      <w:tblGrid>
        <w:gridCol w:w="576"/>
        <w:gridCol w:w="2592"/>
        <w:gridCol w:w="6336"/>
      </w:tblGrid>
      <w:tr>
        <w:trPr>
          <w:tblHeader w:val="true"/>
        </w:trPr>
        <w:tc>
          <w:tcPr>
            <w:tcW w:type="dxa" w:w="576"/>
            <w:shd w:val="clear" w:fill="EAEFF9"/>
          </w:tcPr>
          <w:p>
            <w:pPr>
              <w:spacing w:after="20"/>
            </w:pPr>
            <w:r>
              <w:rPr>
                <w:b/>
                <w:color w:val="1B335F"/>
                <w:sz w:val="17"/>
              </w:rPr>
              <w:t>No</w:t>
            </w:r>
          </w:p>
        </w:tc>
        <w:tc>
          <w:tcPr>
            <w:tcW w:type="dxa" w:w="2592"/>
            <w:shd w:val="clear" w:fill="EAEFF9"/>
          </w:tcPr>
          <w:p>
            <w:pPr>
              <w:spacing w:after="20"/>
            </w:pPr>
            <w:r>
              <w:rPr>
                <w:b/>
                <w:color w:val="1B335F"/>
                <w:sz w:val="17"/>
              </w:rPr>
              <w:t>Item</w:t>
            </w:r>
          </w:p>
        </w:tc>
        <w:tc>
          <w:tcPr>
            <w:tcW w:type="dxa" w:w="6336"/>
            <w:shd w:val="clear" w:fill="EAEFF9"/>
          </w:tcPr>
          <w:p>
            <w:pPr>
              <w:spacing w:after="20"/>
            </w:pPr>
            <w:r>
              <w:rPr>
                <w:b/>
                <w:color w:val="1B335F"/>
                <w:sz w:val="17"/>
              </w:rPr>
              <w:t>Description</w:t>
            </w:r>
          </w:p>
        </w:tc>
      </w:tr>
      <w:tr>
        <w:trPr>
          <w:cantSplit/>
        </w:trPr>
        <w:tc>
          <w:tcPr>
            <w:tcW w:type="dxa" w:w="576"/>
          </w:tcPr>
          <w:p>
            <w:pPr>
              <w:spacing w:after="20" w:before="20"/>
            </w:pPr>
            <w:r>
              <w:rPr>
                <w:b/>
                <w:sz w:val="17"/>
              </w:rPr>
              <w:t>1</w:t>
            </w:r>
          </w:p>
        </w:tc>
        <w:tc>
          <w:tcPr>
            <w:tcW w:type="dxa" w:w="2592"/>
          </w:tcPr>
          <w:p>
            <w:pPr>
              <w:spacing w:after="20" w:before="20"/>
            </w:pPr>
            <w:r>
              <w:rPr>
                <w:sz w:val="17"/>
              </w:rPr>
              <w:t>Power input &amp; protection</w:t>
            </w:r>
          </w:p>
        </w:tc>
        <w:tc>
          <w:tcPr>
            <w:tcW w:type="dxa" w:w="6336"/>
          </w:tcPr>
          <w:p>
            <w:pPr>
              <w:spacing w:after="20" w:before="20"/>
            </w:pPr>
            <w:r>
              <w:rPr>
                <w:sz w:val="17"/>
              </w:rPr>
              <w:t>VIN connector, fuse, TVS, common-mode filter, ferrite: 24 V entry path.</w:t>
            </w:r>
          </w:p>
        </w:tc>
      </w:tr>
      <w:tr>
        <w:trPr>
          <w:cantSplit/>
        </w:trPr>
        <w:tc>
          <w:tcPr>
            <w:tcW w:type="dxa" w:w="576"/>
          </w:tcPr>
          <w:p>
            <w:pPr>
              <w:spacing w:after="20" w:before="20"/>
            </w:pPr>
            <w:r>
              <w:rPr>
                <w:b/>
                <w:sz w:val="17"/>
              </w:rPr>
              <w:t>2</w:t>
            </w:r>
          </w:p>
        </w:tc>
        <w:tc>
          <w:tcPr>
            <w:tcW w:type="dxa" w:w="2592"/>
          </w:tcPr>
          <w:p>
            <w:pPr>
              <w:spacing w:after="20" w:before="20"/>
            </w:pPr>
            <w:r>
              <w:rPr>
                <w:sz w:val="17"/>
              </w:rPr>
              <w:t>24 V → 5 V converter</w:t>
            </w:r>
          </w:p>
        </w:tc>
        <w:tc>
          <w:tcPr>
            <w:tcW w:type="dxa" w:w="6336"/>
          </w:tcPr>
          <w:p>
            <w:pPr>
              <w:spacing w:after="20" w:before="20"/>
            </w:pPr>
            <w:r>
              <w:rPr>
                <w:sz w:val="17"/>
              </w:rPr>
              <w:t>LMR51450 buck, 4.7 µH inductor, P-MOSFET switch.</w:t>
            </w:r>
          </w:p>
        </w:tc>
      </w:tr>
      <w:tr>
        <w:trPr>
          <w:cantSplit/>
        </w:trPr>
        <w:tc>
          <w:tcPr>
            <w:tcW w:type="dxa" w:w="576"/>
          </w:tcPr>
          <w:p>
            <w:pPr>
              <w:spacing w:after="20" w:before="20"/>
            </w:pPr>
            <w:r>
              <w:rPr>
                <w:b/>
                <w:sz w:val="17"/>
              </w:rPr>
              <w:t>3</w:t>
            </w:r>
          </w:p>
        </w:tc>
        <w:tc>
          <w:tcPr>
            <w:tcW w:type="dxa" w:w="2592"/>
          </w:tcPr>
          <w:p>
            <w:pPr>
              <w:spacing w:after="20" w:before="20"/>
            </w:pPr>
            <w:r>
              <w:rPr>
                <w:sz w:val="17"/>
              </w:rPr>
              <w:t>Battery → 24 V converter</w:t>
            </w:r>
          </w:p>
        </w:tc>
        <w:tc>
          <w:tcPr>
            <w:tcW w:type="dxa" w:w="6336"/>
          </w:tcPr>
          <w:p>
            <w:pPr>
              <w:spacing w:after="20" w:before="20"/>
            </w:pPr>
            <w:r>
              <w:rPr>
                <w:sz w:val="17"/>
              </w:rPr>
              <w:t>TPS61175 boost, 10 µH inductor, SK36 diode and OR-ing diode to the +24V rail.</w:t>
            </w:r>
          </w:p>
        </w:tc>
      </w:tr>
      <w:tr>
        <w:trPr>
          <w:cantSplit/>
        </w:trPr>
        <w:tc>
          <w:tcPr>
            <w:tcW w:type="dxa" w:w="576"/>
          </w:tcPr>
          <w:p>
            <w:pPr>
              <w:spacing w:after="20" w:before="20"/>
            </w:pPr>
            <w:r>
              <w:rPr>
                <w:b/>
                <w:sz w:val="17"/>
              </w:rPr>
              <w:t>4</w:t>
            </w:r>
          </w:p>
        </w:tc>
        <w:tc>
          <w:tcPr>
            <w:tcW w:type="dxa" w:w="2592"/>
          </w:tcPr>
          <w:p>
            <w:pPr>
              <w:spacing w:after="20" w:before="20"/>
            </w:pPr>
            <w:r>
              <w:rPr>
                <w:sz w:val="17"/>
              </w:rPr>
              <w:t>Battery → 5 V converter + power mux</w:t>
            </w:r>
          </w:p>
        </w:tc>
        <w:tc>
          <w:tcPr>
            <w:tcW w:type="dxa" w:w="6336"/>
          </w:tcPr>
          <w:p>
            <w:pPr>
              <w:spacing w:after="20" w:before="20"/>
            </w:pPr>
            <w:r>
              <w:rPr>
                <w:sz w:val="17"/>
              </w:rPr>
              <w:t>TPS61088 boost, 2.2 µH inductor, TPS2116 power mux selecting the 5 V source.</w:t>
            </w:r>
          </w:p>
        </w:tc>
      </w:tr>
      <w:tr>
        <w:trPr>
          <w:cantSplit/>
        </w:trPr>
        <w:tc>
          <w:tcPr>
            <w:tcW w:type="dxa" w:w="576"/>
          </w:tcPr>
          <w:p>
            <w:pPr>
              <w:spacing w:after="20" w:before="20"/>
            </w:pPr>
            <w:r>
              <w:rPr>
                <w:b/>
                <w:sz w:val="17"/>
              </w:rPr>
              <w:t>5</w:t>
            </w:r>
          </w:p>
        </w:tc>
        <w:tc>
          <w:tcPr>
            <w:tcW w:type="dxa" w:w="2592"/>
          </w:tcPr>
          <w:p>
            <w:pPr>
              <w:spacing w:after="20" w:before="20"/>
            </w:pPr>
            <w:r>
              <w:rPr>
                <w:sz w:val="17"/>
              </w:rPr>
              <w:t>Battery protection</w:t>
            </w:r>
          </w:p>
        </w:tc>
        <w:tc>
          <w:tcPr>
            <w:tcW w:type="dxa" w:w="6336"/>
          </w:tcPr>
          <w:p>
            <w:pPr>
              <w:spacing w:after="20" w:before="20"/>
            </w:pPr>
            <w:r>
              <w:rPr>
                <w:sz w:val="17"/>
              </w:rPr>
              <w:t>Fuse, P-MOSFET, load switch: disconnects the battery when the system sleeps.</w:t>
            </w:r>
          </w:p>
        </w:tc>
      </w:tr>
    </w:tbl>
    <w:p>
      <w:pPr>
        <w:spacing w:after="40"/>
      </w:pPr>
    </w:p>
    <w:p>
      <w:r>
        <w:br w:type="page"/>
      </w:r>
    </w:p>
    <w:p>
      <w:pPr>
        <w:spacing w:after="40"/>
        <w:jc w:val="center"/>
      </w:pPr>
      <w:r>
        <w:drawing>
          <wp:inline xmlns:a="http://schemas.openxmlformats.org/drawingml/2006/main" xmlns:pic="http://schemas.openxmlformats.org/drawingml/2006/picture">
            <wp:extent cx="4480560" cy="4480560"/>
            <wp:docPr id="103" name="Picture 103"/>
            <wp:cNvGraphicFramePr>
              <a:graphicFrameLocks noChangeAspect="1"/>
            </wp:cNvGraphicFramePr>
            <a:graphic>
              <a:graphicData uri="http://schemas.openxmlformats.org/drawingml/2006/picture">
                <pic:pic>
                  <pic:nvPicPr>
                    <pic:cNvPr id="0" name="view08.jpg"/>
                    <pic:cNvPicPr/>
                  </pic:nvPicPr>
                  <pic:blipFill>
                    <a:blip r:embed="rId113"/>
                    <a:stretch>
                      <a:fillRect/>
                    </a:stretch>
                  </pic:blipFill>
                  <pic:spPr>
                    <a:xfrm>
                      <a:off x="0" y="0"/>
                      <a:ext cx="4480560" cy="4480560"/>
                    </a:xfrm>
                    <a:prstGeom prst="rect"/>
                  </pic:spPr>
                </pic:pic>
              </a:graphicData>
            </a:graphic>
          </wp:inline>
        </w:drawing>
      </w:r>
    </w:p>
    <w:p>
      <w:pPr>
        <w:spacing w:after="60"/>
        <w:jc w:val="center"/>
      </w:pPr>
      <w:r>
        <w:rPr>
          <w:b/>
          <w:i w:val="0"/>
          <w:color w:val="1B335F"/>
          <w:sz w:val="18"/>
        </w:rPr>
        <w:t>Figure 8-8. Sensor interface — Main Board GLD</w:t>
      </w:r>
    </w:p>
    <w:tbl>
      <w:tblPr>
        <w:tblStyle w:val="TableGrid"/>
        <w:tblW w:type="auto" w:w="0"/>
        <w:jc w:val="center"/>
        <w:tblLayout w:type="fixed"/>
        <w:tblLook w:firstColumn="1" w:firstRow="1" w:lastColumn="0" w:lastRow="0" w:noHBand="0" w:noVBand="1" w:val="04A0"/>
        <w:tblLayout w:type="fixed"/>
      </w:tblPr>
      <w:tblGrid>
        <w:gridCol w:w="2592"/>
        <w:gridCol w:w="720"/>
        <w:gridCol w:w="1152"/>
        <w:gridCol w:w="3744"/>
        <w:gridCol w:w="1296"/>
      </w:tblGrid>
      <w:tr>
        <w:trPr>
          <w:tblHeader w:val="true"/>
        </w:trPr>
        <w:tc>
          <w:tcPr>
            <w:tcW w:type="dxa" w:w="2592"/>
            <w:shd w:val="clear" w:fill="EAEFF9"/>
          </w:tcPr>
          <w:p>
            <w:pPr>
              <w:spacing w:after="20"/>
            </w:pPr>
            <w:r>
              <w:rPr>
                <w:b/>
                <w:color w:val="1B335F"/>
                <w:sz w:val="17"/>
              </w:rPr>
              <w:t>Drawing no.</w:t>
            </w:r>
          </w:p>
        </w:tc>
        <w:tc>
          <w:tcPr>
            <w:tcW w:type="dxa" w:w="720"/>
            <w:shd w:val="clear" w:fill="EAEFF9"/>
          </w:tcPr>
          <w:p>
            <w:pPr>
              <w:spacing w:after="20"/>
            </w:pPr>
            <w:r>
              <w:rPr>
                <w:b/>
                <w:color w:val="1B335F"/>
                <w:sz w:val="17"/>
              </w:rPr>
              <w:t>Rev</w:t>
            </w:r>
          </w:p>
        </w:tc>
        <w:tc>
          <w:tcPr>
            <w:tcW w:type="dxa" w:w="1152"/>
            <w:shd w:val="clear" w:fill="EAEFF9"/>
          </w:tcPr>
          <w:p>
            <w:pPr>
              <w:spacing w:after="20"/>
            </w:pPr>
            <w:r>
              <w:rPr>
                <w:b/>
                <w:color w:val="1B335F"/>
                <w:sz w:val="17"/>
              </w:rPr>
              <w:t>Date</w:t>
            </w:r>
          </w:p>
        </w:tc>
        <w:tc>
          <w:tcPr>
            <w:tcW w:type="dxa" w:w="3744"/>
            <w:shd w:val="clear" w:fill="EAEFF9"/>
          </w:tcPr>
          <w:p>
            <w:pPr>
              <w:spacing w:after="20"/>
            </w:pPr>
            <w:r>
              <w:rPr>
                <w:b/>
                <w:color w:val="1B335F"/>
                <w:sz w:val="17"/>
              </w:rPr>
              <w:t>Title</w:t>
            </w:r>
          </w:p>
        </w:tc>
        <w:tc>
          <w:tcPr>
            <w:tcW w:type="dxa" w:w="1296"/>
            <w:shd w:val="clear" w:fill="EAEFF9"/>
          </w:tcPr>
          <w:p>
            <w:pPr>
              <w:spacing w:after="20"/>
            </w:pPr>
            <w:r>
              <w:rPr>
                <w:b/>
                <w:color w:val="1B335F"/>
                <w:sz w:val="17"/>
              </w:rPr>
              <w:t>Sheet</w:t>
            </w:r>
          </w:p>
        </w:tc>
      </w:tr>
      <w:tr>
        <w:trPr>
          <w:cantSplit/>
        </w:trPr>
        <w:tc>
          <w:tcPr>
            <w:tcW w:type="dxa" w:w="2592"/>
          </w:tcPr>
          <w:p>
            <w:pPr>
              <w:spacing w:after="20" w:before="20"/>
            </w:pPr>
            <w:r>
              <w:rPr>
                <w:sz w:val="17"/>
              </w:rPr>
              <w:t>PGLD-GLD-V4-MB-PCB-08</w:t>
            </w:r>
          </w:p>
        </w:tc>
        <w:tc>
          <w:tcPr>
            <w:tcW w:type="dxa" w:w="720"/>
          </w:tcPr>
          <w:p>
            <w:pPr>
              <w:spacing w:after="20" w:before="20"/>
            </w:pPr>
            <w:r>
              <w:rPr>
                <w:sz w:val="17"/>
              </w:rPr>
              <w:t>TBC</w:t>
            </w:r>
          </w:p>
        </w:tc>
        <w:tc>
          <w:tcPr>
            <w:tcW w:type="dxa" w:w="1152"/>
          </w:tcPr>
          <w:p>
            <w:pPr>
              <w:spacing w:after="20" w:before="20"/>
            </w:pPr>
            <w:r>
              <w:rPr>
                <w:sz w:val="17"/>
              </w:rPr>
              <w:t>TBC</w:t>
            </w:r>
          </w:p>
        </w:tc>
        <w:tc>
          <w:tcPr>
            <w:tcW w:type="dxa" w:w="3744"/>
          </w:tcPr>
          <w:p>
            <w:pPr>
              <w:spacing w:after="20" w:before="20"/>
            </w:pPr>
            <w:r>
              <w:rPr>
                <w:sz w:val="17"/>
              </w:rPr>
              <w:t>Sensor interface</w:t>
            </w:r>
          </w:p>
        </w:tc>
        <w:tc>
          <w:tcPr>
            <w:tcW w:type="dxa" w:w="1296"/>
          </w:tcPr>
          <w:p>
            <w:pPr>
              <w:spacing w:after="20" w:before="20"/>
            </w:pPr>
            <w:r>
              <w:rPr>
                <w:sz w:val="17"/>
              </w:rPr>
              <w:t>8 of 10</w:t>
            </w:r>
          </w:p>
        </w:tc>
      </w:tr>
    </w:tbl>
    <w:p>
      <w:pPr>
        <w:spacing w:after="40"/>
      </w:pPr>
    </w:p>
    <w:tbl>
      <w:tblPr>
        <w:tblStyle w:val="TableGrid"/>
        <w:tblW w:type="auto" w:w="0"/>
        <w:jc w:val="center"/>
        <w:tblLayout w:type="fixed"/>
        <w:tblLook w:firstColumn="1" w:firstRow="1" w:lastColumn="0" w:lastRow="0" w:noHBand="0" w:noVBand="1" w:val="04A0"/>
        <w:tblLayout w:type="fixed"/>
      </w:tblPr>
      <w:tblGrid>
        <w:gridCol w:w="576"/>
        <w:gridCol w:w="2592"/>
        <w:gridCol w:w="6336"/>
      </w:tblGrid>
      <w:tr>
        <w:trPr>
          <w:tblHeader w:val="true"/>
        </w:trPr>
        <w:tc>
          <w:tcPr>
            <w:tcW w:type="dxa" w:w="576"/>
            <w:shd w:val="clear" w:fill="EAEFF9"/>
          </w:tcPr>
          <w:p>
            <w:pPr>
              <w:spacing w:after="20"/>
            </w:pPr>
            <w:r>
              <w:rPr>
                <w:b/>
                <w:color w:val="1B335F"/>
                <w:sz w:val="17"/>
              </w:rPr>
              <w:t>No</w:t>
            </w:r>
          </w:p>
        </w:tc>
        <w:tc>
          <w:tcPr>
            <w:tcW w:type="dxa" w:w="2592"/>
            <w:shd w:val="clear" w:fill="EAEFF9"/>
          </w:tcPr>
          <w:p>
            <w:pPr>
              <w:spacing w:after="20"/>
            </w:pPr>
            <w:r>
              <w:rPr>
                <w:b/>
                <w:color w:val="1B335F"/>
                <w:sz w:val="17"/>
              </w:rPr>
              <w:t>Item</w:t>
            </w:r>
          </w:p>
        </w:tc>
        <w:tc>
          <w:tcPr>
            <w:tcW w:type="dxa" w:w="6336"/>
            <w:shd w:val="clear" w:fill="EAEFF9"/>
          </w:tcPr>
          <w:p>
            <w:pPr>
              <w:spacing w:after="20"/>
            </w:pPr>
            <w:r>
              <w:rPr>
                <w:b/>
                <w:color w:val="1B335F"/>
                <w:sz w:val="17"/>
              </w:rPr>
              <w:t>Description</w:t>
            </w:r>
          </w:p>
        </w:tc>
      </w:tr>
      <w:tr>
        <w:trPr>
          <w:cantSplit/>
        </w:trPr>
        <w:tc>
          <w:tcPr>
            <w:tcW w:type="dxa" w:w="576"/>
          </w:tcPr>
          <w:p>
            <w:pPr>
              <w:spacing w:after="20" w:before="20"/>
            </w:pPr>
            <w:r>
              <w:rPr>
                <w:b/>
                <w:sz w:val="17"/>
              </w:rPr>
              <w:t>1</w:t>
            </w:r>
          </w:p>
        </w:tc>
        <w:tc>
          <w:tcPr>
            <w:tcW w:type="dxa" w:w="2592"/>
          </w:tcPr>
          <w:p>
            <w:pPr>
              <w:spacing w:after="20" w:before="20"/>
            </w:pPr>
            <w:r>
              <w:rPr>
                <w:sz w:val="17"/>
              </w:rPr>
              <w:t>Sensor ports (8)</w:t>
            </w:r>
          </w:p>
        </w:tc>
        <w:tc>
          <w:tcPr>
            <w:tcW w:type="dxa" w:w="6336"/>
          </w:tcPr>
          <w:p>
            <w:pPr>
              <w:spacing w:after="20" w:before="20"/>
            </w:pPr>
            <w:r>
              <w:rPr>
                <w:sz w:val="17"/>
              </w:rPr>
              <w:t>Eight headers: +5V, GND, VMID, ENx, SDAx/SCLx (I²C per channel), AINx (analog to ADC).</w:t>
            </w:r>
          </w:p>
        </w:tc>
      </w:tr>
      <w:tr>
        <w:trPr>
          <w:cantSplit/>
        </w:trPr>
        <w:tc>
          <w:tcPr>
            <w:tcW w:type="dxa" w:w="576"/>
          </w:tcPr>
          <w:p>
            <w:pPr>
              <w:spacing w:after="20" w:before="20"/>
            </w:pPr>
            <w:r>
              <w:rPr>
                <w:b/>
                <w:sz w:val="17"/>
              </w:rPr>
              <w:t>2</w:t>
            </w:r>
          </w:p>
        </w:tc>
        <w:tc>
          <w:tcPr>
            <w:tcW w:type="dxa" w:w="2592"/>
          </w:tcPr>
          <w:p>
            <w:pPr>
              <w:spacing w:after="20" w:before="20"/>
            </w:pPr>
            <w:r>
              <w:rPr>
                <w:sz w:val="17"/>
              </w:rPr>
              <w:t>TCA9548A</w:t>
            </w:r>
          </w:p>
        </w:tc>
        <w:tc>
          <w:tcPr>
            <w:tcW w:type="dxa" w:w="6336"/>
          </w:tcPr>
          <w:p>
            <w:pPr>
              <w:spacing w:after="20" w:before="20"/>
            </w:pPr>
            <w:r>
              <w:rPr>
                <w:sz w:val="17"/>
              </w:rPr>
              <w:t>I²C mux splitting the ESP32 I²C bus into 8 channels for 8 sensors.</w:t>
            </w:r>
          </w:p>
        </w:tc>
      </w:tr>
      <w:tr>
        <w:trPr>
          <w:cantSplit/>
        </w:trPr>
        <w:tc>
          <w:tcPr>
            <w:tcW w:type="dxa" w:w="576"/>
          </w:tcPr>
          <w:p>
            <w:pPr>
              <w:spacing w:after="20" w:before="20"/>
            </w:pPr>
            <w:r>
              <w:rPr>
                <w:b/>
                <w:sz w:val="17"/>
              </w:rPr>
              <w:t>3</w:t>
            </w:r>
          </w:p>
        </w:tc>
        <w:tc>
          <w:tcPr>
            <w:tcW w:type="dxa" w:w="2592"/>
          </w:tcPr>
          <w:p>
            <w:pPr>
              <w:spacing w:after="20" w:before="20"/>
            </w:pPr>
            <w:r>
              <w:rPr>
                <w:sz w:val="17"/>
              </w:rPr>
              <w:t>PCF8574</w:t>
            </w:r>
          </w:p>
        </w:tc>
        <w:tc>
          <w:tcPr>
            <w:tcW w:type="dxa" w:w="6336"/>
          </w:tcPr>
          <w:p>
            <w:pPr>
              <w:spacing w:after="20" w:before="20"/>
            </w:pPr>
            <w:r>
              <w:rPr>
                <w:sz w:val="17"/>
              </w:rPr>
              <w:t>I/O expander generating EN0–EN7 to switch each sensor module.</w:t>
            </w:r>
          </w:p>
        </w:tc>
      </w:tr>
      <w:tr>
        <w:trPr>
          <w:cantSplit/>
        </w:trPr>
        <w:tc>
          <w:tcPr>
            <w:tcW w:type="dxa" w:w="576"/>
          </w:tcPr>
          <w:p>
            <w:pPr>
              <w:spacing w:after="20" w:before="20"/>
            </w:pPr>
            <w:r>
              <w:rPr>
                <w:b/>
                <w:sz w:val="17"/>
              </w:rPr>
              <w:t>4</w:t>
            </w:r>
          </w:p>
        </w:tc>
        <w:tc>
          <w:tcPr>
            <w:tcW w:type="dxa" w:w="2592"/>
          </w:tcPr>
          <w:p>
            <w:pPr>
              <w:spacing w:after="20" w:before="20"/>
            </w:pPr>
            <w:r>
              <w:rPr>
                <w:sz w:val="17"/>
              </w:rPr>
              <w:t>ADS1256 + 8 MHz crystal</w:t>
            </w:r>
          </w:p>
        </w:tc>
        <w:tc>
          <w:tcPr>
            <w:tcW w:type="dxa" w:w="6336"/>
          </w:tcPr>
          <w:p>
            <w:pPr>
              <w:spacing w:after="20" w:before="20"/>
            </w:pPr>
            <w:r>
              <w:rPr>
                <w:sz w:val="17"/>
              </w:rPr>
              <w:t>8-channel 24-bit ADC, SPI to ESP32, clocked from an 8 MHz crystal.</w:t>
            </w:r>
          </w:p>
        </w:tc>
      </w:tr>
      <w:tr>
        <w:trPr>
          <w:cantSplit/>
        </w:trPr>
        <w:tc>
          <w:tcPr>
            <w:tcW w:type="dxa" w:w="576"/>
          </w:tcPr>
          <w:p>
            <w:pPr>
              <w:spacing w:after="20" w:before="20"/>
            </w:pPr>
            <w:r>
              <w:rPr>
                <w:b/>
                <w:sz w:val="17"/>
              </w:rPr>
              <w:t>5</w:t>
            </w:r>
          </w:p>
        </w:tc>
        <w:tc>
          <w:tcPr>
            <w:tcW w:type="dxa" w:w="2592"/>
          </w:tcPr>
          <w:p>
            <w:pPr>
              <w:spacing w:after="20" w:before="20"/>
            </w:pPr>
            <w:r>
              <w:rPr>
                <w:sz w:val="17"/>
              </w:rPr>
              <w:t>2.5 V reference + buffer</w:t>
            </w:r>
          </w:p>
        </w:tc>
        <w:tc>
          <w:tcPr>
            <w:tcW w:type="dxa" w:w="6336"/>
          </w:tcPr>
          <w:p>
            <w:pPr>
              <w:spacing w:after="20" w:before="20"/>
            </w:pPr>
            <w:r>
              <w:rPr>
                <w:sz w:val="17"/>
              </w:rPr>
              <w:t>ADR03 generates VREF, buffered by OPA320 for the ADC.</w:t>
            </w:r>
          </w:p>
        </w:tc>
      </w:tr>
      <w:tr>
        <w:trPr>
          <w:cantSplit/>
        </w:trPr>
        <w:tc>
          <w:tcPr>
            <w:tcW w:type="dxa" w:w="576"/>
          </w:tcPr>
          <w:p>
            <w:pPr>
              <w:spacing w:after="20" w:before="20"/>
            </w:pPr>
            <w:r>
              <w:rPr>
                <w:b/>
                <w:sz w:val="17"/>
              </w:rPr>
              <w:t>6</w:t>
            </w:r>
          </w:p>
        </w:tc>
        <w:tc>
          <w:tcPr>
            <w:tcW w:type="dxa" w:w="2592"/>
          </w:tcPr>
          <w:p>
            <w:pPr>
              <w:spacing w:after="20" w:before="20"/>
            </w:pPr>
            <w:r>
              <w:rPr>
                <w:sz w:val="17"/>
              </w:rPr>
              <w:t>VMID buffer</w:t>
            </w:r>
          </w:p>
        </w:tc>
        <w:tc>
          <w:tcPr>
            <w:tcW w:type="dxa" w:w="6336"/>
          </w:tcPr>
          <w:p>
            <w:pPr>
              <w:spacing w:after="20" w:before="20"/>
            </w:pPr>
            <w:r>
              <w:rPr>
                <w:sz w:val="17"/>
              </w:rPr>
              <w:t>OPA320 follower generating VMID (analog mid-bias) for the sensor modules.</w:t>
            </w:r>
          </w:p>
        </w:tc>
      </w:tr>
    </w:tbl>
    <w:p>
      <w:pPr>
        <w:spacing w:after="40"/>
      </w:pPr>
    </w:p>
    <w:p>
      <w:r>
        <w:br w:type="page"/>
      </w:r>
    </w:p>
    <w:p>
      <w:pPr>
        <w:spacing w:after="40"/>
        <w:jc w:val="center"/>
      </w:pPr>
      <w:r>
        <w:drawing>
          <wp:inline xmlns:a="http://schemas.openxmlformats.org/drawingml/2006/main" xmlns:pic="http://schemas.openxmlformats.org/drawingml/2006/picture">
            <wp:extent cx="4480560" cy="4480560"/>
            <wp:docPr id="104" name="Picture 104"/>
            <wp:cNvGraphicFramePr>
              <a:graphicFrameLocks noChangeAspect="1"/>
            </wp:cNvGraphicFramePr>
            <a:graphic>
              <a:graphicData uri="http://schemas.openxmlformats.org/drawingml/2006/picture">
                <pic:pic>
                  <pic:nvPicPr>
                    <pic:cNvPr id="0" name="view09.jpg"/>
                    <pic:cNvPicPr/>
                  </pic:nvPicPr>
                  <pic:blipFill>
                    <a:blip r:embed="rId114"/>
                    <a:stretch>
                      <a:fillRect/>
                    </a:stretch>
                  </pic:blipFill>
                  <pic:spPr>
                    <a:xfrm>
                      <a:off x="0" y="0"/>
                      <a:ext cx="4480560" cy="4480560"/>
                    </a:xfrm>
                    <a:prstGeom prst="rect"/>
                  </pic:spPr>
                </pic:pic>
              </a:graphicData>
            </a:graphic>
          </wp:inline>
        </w:drawing>
      </w:r>
    </w:p>
    <w:p>
      <w:pPr>
        <w:spacing w:after="60"/>
        <w:jc w:val="center"/>
      </w:pPr>
      <w:r>
        <w:rPr>
          <w:b/>
          <w:i w:val="0"/>
          <w:color w:val="1B335F"/>
          <w:sz w:val="18"/>
        </w:rPr>
        <w:t>Figure 8-9. Grounding arrangement (top) — Main Board GLD</w:t>
      </w:r>
    </w:p>
    <w:tbl>
      <w:tblPr>
        <w:tblStyle w:val="TableGrid"/>
        <w:tblW w:type="auto" w:w="0"/>
        <w:jc w:val="center"/>
        <w:tblLayout w:type="fixed"/>
        <w:tblLook w:firstColumn="1" w:firstRow="1" w:lastColumn="0" w:lastRow="0" w:noHBand="0" w:noVBand="1" w:val="04A0"/>
        <w:tblLayout w:type="fixed"/>
      </w:tblPr>
      <w:tblGrid>
        <w:gridCol w:w="2592"/>
        <w:gridCol w:w="720"/>
        <w:gridCol w:w="1152"/>
        <w:gridCol w:w="3744"/>
        <w:gridCol w:w="1296"/>
      </w:tblGrid>
      <w:tr>
        <w:trPr>
          <w:tblHeader w:val="true"/>
        </w:trPr>
        <w:tc>
          <w:tcPr>
            <w:tcW w:type="dxa" w:w="2592"/>
            <w:shd w:val="clear" w:fill="EAEFF9"/>
          </w:tcPr>
          <w:p>
            <w:pPr>
              <w:spacing w:after="20"/>
            </w:pPr>
            <w:r>
              <w:rPr>
                <w:b/>
                <w:color w:val="1B335F"/>
                <w:sz w:val="17"/>
              </w:rPr>
              <w:t>Drawing no.</w:t>
            </w:r>
          </w:p>
        </w:tc>
        <w:tc>
          <w:tcPr>
            <w:tcW w:type="dxa" w:w="720"/>
            <w:shd w:val="clear" w:fill="EAEFF9"/>
          </w:tcPr>
          <w:p>
            <w:pPr>
              <w:spacing w:after="20"/>
            </w:pPr>
            <w:r>
              <w:rPr>
                <w:b/>
                <w:color w:val="1B335F"/>
                <w:sz w:val="17"/>
              </w:rPr>
              <w:t>Rev</w:t>
            </w:r>
          </w:p>
        </w:tc>
        <w:tc>
          <w:tcPr>
            <w:tcW w:type="dxa" w:w="1152"/>
            <w:shd w:val="clear" w:fill="EAEFF9"/>
          </w:tcPr>
          <w:p>
            <w:pPr>
              <w:spacing w:after="20"/>
            </w:pPr>
            <w:r>
              <w:rPr>
                <w:b/>
                <w:color w:val="1B335F"/>
                <w:sz w:val="17"/>
              </w:rPr>
              <w:t>Date</w:t>
            </w:r>
          </w:p>
        </w:tc>
        <w:tc>
          <w:tcPr>
            <w:tcW w:type="dxa" w:w="3744"/>
            <w:shd w:val="clear" w:fill="EAEFF9"/>
          </w:tcPr>
          <w:p>
            <w:pPr>
              <w:spacing w:after="20"/>
            </w:pPr>
            <w:r>
              <w:rPr>
                <w:b/>
                <w:color w:val="1B335F"/>
                <w:sz w:val="17"/>
              </w:rPr>
              <w:t>Title</w:t>
            </w:r>
          </w:p>
        </w:tc>
        <w:tc>
          <w:tcPr>
            <w:tcW w:type="dxa" w:w="1296"/>
            <w:shd w:val="clear" w:fill="EAEFF9"/>
          </w:tcPr>
          <w:p>
            <w:pPr>
              <w:spacing w:after="20"/>
            </w:pPr>
            <w:r>
              <w:rPr>
                <w:b/>
                <w:color w:val="1B335F"/>
                <w:sz w:val="17"/>
              </w:rPr>
              <w:t>Sheet</w:t>
            </w:r>
          </w:p>
        </w:tc>
      </w:tr>
      <w:tr>
        <w:trPr>
          <w:cantSplit/>
        </w:trPr>
        <w:tc>
          <w:tcPr>
            <w:tcW w:type="dxa" w:w="2592"/>
          </w:tcPr>
          <w:p>
            <w:pPr>
              <w:spacing w:after="20" w:before="20"/>
            </w:pPr>
            <w:r>
              <w:rPr>
                <w:sz w:val="17"/>
              </w:rPr>
              <w:t>PGLD-GLD-V4-MB-PCB-09</w:t>
            </w:r>
          </w:p>
        </w:tc>
        <w:tc>
          <w:tcPr>
            <w:tcW w:type="dxa" w:w="720"/>
          </w:tcPr>
          <w:p>
            <w:pPr>
              <w:spacing w:after="20" w:before="20"/>
            </w:pPr>
            <w:r>
              <w:rPr>
                <w:sz w:val="17"/>
              </w:rPr>
              <w:t>TBC</w:t>
            </w:r>
          </w:p>
        </w:tc>
        <w:tc>
          <w:tcPr>
            <w:tcW w:type="dxa" w:w="1152"/>
          </w:tcPr>
          <w:p>
            <w:pPr>
              <w:spacing w:after="20" w:before="20"/>
            </w:pPr>
            <w:r>
              <w:rPr>
                <w:sz w:val="17"/>
              </w:rPr>
              <w:t>TBC</w:t>
            </w:r>
          </w:p>
        </w:tc>
        <w:tc>
          <w:tcPr>
            <w:tcW w:type="dxa" w:w="3744"/>
          </w:tcPr>
          <w:p>
            <w:pPr>
              <w:spacing w:after="20" w:before="20"/>
            </w:pPr>
            <w:r>
              <w:rPr>
                <w:sz w:val="17"/>
              </w:rPr>
              <w:t>Grounding arrangement — top</w:t>
            </w:r>
          </w:p>
        </w:tc>
        <w:tc>
          <w:tcPr>
            <w:tcW w:type="dxa" w:w="1296"/>
          </w:tcPr>
          <w:p>
            <w:pPr>
              <w:spacing w:after="20" w:before="20"/>
            </w:pPr>
            <w:r>
              <w:rPr>
                <w:sz w:val="17"/>
              </w:rPr>
              <w:t>9 of 10</w:t>
            </w:r>
          </w:p>
        </w:tc>
      </w:tr>
    </w:tbl>
    <w:p>
      <w:pPr>
        <w:spacing w:after="40"/>
      </w:pPr>
    </w:p>
    <w:tbl>
      <w:tblPr>
        <w:tblStyle w:val="TableGrid"/>
        <w:tblW w:type="auto" w:w="0"/>
        <w:jc w:val="center"/>
        <w:tblLayout w:type="fixed"/>
        <w:tblLook w:firstColumn="1" w:firstRow="1" w:lastColumn="0" w:lastRow="0" w:noHBand="0" w:noVBand="1" w:val="04A0"/>
        <w:tblLayout w:type="fixed"/>
      </w:tblPr>
      <w:tblGrid>
        <w:gridCol w:w="576"/>
        <w:gridCol w:w="2592"/>
        <w:gridCol w:w="6336"/>
      </w:tblGrid>
      <w:tr>
        <w:trPr>
          <w:tblHeader w:val="true"/>
        </w:trPr>
        <w:tc>
          <w:tcPr>
            <w:tcW w:type="dxa" w:w="576"/>
            <w:shd w:val="clear" w:fill="EAEFF9"/>
          </w:tcPr>
          <w:p>
            <w:pPr>
              <w:spacing w:after="20"/>
            </w:pPr>
            <w:r>
              <w:rPr>
                <w:b/>
                <w:color w:val="1B335F"/>
                <w:sz w:val="17"/>
              </w:rPr>
              <w:t>No</w:t>
            </w:r>
          </w:p>
        </w:tc>
        <w:tc>
          <w:tcPr>
            <w:tcW w:type="dxa" w:w="2592"/>
            <w:shd w:val="clear" w:fill="EAEFF9"/>
          </w:tcPr>
          <w:p>
            <w:pPr>
              <w:spacing w:after="20"/>
            </w:pPr>
            <w:r>
              <w:rPr>
                <w:b/>
                <w:color w:val="1B335F"/>
                <w:sz w:val="17"/>
              </w:rPr>
              <w:t>Item</w:t>
            </w:r>
          </w:p>
        </w:tc>
        <w:tc>
          <w:tcPr>
            <w:tcW w:type="dxa" w:w="6336"/>
            <w:shd w:val="clear" w:fill="EAEFF9"/>
          </w:tcPr>
          <w:p>
            <w:pPr>
              <w:spacing w:after="20"/>
            </w:pPr>
            <w:r>
              <w:rPr>
                <w:b/>
                <w:color w:val="1B335F"/>
                <w:sz w:val="17"/>
              </w:rPr>
              <w:t>Description</w:t>
            </w:r>
          </w:p>
        </w:tc>
      </w:tr>
      <w:tr>
        <w:trPr>
          <w:cantSplit/>
        </w:trPr>
        <w:tc>
          <w:tcPr>
            <w:tcW w:type="dxa" w:w="576"/>
          </w:tcPr>
          <w:p>
            <w:pPr>
              <w:spacing w:after="20" w:before="20"/>
            </w:pPr>
            <w:r>
              <w:rPr>
                <w:b/>
                <w:sz w:val="17"/>
              </w:rPr>
              <w:t>1</w:t>
            </w:r>
          </w:p>
        </w:tc>
        <w:tc>
          <w:tcPr>
            <w:tcW w:type="dxa" w:w="2592"/>
          </w:tcPr>
          <w:p>
            <w:pPr>
              <w:spacing w:after="20" w:before="20"/>
            </w:pPr>
            <w:r>
              <w:rPr>
                <w:sz w:val="17"/>
              </w:rPr>
              <w:t>GND pour</w:t>
            </w:r>
          </w:p>
        </w:tc>
        <w:tc>
          <w:tcPr>
            <w:tcW w:type="dxa" w:w="6336"/>
          </w:tcPr>
          <w:p>
            <w:pPr>
              <w:spacing w:after="20" w:before="20"/>
            </w:pPr>
            <w:r>
              <w:rPr>
                <w:sz w:val="17"/>
              </w:rPr>
              <w:t>One GND copper area (green line along the board edge) on top and bottom, filling all free area: short return paths and noise shielding.</w:t>
            </w:r>
          </w:p>
        </w:tc>
      </w:tr>
      <w:tr>
        <w:trPr>
          <w:cantSplit/>
        </w:trPr>
        <w:tc>
          <w:tcPr>
            <w:tcW w:type="dxa" w:w="576"/>
          </w:tcPr>
          <w:p>
            <w:pPr>
              <w:spacing w:after="20" w:before="20"/>
            </w:pPr>
            <w:r>
              <w:rPr>
                <w:b/>
                <w:sz w:val="17"/>
              </w:rPr>
              <w:t>2</w:t>
            </w:r>
          </w:p>
        </w:tc>
        <w:tc>
          <w:tcPr>
            <w:tcW w:type="dxa" w:w="2592"/>
          </w:tcPr>
          <w:p>
            <w:pPr>
              <w:spacing w:after="20" w:before="20"/>
            </w:pPr>
            <w:r>
              <w:rPr>
                <w:sz w:val="17"/>
              </w:rPr>
              <w:t>GND vias (examples)</w:t>
            </w:r>
          </w:p>
        </w:tc>
        <w:tc>
          <w:tcPr>
            <w:tcW w:type="dxa" w:w="6336"/>
          </w:tcPr>
          <w:p>
            <w:pPr>
              <w:spacing w:after="20" w:before="20"/>
            </w:pPr>
            <w:r>
              <w:rPr>
                <w:sz w:val="17"/>
              </w:rPr>
              <w:t>176 of the 400 vias connect the top and bottom GND pours; blue circles mark examples.</w:t>
            </w:r>
          </w:p>
        </w:tc>
      </w:tr>
      <w:tr>
        <w:trPr>
          <w:cantSplit/>
        </w:trPr>
        <w:tc>
          <w:tcPr>
            <w:tcW w:type="dxa" w:w="576"/>
          </w:tcPr>
          <w:p>
            <w:pPr>
              <w:spacing w:after="20" w:before="20"/>
            </w:pPr>
            <w:r>
              <w:rPr>
                <w:b/>
                <w:sz w:val="17"/>
              </w:rPr>
              <w:t>3</w:t>
            </w:r>
          </w:p>
        </w:tc>
        <w:tc>
          <w:tcPr>
            <w:tcW w:type="dxa" w:w="2592"/>
          </w:tcPr>
          <w:p>
            <w:pPr>
              <w:spacing w:after="20" w:before="20"/>
            </w:pPr>
            <w:r>
              <w:rPr>
                <w:sz w:val="17"/>
              </w:rPr>
              <w:t>24V− → GND at the common-mode filter</w:t>
            </w:r>
          </w:p>
        </w:tc>
        <w:tc>
          <w:tcPr>
            <w:tcW w:type="dxa" w:w="6336"/>
          </w:tcPr>
          <w:p>
            <w:pPr>
              <w:spacing w:after="20" w:before="20"/>
            </w:pPr>
            <w:r>
              <w:rPr>
                <w:sz w:val="17"/>
              </w:rPr>
              <w:t>The 24 V input return (24V−) joins system GND through the return winding of the common-mode choke.</w:t>
            </w:r>
          </w:p>
        </w:tc>
      </w:tr>
      <w:tr>
        <w:trPr>
          <w:cantSplit/>
        </w:trPr>
        <w:tc>
          <w:tcPr>
            <w:tcW w:type="dxa" w:w="576"/>
          </w:tcPr>
          <w:p>
            <w:pPr>
              <w:spacing w:after="20" w:before="20"/>
            </w:pPr>
            <w:r>
              <w:rPr>
                <w:b/>
                <w:sz w:val="17"/>
              </w:rPr>
              <w:t>4</w:t>
            </w:r>
          </w:p>
        </w:tc>
        <w:tc>
          <w:tcPr>
            <w:tcW w:type="dxa" w:w="2592"/>
          </w:tcPr>
          <w:p>
            <w:pPr>
              <w:spacing w:after="20" w:before="20"/>
            </w:pPr>
            <w:r>
              <w:rPr>
                <w:sz w:val="17"/>
              </w:rPr>
              <w:t>Analog area without split ground</w:t>
            </w:r>
          </w:p>
        </w:tc>
        <w:tc>
          <w:tcPr>
            <w:tcW w:type="dxa" w:w="6336"/>
          </w:tcPr>
          <w:p>
            <w:pPr>
              <w:spacing w:after="20" w:before="20"/>
            </w:pPr>
            <w:r>
              <w:rPr>
                <w:sz w:val="17"/>
              </w:rPr>
              <w:t>Single GND net. The analog area (ADS1256, voltage reference, OPA320) is separated through the +5VA supply (ferrite), not by a split ground.</w:t>
            </w:r>
          </w:p>
        </w:tc>
      </w:tr>
    </w:tbl>
    <w:p>
      <w:pPr>
        <w:spacing w:after="40"/>
      </w:pPr>
    </w:p>
    <w:p>
      <w:r>
        <w:br w:type="page"/>
      </w:r>
    </w:p>
    <w:p>
      <w:pPr>
        <w:spacing w:after="40"/>
        <w:jc w:val="center"/>
      </w:pPr>
      <w:r>
        <w:drawing>
          <wp:inline xmlns:a="http://schemas.openxmlformats.org/drawingml/2006/main" xmlns:pic="http://schemas.openxmlformats.org/drawingml/2006/picture">
            <wp:extent cx="4480560" cy="4480560"/>
            <wp:docPr id="105" name="Picture 105"/>
            <wp:cNvGraphicFramePr>
              <a:graphicFrameLocks noChangeAspect="1"/>
            </wp:cNvGraphicFramePr>
            <a:graphic>
              <a:graphicData uri="http://schemas.openxmlformats.org/drawingml/2006/picture">
                <pic:pic>
                  <pic:nvPicPr>
                    <pic:cNvPr id="0" name="view10.jpg"/>
                    <pic:cNvPicPr/>
                  </pic:nvPicPr>
                  <pic:blipFill>
                    <a:blip r:embed="rId115"/>
                    <a:stretch>
                      <a:fillRect/>
                    </a:stretch>
                  </pic:blipFill>
                  <pic:spPr>
                    <a:xfrm>
                      <a:off x="0" y="0"/>
                      <a:ext cx="4480560" cy="4480560"/>
                    </a:xfrm>
                    <a:prstGeom prst="rect"/>
                  </pic:spPr>
                </pic:pic>
              </a:graphicData>
            </a:graphic>
          </wp:inline>
        </w:drawing>
      </w:r>
    </w:p>
    <w:p>
      <w:pPr>
        <w:spacing w:after="60"/>
        <w:jc w:val="center"/>
      </w:pPr>
      <w:r>
        <w:rPr>
          <w:b/>
          <w:i w:val="0"/>
          <w:color w:val="1B335F"/>
          <w:sz w:val="18"/>
        </w:rPr>
        <w:t>Figure 8-10. Grounding arrangement (bottom) — Main Board GLD</w:t>
      </w:r>
    </w:p>
    <w:tbl>
      <w:tblPr>
        <w:tblStyle w:val="TableGrid"/>
        <w:tblW w:type="auto" w:w="0"/>
        <w:jc w:val="center"/>
        <w:tblLayout w:type="fixed"/>
        <w:tblLook w:firstColumn="1" w:firstRow="1" w:lastColumn="0" w:lastRow="0" w:noHBand="0" w:noVBand="1" w:val="04A0"/>
        <w:tblLayout w:type="fixed"/>
      </w:tblPr>
      <w:tblGrid>
        <w:gridCol w:w="2592"/>
        <w:gridCol w:w="720"/>
        <w:gridCol w:w="1152"/>
        <w:gridCol w:w="3744"/>
        <w:gridCol w:w="1296"/>
      </w:tblGrid>
      <w:tr>
        <w:trPr>
          <w:tblHeader w:val="true"/>
        </w:trPr>
        <w:tc>
          <w:tcPr>
            <w:tcW w:type="dxa" w:w="2592"/>
            <w:shd w:val="clear" w:fill="EAEFF9"/>
          </w:tcPr>
          <w:p>
            <w:pPr>
              <w:spacing w:after="20"/>
            </w:pPr>
            <w:r>
              <w:rPr>
                <w:b/>
                <w:color w:val="1B335F"/>
                <w:sz w:val="17"/>
              </w:rPr>
              <w:t>Drawing no.</w:t>
            </w:r>
          </w:p>
        </w:tc>
        <w:tc>
          <w:tcPr>
            <w:tcW w:type="dxa" w:w="720"/>
            <w:shd w:val="clear" w:fill="EAEFF9"/>
          </w:tcPr>
          <w:p>
            <w:pPr>
              <w:spacing w:after="20"/>
            </w:pPr>
            <w:r>
              <w:rPr>
                <w:b/>
                <w:color w:val="1B335F"/>
                <w:sz w:val="17"/>
              </w:rPr>
              <w:t>Rev</w:t>
            </w:r>
          </w:p>
        </w:tc>
        <w:tc>
          <w:tcPr>
            <w:tcW w:type="dxa" w:w="1152"/>
            <w:shd w:val="clear" w:fill="EAEFF9"/>
          </w:tcPr>
          <w:p>
            <w:pPr>
              <w:spacing w:after="20"/>
            </w:pPr>
            <w:r>
              <w:rPr>
                <w:b/>
                <w:color w:val="1B335F"/>
                <w:sz w:val="17"/>
              </w:rPr>
              <w:t>Date</w:t>
            </w:r>
          </w:p>
        </w:tc>
        <w:tc>
          <w:tcPr>
            <w:tcW w:type="dxa" w:w="3744"/>
            <w:shd w:val="clear" w:fill="EAEFF9"/>
          </w:tcPr>
          <w:p>
            <w:pPr>
              <w:spacing w:after="20"/>
            </w:pPr>
            <w:r>
              <w:rPr>
                <w:b/>
                <w:color w:val="1B335F"/>
                <w:sz w:val="17"/>
              </w:rPr>
              <w:t>Title</w:t>
            </w:r>
          </w:p>
        </w:tc>
        <w:tc>
          <w:tcPr>
            <w:tcW w:type="dxa" w:w="1296"/>
            <w:shd w:val="clear" w:fill="EAEFF9"/>
          </w:tcPr>
          <w:p>
            <w:pPr>
              <w:spacing w:after="20"/>
            </w:pPr>
            <w:r>
              <w:rPr>
                <w:b/>
                <w:color w:val="1B335F"/>
                <w:sz w:val="17"/>
              </w:rPr>
              <w:t>Sheet</w:t>
            </w:r>
          </w:p>
        </w:tc>
      </w:tr>
      <w:tr>
        <w:trPr>
          <w:cantSplit/>
        </w:trPr>
        <w:tc>
          <w:tcPr>
            <w:tcW w:type="dxa" w:w="2592"/>
          </w:tcPr>
          <w:p>
            <w:pPr>
              <w:spacing w:after="20" w:before="20"/>
            </w:pPr>
            <w:r>
              <w:rPr>
                <w:sz w:val="17"/>
              </w:rPr>
              <w:t>PGLD-GLD-V4-MB-PCB-10</w:t>
            </w:r>
          </w:p>
        </w:tc>
        <w:tc>
          <w:tcPr>
            <w:tcW w:type="dxa" w:w="720"/>
          </w:tcPr>
          <w:p>
            <w:pPr>
              <w:spacing w:after="20" w:before="20"/>
            </w:pPr>
            <w:r>
              <w:rPr>
                <w:sz w:val="17"/>
              </w:rPr>
              <w:t>TBC</w:t>
            </w:r>
          </w:p>
        </w:tc>
        <w:tc>
          <w:tcPr>
            <w:tcW w:type="dxa" w:w="1152"/>
          </w:tcPr>
          <w:p>
            <w:pPr>
              <w:spacing w:after="20" w:before="20"/>
            </w:pPr>
            <w:r>
              <w:rPr>
                <w:sz w:val="17"/>
              </w:rPr>
              <w:t>TBC</w:t>
            </w:r>
          </w:p>
        </w:tc>
        <w:tc>
          <w:tcPr>
            <w:tcW w:type="dxa" w:w="3744"/>
          </w:tcPr>
          <w:p>
            <w:pPr>
              <w:spacing w:after="20" w:before="20"/>
            </w:pPr>
            <w:r>
              <w:rPr>
                <w:sz w:val="17"/>
              </w:rPr>
              <w:t>Grounding arrangement — bottom</w:t>
            </w:r>
          </w:p>
        </w:tc>
        <w:tc>
          <w:tcPr>
            <w:tcW w:type="dxa" w:w="1296"/>
          </w:tcPr>
          <w:p>
            <w:pPr>
              <w:spacing w:after="20" w:before="20"/>
            </w:pPr>
            <w:r>
              <w:rPr>
                <w:sz w:val="17"/>
              </w:rPr>
              <w:t>10 of 10</w:t>
            </w:r>
          </w:p>
        </w:tc>
      </w:tr>
    </w:tbl>
    <w:p>
      <w:pPr>
        <w:spacing w:after="40"/>
      </w:pPr>
    </w:p>
    <w:tbl>
      <w:tblPr>
        <w:tblStyle w:val="TableGrid"/>
        <w:tblW w:type="auto" w:w="0"/>
        <w:jc w:val="center"/>
        <w:tblLayout w:type="fixed"/>
        <w:tblLook w:firstColumn="1" w:firstRow="1" w:lastColumn="0" w:lastRow="0" w:noHBand="0" w:noVBand="1" w:val="04A0"/>
        <w:tblLayout w:type="fixed"/>
      </w:tblPr>
      <w:tblGrid>
        <w:gridCol w:w="576"/>
        <w:gridCol w:w="2592"/>
        <w:gridCol w:w="6336"/>
      </w:tblGrid>
      <w:tr>
        <w:trPr>
          <w:tblHeader w:val="true"/>
        </w:trPr>
        <w:tc>
          <w:tcPr>
            <w:tcW w:type="dxa" w:w="576"/>
            <w:shd w:val="clear" w:fill="EAEFF9"/>
          </w:tcPr>
          <w:p>
            <w:pPr>
              <w:spacing w:after="20"/>
            </w:pPr>
            <w:r>
              <w:rPr>
                <w:b/>
                <w:color w:val="1B335F"/>
                <w:sz w:val="17"/>
              </w:rPr>
              <w:t>No</w:t>
            </w:r>
          </w:p>
        </w:tc>
        <w:tc>
          <w:tcPr>
            <w:tcW w:type="dxa" w:w="2592"/>
            <w:shd w:val="clear" w:fill="EAEFF9"/>
          </w:tcPr>
          <w:p>
            <w:pPr>
              <w:spacing w:after="20"/>
            </w:pPr>
            <w:r>
              <w:rPr>
                <w:b/>
                <w:color w:val="1B335F"/>
                <w:sz w:val="17"/>
              </w:rPr>
              <w:t>Item</w:t>
            </w:r>
          </w:p>
        </w:tc>
        <w:tc>
          <w:tcPr>
            <w:tcW w:type="dxa" w:w="6336"/>
            <w:shd w:val="clear" w:fill="EAEFF9"/>
          </w:tcPr>
          <w:p>
            <w:pPr>
              <w:spacing w:after="20"/>
            </w:pPr>
            <w:r>
              <w:rPr>
                <w:b/>
                <w:color w:val="1B335F"/>
                <w:sz w:val="17"/>
              </w:rPr>
              <w:t>Description</w:t>
            </w:r>
          </w:p>
        </w:tc>
      </w:tr>
      <w:tr>
        <w:trPr>
          <w:cantSplit/>
        </w:trPr>
        <w:tc>
          <w:tcPr>
            <w:tcW w:type="dxa" w:w="576"/>
          </w:tcPr>
          <w:p>
            <w:pPr>
              <w:spacing w:after="20" w:before="20"/>
            </w:pPr>
            <w:r>
              <w:rPr>
                <w:b/>
                <w:sz w:val="17"/>
              </w:rPr>
              <w:t>1</w:t>
            </w:r>
          </w:p>
        </w:tc>
        <w:tc>
          <w:tcPr>
            <w:tcW w:type="dxa" w:w="2592"/>
          </w:tcPr>
          <w:p>
            <w:pPr>
              <w:spacing w:after="20" w:before="20"/>
            </w:pPr>
            <w:r>
              <w:rPr>
                <w:sz w:val="17"/>
              </w:rPr>
              <w:t>GND pour</w:t>
            </w:r>
          </w:p>
        </w:tc>
        <w:tc>
          <w:tcPr>
            <w:tcW w:type="dxa" w:w="6336"/>
          </w:tcPr>
          <w:p>
            <w:pPr>
              <w:spacing w:after="20" w:before="20"/>
            </w:pPr>
            <w:r>
              <w:rPr>
                <w:sz w:val="17"/>
              </w:rPr>
              <w:t>Bottom GND copper area filling all free area.</w:t>
            </w:r>
          </w:p>
        </w:tc>
      </w:tr>
      <w:tr>
        <w:trPr>
          <w:cantSplit/>
        </w:trPr>
        <w:tc>
          <w:tcPr>
            <w:tcW w:type="dxa" w:w="576"/>
          </w:tcPr>
          <w:p>
            <w:pPr>
              <w:spacing w:after="20" w:before="20"/>
            </w:pPr>
            <w:r>
              <w:rPr>
                <w:b/>
                <w:sz w:val="17"/>
              </w:rPr>
              <w:t>2</w:t>
            </w:r>
          </w:p>
        </w:tc>
        <w:tc>
          <w:tcPr>
            <w:tcW w:type="dxa" w:w="2592"/>
          </w:tcPr>
          <w:p>
            <w:pPr>
              <w:spacing w:after="20" w:before="20"/>
            </w:pPr>
            <w:r>
              <w:rPr>
                <w:sz w:val="17"/>
              </w:rPr>
              <w:t>GND vias (examples)</w:t>
            </w:r>
          </w:p>
        </w:tc>
        <w:tc>
          <w:tcPr>
            <w:tcW w:type="dxa" w:w="6336"/>
          </w:tcPr>
          <w:p>
            <w:pPr>
              <w:spacing w:after="20" w:before="20"/>
            </w:pPr>
            <w:r>
              <w:rPr>
                <w:sz w:val="17"/>
              </w:rPr>
              <w:t>176 of 400 vias stitch the top and bottom GND pours; blue circles mark examples.</w:t>
            </w:r>
          </w:p>
        </w:tc>
      </w:tr>
    </w:tbl>
    <w:p>
      <w:pPr>
        <w:spacing w:after="40"/>
      </w:pPr>
    </w:p>
    <w:p/>
    <w:tbl>
      <w:tblPr>
        <w:tblW w:type="auto" w:w="0"/>
        <w:jc w:val="center"/>
        <w:tblLook w:firstColumn="1" w:firstRow="1" w:lastColumn="0" w:lastRow="0" w:noHBand="0" w:noVBand="1" w:val="04A0"/>
      </w:tblPr>
      <w:tblGrid>
        <w:gridCol w:w="9746"/>
      </w:tblGrid>
      <w:tr>
        <w:tc>
          <w:tcPr>
            <w:tcW w:type="dxa" w:w="9746"/>
            <w:shd w:val="clear" w:fill="FBEEE4"/>
          </w:tcPr>
          <w:p>
            <w:pPr>
              <w:spacing w:after="40"/>
            </w:pPr>
            <w:r>
              <w:rPr>
                <w:color w:val="555B66"/>
                <w:sz w:val="18"/>
              </w:rPr>
              <w:t>Open items for 2.6.a.8: (a) layout revision and date for the drawing table; (b) PCB laminate grade, UL 94 rating, Tg, CTI, board thickness and copper weight; (c) purpose of the 4 × Ø 3.0 mm holes; (d) layout drawings of the sensor-module board.</w:t>
            </w:r>
          </w:p>
        </w:tc>
      </w:tr>
    </w:tbl>
    <w:p>
      <w:pPr>
        <w:spacing w:after="40"/>
      </w:pPr>
    </w:p>
    <w:p>
      <w:r>
        <w:br w:type="page"/>
      </w:r>
    </w:p>
    <w:p>
      <w:pPr>
        <w:pStyle w:val="Heading3"/>
        <w:keepNext/>
      </w:pPr>
      <w:r>
        <w:t>2.6.b · Bill of Materials (BOM) for Key Components Affecting Explosion-Proof Safety</w:t>
      </w:r>
    </w:p>
    <w:p>
      <w:pPr>
        <w:keepNext/>
        <w:keepLines/>
        <w:spacing w:after="160"/>
      </w:pPr>
      <w:r>
        <w:rPr>
          <w:b w:val="0"/>
          <w:i w:val="0"/>
          <w:sz w:val="21"/>
        </w:rPr>
        <w:t>A complete, itemized electronic-component BOM exists for both boards, exported directly from the EasyEDA/JLCPCB source project (manufacturer, manufacturer part number, and LCSC supplier part number per line item): 89 line items / 214 placed components on the main board, 14 line items / 24 placed components on the sensor board. Full listing maintained in Dokumen_Teknis_Sertifikasi_GLD_IECEx_ATEX, Section 2.6.b.</w:t>
      </w:r>
    </w:p>
    <w:p>
      <w:pPr>
        <w:keepLines/>
        <w:spacing w:after="200"/>
      </w:pPr>
      <w:r>
        <w:rPr>
          <w:b/>
          <w:color w:val="4A4A4A"/>
          <w:sz w:val="19"/>
        </w:rPr>
        <w:t xml:space="preserve">Status: </w:t>
      </w:r>
      <w:r>
        <w:rPr>
          <w:i/>
          <w:color w:val="4A4A4A"/>
          <w:sz w:val="19"/>
        </w:rPr>
        <w:t>Partially available. The explosion-safety-relevant subset the checklist actually asks for (enclosure, gasket, cable entry device, battery, potting compound, and the gas sensor itself, with material grade and Ex/UL/CCC certification for each) remains not yet compiled — these are mechanical/safety parts, not electronic components, and sit with the Manufacturer, PT Galaksi Megatama Indonesia. The gas sensor itself (MQ2) is sourced outside the LCSC supply chain, without a manufacturer/LCSC part reference; its Ex status is not yet verified.</w:t>
      </w:r>
    </w:p>
    <w:p>
      <w:pPr>
        <w:pStyle w:val="Heading4"/>
      </w:pPr>
      <w:r>
        <w:t>2.6.b.1 Ex-critical mechanical / construction components</w:t>
      </w:r>
    </w:p>
    <w:p>
      <w:pPr>
        <w:spacing w:after="100"/>
      </w:pPr>
      <w:r>
        <w:rPr>
          <w:b w:val="0"/>
          <w:i w:val="0"/>
          <w:color w:val="262321"/>
          <w:sz w:val="19"/>
        </w:rPr>
        <w:t>Components whose substitution could affect the explosion-protection concept, in the format requested by the revision guide. The electronic BOM above remains the full component list; this table is the Ex-critical subset and is controlled by part number or drawing number.</w:t>
      </w:r>
    </w:p>
    <w:tbl>
      <w:tblPr>
        <w:tblStyle w:val="TableGrid"/>
        <w:tblW w:type="auto" w:w="0"/>
        <w:jc w:val="center"/>
        <w:tblLayout w:type="fixed"/>
        <w:tblLook w:firstColumn="1" w:firstRow="1" w:lastColumn="0" w:lastRow="0" w:noHBand="0" w:noVBand="1" w:val="04A0"/>
        <w:tblLayout w:type="fixed"/>
      </w:tblPr>
      <w:tblGrid>
        <w:gridCol w:w="648"/>
        <w:gridCol w:w="1440"/>
        <w:gridCol w:w="1080"/>
        <w:gridCol w:w="1224"/>
        <w:gridCol w:w="1800"/>
        <w:gridCol w:w="1224"/>
        <w:gridCol w:w="1080"/>
        <w:gridCol w:w="864"/>
      </w:tblGrid>
      <w:tr>
        <w:trPr>
          <w:tblHeader w:val="true"/>
        </w:trPr>
        <w:tc>
          <w:tcPr>
            <w:tcW w:type="dxa" w:w="648"/>
            <w:shd w:val="clear" w:fill="EAEFF9"/>
          </w:tcPr>
          <w:p>
            <w:pPr>
              <w:spacing w:after="20"/>
            </w:pPr>
            <w:r>
              <w:rPr>
                <w:b/>
                <w:color w:val="1B335F"/>
                <w:sz w:val="14"/>
              </w:rPr>
              <w:t>Ref.</w:t>
            </w:r>
          </w:p>
        </w:tc>
        <w:tc>
          <w:tcPr>
            <w:tcW w:type="dxa" w:w="1440"/>
            <w:shd w:val="clear" w:fill="EAEFF9"/>
          </w:tcPr>
          <w:p>
            <w:pPr>
              <w:spacing w:after="20"/>
            </w:pPr>
            <w:r>
              <w:rPr>
                <w:b/>
                <w:color w:val="1B335F"/>
                <w:sz w:val="14"/>
              </w:rPr>
              <w:t>Component</w:t>
            </w:r>
          </w:p>
        </w:tc>
        <w:tc>
          <w:tcPr>
            <w:tcW w:type="dxa" w:w="1080"/>
            <w:shd w:val="clear" w:fill="EAEFF9"/>
          </w:tcPr>
          <w:p>
            <w:pPr>
              <w:spacing w:after="20"/>
            </w:pPr>
            <w:r>
              <w:rPr>
                <w:b/>
                <w:color w:val="1B335F"/>
                <w:sz w:val="14"/>
              </w:rPr>
              <w:t>Manufacturer</w:t>
            </w:r>
          </w:p>
        </w:tc>
        <w:tc>
          <w:tcPr>
            <w:tcW w:type="dxa" w:w="1224"/>
            <w:shd w:val="clear" w:fill="EAEFF9"/>
          </w:tcPr>
          <w:p>
            <w:pPr>
              <w:spacing w:after="20"/>
            </w:pPr>
            <w:r>
              <w:rPr>
                <w:b/>
                <w:color w:val="1B335F"/>
                <w:sz w:val="14"/>
              </w:rPr>
              <w:t>Part / drawing no.</w:t>
            </w:r>
          </w:p>
        </w:tc>
        <w:tc>
          <w:tcPr>
            <w:tcW w:type="dxa" w:w="1800"/>
            <w:shd w:val="clear" w:fill="EAEFF9"/>
          </w:tcPr>
          <w:p>
            <w:pPr>
              <w:spacing w:after="20"/>
            </w:pPr>
            <w:r>
              <w:rPr>
                <w:b/>
                <w:color w:val="1B335F"/>
                <w:sz w:val="14"/>
              </w:rPr>
              <w:t>Material / rating</w:t>
            </w:r>
          </w:p>
        </w:tc>
        <w:tc>
          <w:tcPr>
            <w:tcW w:type="dxa" w:w="1224"/>
            <w:shd w:val="clear" w:fill="EAEFF9"/>
          </w:tcPr>
          <w:p>
            <w:pPr>
              <w:spacing w:after="20"/>
            </w:pPr>
            <w:r>
              <w:rPr>
                <w:b/>
                <w:color w:val="1B335F"/>
                <w:sz w:val="14"/>
              </w:rPr>
              <w:t>Safety function</w:t>
            </w:r>
          </w:p>
        </w:tc>
        <w:tc>
          <w:tcPr>
            <w:tcW w:type="dxa" w:w="1080"/>
            <w:shd w:val="clear" w:fill="EAEFF9"/>
          </w:tcPr>
          <w:p>
            <w:pPr>
              <w:spacing w:after="20"/>
            </w:pPr>
            <w:r>
              <w:rPr>
                <w:b/>
                <w:color w:val="1B335F"/>
                <w:sz w:val="14"/>
              </w:rPr>
              <w:t>Evidence</w:t>
            </w:r>
          </w:p>
        </w:tc>
        <w:tc>
          <w:tcPr>
            <w:tcW w:type="dxa" w:w="864"/>
            <w:shd w:val="clear" w:fill="EAEFF9"/>
          </w:tcPr>
          <w:p>
            <w:pPr>
              <w:spacing w:after="20"/>
            </w:pPr>
            <w:r>
              <w:rPr>
                <w:b/>
                <w:color w:val="1B335F"/>
                <w:sz w:val="14"/>
              </w:rPr>
              <w:t>Status</w:t>
            </w:r>
          </w:p>
        </w:tc>
      </w:tr>
      <w:tr>
        <w:trPr>
          <w:cantSplit/>
        </w:trPr>
        <w:tc>
          <w:tcPr>
            <w:tcW w:type="dxa" w:w="648"/>
          </w:tcPr>
          <w:p>
            <w:pPr>
              <w:spacing w:after="20"/>
            </w:pPr>
            <w:r>
              <w:rPr>
                <w:b/>
                <w:sz w:val="14"/>
              </w:rPr>
              <w:t>EX-01</w:t>
            </w:r>
          </w:p>
        </w:tc>
        <w:tc>
          <w:tcPr>
            <w:tcW w:type="dxa" w:w="1440"/>
          </w:tcPr>
          <w:p>
            <w:pPr>
              <w:spacing w:after="20"/>
            </w:pPr>
            <w:r>
              <w:rPr>
                <w:sz w:val="14"/>
              </w:rPr>
              <w:t>Main enclosure body</w:t>
            </w:r>
          </w:p>
        </w:tc>
        <w:tc>
          <w:tcPr>
            <w:tcW w:type="dxa" w:w="1080"/>
          </w:tcPr>
          <w:p>
            <w:pPr>
              <w:spacing w:after="20"/>
            </w:pPr>
            <w:r>
              <w:rPr>
                <w:sz w:val="14"/>
              </w:rPr>
              <w:t>PT Galaksi Megatama Indonesia</w:t>
            </w:r>
          </w:p>
        </w:tc>
        <w:tc>
          <w:tcPr>
            <w:tcW w:type="dxa" w:w="1224"/>
          </w:tcPr>
          <w:p>
            <w:pPr>
              <w:spacing w:after="20"/>
            </w:pPr>
            <w:r>
              <w:rPr>
                <w:sz w:val="14"/>
              </w:rPr>
              <w:t>GLD ATEX CASE v3 / common base (M-B7, M-D7)</w:t>
            </w:r>
          </w:p>
        </w:tc>
        <w:tc>
          <w:tcPr>
            <w:tcW w:type="dxa" w:w="1800"/>
          </w:tcPr>
          <w:p>
            <w:pPr>
              <w:spacing w:after="20"/>
            </w:pPr>
            <w:r>
              <w:rPr>
                <w:sz w:val="14"/>
              </w:rPr>
              <w:t>ADC12 die-cast aluminium alloy; wall thickness TBC; surface treatment TBC</w:t>
            </w:r>
          </w:p>
        </w:tc>
        <w:tc>
          <w:tcPr>
            <w:tcW w:type="dxa" w:w="1224"/>
          </w:tcPr>
          <w:p>
            <w:pPr>
              <w:spacing w:after="20"/>
            </w:pPr>
            <w:r>
              <w:rPr>
                <w:sz w:val="14"/>
              </w:rPr>
              <w:t>Flameproof enclosure (Ex d, proposed)</w:t>
            </w:r>
          </w:p>
        </w:tc>
        <w:tc>
          <w:tcPr>
            <w:tcW w:type="dxa" w:w="1080"/>
          </w:tcPr>
          <w:p>
            <w:pPr>
              <w:spacing w:after="20"/>
            </w:pPr>
            <w:r>
              <w:rPr>
                <w:sz w:val="14"/>
              </w:rPr>
              <w:t>Drawings M-B7, M-D7</w:t>
            </w:r>
          </w:p>
        </w:tc>
        <w:tc>
          <w:tcPr>
            <w:tcW w:type="dxa" w:w="864"/>
            <w:shd w:val="clear" w:fill="FBEEE4"/>
          </w:tcPr>
          <w:p>
            <w:pPr>
              <w:spacing w:after="20"/>
            </w:pPr>
            <w:r>
              <w:rPr>
                <w:b/>
                <w:sz w:val="14"/>
              </w:rPr>
              <w:t>Open</w:t>
            </w:r>
          </w:p>
        </w:tc>
      </w:tr>
      <w:tr>
        <w:trPr>
          <w:cantSplit/>
        </w:trPr>
        <w:tc>
          <w:tcPr>
            <w:tcW w:type="dxa" w:w="648"/>
          </w:tcPr>
          <w:p>
            <w:pPr>
              <w:spacing w:after="20"/>
            </w:pPr>
            <w:r>
              <w:rPr>
                <w:b/>
                <w:sz w:val="14"/>
              </w:rPr>
              <w:t>EX-02</w:t>
            </w:r>
          </w:p>
        </w:tc>
        <w:tc>
          <w:tcPr>
            <w:tcW w:type="dxa" w:w="1440"/>
          </w:tcPr>
          <w:p>
            <w:pPr>
              <w:spacing w:after="20"/>
            </w:pPr>
            <w:r>
              <w:rPr>
                <w:sz w:val="14"/>
              </w:rPr>
              <w:t>Enclosure cover (threaded)</w:t>
            </w:r>
          </w:p>
        </w:tc>
        <w:tc>
          <w:tcPr>
            <w:tcW w:type="dxa" w:w="1080"/>
          </w:tcPr>
          <w:p>
            <w:pPr>
              <w:spacing w:after="20"/>
            </w:pPr>
            <w:r>
              <w:rPr>
                <w:sz w:val="14"/>
              </w:rPr>
              <w:t>PT Galaksi Megatama Indonesia</w:t>
            </w:r>
          </w:p>
        </w:tc>
        <w:tc>
          <w:tcPr>
            <w:tcW w:type="dxa" w:w="1224"/>
          </w:tcPr>
          <w:p>
            <w:pPr>
              <w:spacing w:after="20"/>
            </w:pPr>
            <w:r>
              <w:rPr>
                <w:sz w:val="14"/>
              </w:rPr>
              <w:t>TBC</w:t>
            </w:r>
          </w:p>
        </w:tc>
        <w:tc>
          <w:tcPr>
            <w:tcW w:type="dxa" w:w="1800"/>
          </w:tcPr>
          <w:p>
            <w:pPr>
              <w:spacing w:after="20"/>
            </w:pPr>
            <w:r>
              <w:rPr>
                <w:sz w:val="14"/>
              </w:rPr>
              <w:t>Aluminium alloy; thread form, pitch and engagement TBC</w:t>
            </w:r>
          </w:p>
        </w:tc>
        <w:tc>
          <w:tcPr>
            <w:tcW w:type="dxa" w:w="1224"/>
          </w:tcPr>
          <w:p>
            <w:pPr>
              <w:spacing w:after="20"/>
            </w:pPr>
            <w:r>
              <w:rPr>
                <w:sz w:val="14"/>
              </w:rPr>
              <w:t>Flameproof joint</w:t>
            </w:r>
          </w:p>
        </w:tc>
        <w:tc>
          <w:tcPr>
            <w:tcW w:type="dxa" w:w="1080"/>
          </w:tcPr>
          <w:p>
            <w:pPr>
              <w:spacing w:after="20"/>
            </w:pPr>
            <w:r>
              <w:rPr>
                <w:sz w:val="14"/>
              </w:rPr>
              <w:t>Assembly M-E9 (closed by turning clockwise)</w:t>
            </w:r>
          </w:p>
        </w:tc>
        <w:tc>
          <w:tcPr>
            <w:tcW w:type="dxa" w:w="864"/>
            <w:shd w:val="clear" w:fill="FBEEE4"/>
          </w:tcPr>
          <w:p>
            <w:pPr>
              <w:spacing w:after="20"/>
            </w:pPr>
            <w:r>
              <w:rPr>
                <w:b/>
                <w:sz w:val="14"/>
              </w:rPr>
              <w:t>Open</w:t>
            </w:r>
          </w:p>
        </w:tc>
      </w:tr>
      <w:tr>
        <w:trPr>
          <w:cantSplit/>
        </w:trPr>
        <w:tc>
          <w:tcPr>
            <w:tcW w:type="dxa" w:w="648"/>
          </w:tcPr>
          <w:p>
            <w:pPr>
              <w:spacing w:after="20"/>
            </w:pPr>
            <w:r>
              <w:rPr>
                <w:b/>
                <w:sz w:val="14"/>
              </w:rPr>
              <w:t>EX-03</w:t>
            </w:r>
          </w:p>
        </w:tc>
        <w:tc>
          <w:tcPr>
            <w:tcW w:type="dxa" w:w="1440"/>
          </w:tcPr>
          <w:p>
            <w:pPr>
              <w:spacing w:after="20"/>
            </w:pPr>
            <w:r>
              <w:rPr>
                <w:sz w:val="14"/>
              </w:rPr>
              <w:t>Front stainless-steel wire-mesh plate + locking bracket</w:t>
            </w:r>
          </w:p>
        </w:tc>
        <w:tc>
          <w:tcPr>
            <w:tcW w:type="dxa" w:w="1080"/>
          </w:tcPr>
          <w:p>
            <w:pPr>
              <w:spacing w:after="20"/>
            </w:pPr>
            <w:r>
              <w:rPr>
                <w:sz w:val="14"/>
              </w:rPr>
              <w:t>TBC</w:t>
            </w:r>
          </w:p>
        </w:tc>
        <w:tc>
          <w:tcPr>
            <w:tcW w:type="dxa" w:w="1224"/>
          </w:tcPr>
          <w:p>
            <w:pPr>
              <w:spacing w:after="20"/>
            </w:pPr>
            <w:r>
              <w:rPr>
                <w:sz w:val="14"/>
              </w:rPr>
              <w:t>TBC (M-D4, M-E1)</w:t>
            </w:r>
          </w:p>
        </w:tc>
        <w:tc>
          <w:tcPr>
            <w:tcW w:type="dxa" w:w="1800"/>
          </w:tcPr>
          <w:p>
            <w:pPr>
              <w:spacing w:after="20"/>
            </w:pPr>
            <w:r>
              <w:rPr>
                <w:sz w:val="14"/>
              </w:rPr>
              <w:t>Stainless steel; grade, mesh/pore size, thickness, layers TBC</w:t>
            </w:r>
          </w:p>
        </w:tc>
        <w:tc>
          <w:tcPr>
            <w:tcW w:type="dxa" w:w="1224"/>
          </w:tcPr>
          <w:p>
            <w:pPr>
              <w:spacing w:after="20"/>
            </w:pPr>
            <w:r>
              <w:rPr>
                <w:sz w:val="14"/>
              </w:rPr>
              <w:t>Gas inlet; flame-path element if certified</w:t>
            </w:r>
          </w:p>
        </w:tc>
        <w:tc>
          <w:tcPr>
            <w:tcW w:type="dxa" w:w="1080"/>
          </w:tcPr>
          <w:p>
            <w:pPr>
              <w:spacing w:after="20"/>
            </w:pPr>
            <w:r>
              <w:rPr>
                <w:sz w:val="14"/>
              </w:rPr>
              <w:t>Photograph, assembly illustration</w:t>
            </w:r>
          </w:p>
        </w:tc>
        <w:tc>
          <w:tcPr>
            <w:tcW w:type="dxa" w:w="864"/>
            <w:shd w:val="clear" w:fill="FBEEE4"/>
          </w:tcPr>
          <w:p>
            <w:pPr>
              <w:spacing w:after="20"/>
            </w:pPr>
            <w:r>
              <w:rPr>
                <w:b/>
                <w:sz w:val="14"/>
              </w:rPr>
              <w:t>Open</w:t>
            </w:r>
          </w:p>
        </w:tc>
      </w:tr>
      <w:tr>
        <w:trPr>
          <w:cantSplit/>
        </w:trPr>
        <w:tc>
          <w:tcPr>
            <w:tcW w:type="dxa" w:w="648"/>
          </w:tcPr>
          <w:p>
            <w:pPr>
              <w:spacing w:after="20"/>
            </w:pPr>
            <w:r>
              <w:rPr>
                <w:b/>
                <w:sz w:val="14"/>
              </w:rPr>
              <w:t>EX-04</w:t>
            </w:r>
          </w:p>
        </w:tc>
        <w:tc>
          <w:tcPr>
            <w:tcW w:type="dxa" w:w="1440"/>
          </w:tcPr>
          <w:p>
            <w:pPr>
              <w:spacing w:after="20"/>
            </w:pPr>
            <w:r>
              <w:rPr>
                <w:sz w:val="14"/>
              </w:rPr>
              <w:t>MQ sensor integrated protective mesh</w:t>
            </w:r>
          </w:p>
        </w:tc>
        <w:tc>
          <w:tcPr>
            <w:tcW w:type="dxa" w:w="1080"/>
          </w:tcPr>
          <w:p>
            <w:pPr>
              <w:spacing w:after="20"/>
            </w:pPr>
            <w:r>
              <w:rPr>
                <w:sz w:val="14"/>
              </w:rPr>
              <w:t>Sensor manufacturer TBC</w:t>
            </w:r>
          </w:p>
        </w:tc>
        <w:tc>
          <w:tcPr>
            <w:tcW w:type="dxa" w:w="1224"/>
          </w:tcPr>
          <w:p>
            <w:pPr>
              <w:spacing w:after="20"/>
            </w:pPr>
            <w:r>
              <w:rPr>
                <w:sz w:val="14"/>
              </w:rPr>
              <w:t>MQ-2, MQ-3B, MQ-4, MQ-5, MQ-6, MQ-7B, MQ-8, MQ-135</w:t>
            </w:r>
          </w:p>
        </w:tc>
        <w:tc>
          <w:tcPr>
            <w:tcW w:type="dxa" w:w="1800"/>
          </w:tcPr>
          <w:p>
            <w:pPr>
              <w:spacing w:after="20"/>
            </w:pPr>
            <w:r>
              <w:rPr>
                <w:sz w:val="14"/>
              </w:rPr>
              <w:t>Stainless-steel mesh (per sensor construction)</w:t>
            </w:r>
          </w:p>
        </w:tc>
        <w:tc>
          <w:tcPr>
            <w:tcW w:type="dxa" w:w="1224"/>
          </w:tcPr>
          <w:p>
            <w:pPr>
              <w:spacing w:after="20"/>
            </w:pPr>
            <w:r>
              <w:rPr>
                <w:sz w:val="14"/>
              </w:rPr>
              <w:t>Protective element; no flame-arresting claim</w:t>
            </w:r>
          </w:p>
        </w:tc>
        <w:tc>
          <w:tcPr>
            <w:tcW w:type="dxa" w:w="1080"/>
          </w:tcPr>
          <w:p>
            <w:pPr>
              <w:spacing w:after="20"/>
            </w:pPr>
            <w:r>
              <w:rPr>
                <w:sz w:val="14"/>
              </w:rPr>
              <w:t>Sensor data sheets (M-F1…M-F4)</w:t>
            </w:r>
          </w:p>
        </w:tc>
        <w:tc>
          <w:tcPr>
            <w:tcW w:type="dxa" w:w="864"/>
            <w:shd w:val="clear" w:fill="FBEEE4"/>
          </w:tcPr>
          <w:p>
            <w:pPr>
              <w:spacing w:after="20"/>
            </w:pPr>
            <w:r>
              <w:rPr>
                <w:b/>
                <w:sz w:val="14"/>
              </w:rPr>
              <w:t>Open</w:t>
            </w:r>
          </w:p>
        </w:tc>
      </w:tr>
      <w:tr>
        <w:trPr>
          <w:cantSplit/>
        </w:trPr>
        <w:tc>
          <w:tcPr>
            <w:tcW w:type="dxa" w:w="648"/>
          </w:tcPr>
          <w:p>
            <w:pPr>
              <w:spacing w:after="20"/>
            </w:pPr>
            <w:r>
              <w:rPr>
                <w:b/>
                <w:sz w:val="14"/>
              </w:rPr>
              <w:t>EX-05</w:t>
            </w:r>
          </w:p>
        </w:tc>
        <w:tc>
          <w:tcPr>
            <w:tcW w:type="dxa" w:w="1440"/>
          </w:tcPr>
          <w:p>
            <w:pPr>
              <w:spacing w:after="20"/>
            </w:pPr>
            <w:r>
              <w:rPr>
                <w:sz w:val="14"/>
              </w:rPr>
              <w:t>DC sampling fan</w:t>
            </w:r>
          </w:p>
        </w:tc>
        <w:tc>
          <w:tcPr>
            <w:tcW w:type="dxa" w:w="1080"/>
          </w:tcPr>
          <w:p>
            <w:pPr>
              <w:spacing w:after="20"/>
            </w:pPr>
            <w:r>
              <w:rPr>
                <w:sz w:val="14"/>
              </w:rPr>
              <w:t>CIXIKEJI</w:t>
            </w:r>
          </w:p>
        </w:tc>
        <w:tc>
          <w:tcPr>
            <w:tcW w:type="dxa" w:w="1224"/>
          </w:tcPr>
          <w:p>
            <w:pPr>
              <w:spacing w:after="20"/>
            </w:pPr>
            <w:r>
              <w:rPr>
                <w:sz w:val="14"/>
              </w:rPr>
              <w:t>CX5010B5H (DC brushless, 50 × 50 × 10 mm frame)</w:t>
            </w:r>
          </w:p>
        </w:tc>
        <w:tc>
          <w:tcPr>
            <w:tcW w:type="dxa" w:w="1800"/>
          </w:tcPr>
          <w:p>
            <w:pPr>
              <w:spacing w:after="20"/>
            </w:pPr>
            <w:r>
              <w:rPr>
                <w:sz w:val="14"/>
              </w:rPr>
              <w:t>DC 5 V, 0.23 A (≈1.2 W); CE/FCC/RoHS only — no Ex certification; max. temperature TBC</w:t>
            </w:r>
          </w:p>
        </w:tc>
        <w:tc>
          <w:tcPr>
            <w:tcW w:type="dxa" w:w="1224"/>
          </w:tcPr>
          <w:p>
            <w:pPr>
              <w:spacing w:after="20"/>
            </w:pPr>
            <w:r>
              <w:rPr>
                <w:sz w:val="14"/>
              </w:rPr>
              <w:t>Gas sampling; potential ignition source (IS-02)</w:t>
            </w:r>
          </w:p>
        </w:tc>
        <w:tc>
          <w:tcPr>
            <w:tcW w:type="dxa" w:w="1080"/>
          </w:tcPr>
          <w:p>
            <w:pPr>
              <w:spacing w:after="20"/>
            </w:pPr>
            <w:r>
              <w:rPr>
                <w:sz w:val="14"/>
              </w:rPr>
              <w:t>Label, Figure 4-108; driven by Q5 (sheet 24)</w:t>
            </w:r>
          </w:p>
        </w:tc>
        <w:tc>
          <w:tcPr>
            <w:tcW w:type="dxa" w:w="864"/>
            <w:shd w:val="clear" w:fill="FFF4D6"/>
          </w:tcPr>
          <w:p>
            <w:pPr>
              <w:spacing w:after="20"/>
            </w:pPr>
            <w:r>
              <w:rPr>
                <w:b/>
                <w:sz w:val="14"/>
              </w:rPr>
              <w:t>Partial</w:t>
            </w:r>
          </w:p>
        </w:tc>
      </w:tr>
      <w:tr>
        <w:trPr>
          <w:cantSplit/>
        </w:trPr>
        <w:tc>
          <w:tcPr>
            <w:tcW w:type="dxa" w:w="648"/>
          </w:tcPr>
          <w:p>
            <w:pPr>
              <w:spacing w:after="20"/>
            </w:pPr>
            <w:r>
              <w:rPr>
                <w:b/>
                <w:sz w:val="14"/>
              </w:rPr>
              <w:t>EX-06</w:t>
            </w:r>
          </w:p>
        </w:tc>
        <w:tc>
          <w:tcPr>
            <w:tcW w:type="dxa" w:w="1440"/>
          </w:tcPr>
          <w:p>
            <w:pPr>
              <w:spacing w:after="20"/>
            </w:pPr>
            <w:r>
              <w:rPr>
                <w:sz w:val="14"/>
              </w:rPr>
              <w:t>Gaskets / O-rings</w:t>
            </w:r>
          </w:p>
        </w:tc>
        <w:tc>
          <w:tcPr>
            <w:tcW w:type="dxa" w:w="1080"/>
          </w:tcPr>
          <w:p>
            <w:pPr>
              <w:spacing w:after="20"/>
            </w:pPr>
            <w:r>
              <w:rPr>
                <w:sz w:val="14"/>
              </w:rPr>
              <w:t>TBC</w:t>
            </w:r>
          </w:p>
        </w:tc>
        <w:tc>
          <w:tcPr>
            <w:tcW w:type="dxa" w:w="1224"/>
          </w:tcPr>
          <w:p>
            <w:pPr>
              <w:spacing w:after="20"/>
            </w:pPr>
            <w:r>
              <w:rPr>
                <w:sz w:val="14"/>
              </w:rPr>
              <w:t>TBC (M-D2, M-D3)</w:t>
            </w:r>
          </w:p>
        </w:tc>
        <w:tc>
          <w:tcPr>
            <w:tcW w:type="dxa" w:w="1800"/>
          </w:tcPr>
          <w:p>
            <w:pPr>
              <w:spacing w:after="20"/>
            </w:pPr>
            <w:r>
              <w:rPr>
                <w:sz w:val="14"/>
              </w:rPr>
              <w:t>Rubber; compound, hardness, temperature range TBC</w:t>
            </w:r>
          </w:p>
        </w:tc>
        <w:tc>
          <w:tcPr>
            <w:tcW w:type="dxa" w:w="1224"/>
          </w:tcPr>
          <w:p>
            <w:pPr>
              <w:spacing w:after="20"/>
            </w:pPr>
            <w:r>
              <w:rPr>
                <w:sz w:val="14"/>
              </w:rPr>
              <w:t>Environmental sealing (IP66)</w:t>
            </w:r>
          </w:p>
        </w:tc>
        <w:tc>
          <w:tcPr>
            <w:tcW w:type="dxa" w:w="1080"/>
          </w:tcPr>
          <w:p>
            <w:pPr>
              <w:spacing w:after="20"/>
            </w:pPr>
            <w:r>
              <w:rPr>
                <w:sz w:val="14"/>
              </w:rPr>
              <w:t>Photographs</w:t>
            </w:r>
          </w:p>
        </w:tc>
        <w:tc>
          <w:tcPr>
            <w:tcW w:type="dxa" w:w="864"/>
            <w:shd w:val="clear" w:fill="FBEEE4"/>
          </w:tcPr>
          <w:p>
            <w:pPr>
              <w:spacing w:after="20"/>
            </w:pPr>
            <w:r>
              <w:rPr>
                <w:b/>
                <w:sz w:val="14"/>
              </w:rPr>
              <w:t>Open</w:t>
            </w:r>
          </w:p>
        </w:tc>
      </w:tr>
      <w:tr>
        <w:trPr>
          <w:cantSplit/>
        </w:trPr>
        <w:tc>
          <w:tcPr>
            <w:tcW w:type="dxa" w:w="648"/>
          </w:tcPr>
          <w:p>
            <w:pPr>
              <w:spacing w:after="20"/>
            </w:pPr>
            <w:r>
              <w:rPr>
                <w:b/>
                <w:sz w:val="14"/>
              </w:rPr>
              <w:t>EX-07</w:t>
            </w:r>
          </w:p>
        </w:tc>
        <w:tc>
          <w:tcPr>
            <w:tcW w:type="dxa" w:w="1440"/>
          </w:tcPr>
          <w:p>
            <w:pPr>
              <w:spacing w:after="20"/>
            </w:pPr>
            <w:r>
              <w:rPr>
                <w:sz w:val="14"/>
              </w:rPr>
              <w:t>Cable gland (24 VDC entry)</w:t>
            </w:r>
          </w:p>
        </w:tc>
        <w:tc>
          <w:tcPr>
            <w:tcW w:type="dxa" w:w="1080"/>
          </w:tcPr>
          <w:p>
            <w:pPr>
              <w:spacing w:after="20"/>
            </w:pPr>
            <w:r>
              <w:rPr>
                <w:sz w:val="14"/>
              </w:rPr>
              <w:t>TBC</w:t>
            </w:r>
          </w:p>
        </w:tc>
        <w:tc>
          <w:tcPr>
            <w:tcW w:type="dxa" w:w="1224"/>
          </w:tcPr>
          <w:p>
            <w:pPr>
              <w:spacing w:after="20"/>
            </w:pPr>
            <w:r>
              <w:rPr>
                <w:sz w:val="14"/>
              </w:rPr>
              <w:t>TBC</w:t>
            </w:r>
          </w:p>
        </w:tc>
        <w:tc>
          <w:tcPr>
            <w:tcW w:type="dxa" w:w="1800"/>
          </w:tcPr>
          <w:p>
            <w:pPr>
              <w:spacing w:after="20"/>
            </w:pPr>
            <w:r>
              <w:rPr>
                <w:sz w:val="14"/>
              </w:rPr>
              <w:t>M20×1.5 entry thread (BP18-1Z reference); Ex d barrier gland required for IIC; cable range, IP, temperature TBC</w:t>
            </w:r>
          </w:p>
        </w:tc>
        <w:tc>
          <w:tcPr>
            <w:tcW w:type="dxa" w:w="1224"/>
          </w:tcPr>
          <w:p>
            <w:pPr>
              <w:spacing w:after="20"/>
            </w:pPr>
            <w:r>
              <w:rPr>
                <w:sz w:val="14"/>
              </w:rPr>
              <w:t>Cable-entry flame path and sealing</w:t>
            </w:r>
          </w:p>
        </w:tc>
        <w:tc>
          <w:tcPr>
            <w:tcW w:type="dxa" w:w="1080"/>
          </w:tcPr>
          <w:p>
            <w:pPr>
              <w:spacing w:after="20"/>
            </w:pPr>
            <w:r>
              <w:rPr>
                <w:sz w:val="14"/>
              </w:rPr>
              <w:t>Current prototype uses a general-purpose black polymer gland (Figure 4-112) — to be replaced by a certified metallic Ex d barrier gland</w:t>
            </w:r>
          </w:p>
        </w:tc>
        <w:tc>
          <w:tcPr>
            <w:tcW w:type="dxa" w:w="864"/>
            <w:shd w:val="clear" w:fill="FBEEE4"/>
          </w:tcPr>
          <w:p>
            <w:pPr>
              <w:spacing w:after="20"/>
            </w:pPr>
            <w:r>
              <w:rPr>
                <w:b/>
                <w:sz w:val="14"/>
              </w:rPr>
              <w:t>Pending certificate</w:t>
            </w:r>
          </w:p>
        </w:tc>
      </w:tr>
      <w:tr>
        <w:trPr>
          <w:cantSplit/>
        </w:trPr>
        <w:tc>
          <w:tcPr>
            <w:tcW w:type="dxa" w:w="648"/>
          </w:tcPr>
          <w:p>
            <w:pPr>
              <w:spacing w:after="20"/>
            </w:pPr>
            <w:r>
              <w:rPr>
                <w:b/>
                <w:sz w:val="14"/>
              </w:rPr>
              <w:t>EX-08</w:t>
            </w:r>
          </w:p>
        </w:tc>
        <w:tc>
          <w:tcPr>
            <w:tcW w:type="dxa" w:w="1440"/>
          </w:tcPr>
          <w:p>
            <w:pPr>
              <w:spacing w:after="20"/>
            </w:pPr>
            <w:r>
              <w:rPr>
                <w:sz w:val="14"/>
              </w:rPr>
              <w:t>Blanking plug / adaptor</w:t>
            </w:r>
          </w:p>
        </w:tc>
        <w:tc>
          <w:tcPr>
            <w:tcW w:type="dxa" w:w="1080"/>
          </w:tcPr>
          <w:p>
            <w:pPr>
              <w:spacing w:after="20"/>
            </w:pPr>
            <w:r>
              <w:rPr>
                <w:sz w:val="14"/>
              </w:rPr>
              <w:t>TBC</w:t>
            </w:r>
          </w:p>
        </w:tc>
        <w:tc>
          <w:tcPr>
            <w:tcW w:type="dxa" w:w="1224"/>
          </w:tcPr>
          <w:p>
            <w:pPr>
              <w:spacing w:after="20"/>
            </w:pPr>
            <w:r>
              <w:rPr>
                <w:sz w:val="14"/>
              </w:rPr>
              <w:t>TBC</w:t>
            </w:r>
          </w:p>
        </w:tc>
        <w:tc>
          <w:tcPr>
            <w:tcW w:type="dxa" w:w="1800"/>
          </w:tcPr>
          <w:p>
            <w:pPr>
              <w:spacing w:after="20"/>
            </w:pPr>
            <w:r>
              <w:rPr>
                <w:sz w:val="14"/>
              </w:rPr>
              <w:t>Metallic hexagon plug fitted in the lower entry; thread and certification TBC</w:t>
            </w:r>
          </w:p>
        </w:tc>
        <w:tc>
          <w:tcPr>
            <w:tcW w:type="dxa" w:w="1224"/>
          </w:tcPr>
          <w:p>
            <w:pPr>
              <w:spacing w:after="20"/>
            </w:pPr>
            <w:r>
              <w:rPr>
                <w:sz w:val="14"/>
              </w:rPr>
              <w:t>Closes unused entry</w:t>
            </w:r>
          </w:p>
        </w:tc>
        <w:tc>
          <w:tcPr>
            <w:tcW w:type="dxa" w:w="1080"/>
          </w:tcPr>
          <w:p>
            <w:pPr>
              <w:spacing w:after="20"/>
            </w:pPr>
            <w:r>
              <w:rPr>
                <w:sz w:val="14"/>
              </w:rPr>
              <w:t>Figure 4-119</w:t>
            </w:r>
          </w:p>
        </w:tc>
        <w:tc>
          <w:tcPr>
            <w:tcW w:type="dxa" w:w="864"/>
            <w:shd w:val="clear" w:fill="FBEEE4"/>
          </w:tcPr>
          <w:p>
            <w:pPr>
              <w:spacing w:after="20"/>
            </w:pPr>
            <w:r>
              <w:rPr>
                <w:b/>
                <w:sz w:val="14"/>
              </w:rPr>
              <w:t>Pending certificate</w:t>
            </w:r>
          </w:p>
        </w:tc>
      </w:tr>
      <w:tr>
        <w:trPr>
          <w:cantSplit/>
        </w:trPr>
        <w:tc>
          <w:tcPr>
            <w:tcW w:type="dxa" w:w="648"/>
          </w:tcPr>
          <w:p>
            <w:pPr>
              <w:spacing w:after="20"/>
            </w:pPr>
            <w:r>
              <w:rPr>
                <w:b/>
                <w:sz w:val="14"/>
              </w:rPr>
              <w:t>EX-09</w:t>
            </w:r>
          </w:p>
        </w:tc>
        <w:tc>
          <w:tcPr>
            <w:tcW w:type="dxa" w:w="1440"/>
          </w:tcPr>
          <w:p>
            <w:pPr>
              <w:spacing w:after="20"/>
            </w:pPr>
            <w:r>
              <w:rPr>
                <w:sz w:val="14"/>
              </w:rPr>
              <w:t>Antenna bulkhead / SMA interface</w:t>
            </w:r>
          </w:p>
        </w:tc>
        <w:tc>
          <w:tcPr>
            <w:tcW w:type="dxa" w:w="1080"/>
          </w:tcPr>
          <w:p>
            <w:pPr>
              <w:spacing w:after="20"/>
            </w:pPr>
            <w:r>
              <w:rPr>
                <w:sz w:val="14"/>
              </w:rPr>
              <w:t>TBC</w:t>
            </w:r>
          </w:p>
        </w:tc>
        <w:tc>
          <w:tcPr>
            <w:tcW w:type="dxa" w:w="1224"/>
          </w:tcPr>
          <w:p>
            <w:pPr>
              <w:spacing w:after="20"/>
            </w:pPr>
            <w:r>
              <w:rPr>
                <w:sz w:val="14"/>
              </w:rPr>
              <w:t>TBC</w:t>
            </w:r>
          </w:p>
        </w:tc>
        <w:tc>
          <w:tcPr>
            <w:tcW w:type="dxa" w:w="1800"/>
          </w:tcPr>
          <w:p>
            <w:pPr>
              <w:spacing w:after="20"/>
            </w:pPr>
            <w:r>
              <w:rPr>
                <w:sz w:val="14"/>
              </w:rPr>
              <w:t>SMA; material and sealing TBC</w:t>
            </w:r>
          </w:p>
        </w:tc>
        <w:tc>
          <w:tcPr>
            <w:tcW w:type="dxa" w:w="1224"/>
          </w:tcPr>
          <w:p>
            <w:pPr>
              <w:spacing w:after="20"/>
            </w:pPr>
            <w:r>
              <w:rPr>
                <w:sz w:val="14"/>
              </w:rPr>
              <w:t>Enclosure penetration</w:t>
            </w:r>
          </w:p>
        </w:tc>
        <w:tc>
          <w:tcPr>
            <w:tcW w:type="dxa" w:w="1080"/>
          </w:tcPr>
          <w:p>
            <w:pPr>
              <w:spacing w:after="20"/>
            </w:pPr>
            <w:r>
              <w:rPr>
                <w:sz w:val="14"/>
              </w:rPr>
              <w:t>—</w:t>
            </w:r>
          </w:p>
        </w:tc>
        <w:tc>
          <w:tcPr>
            <w:tcW w:type="dxa" w:w="864"/>
            <w:shd w:val="clear" w:fill="FBEEE4"/>
          </w:tcPr>
          <w:p>
            <w:pPr>
              <w:spacing w:after="20"/>
            </w:pPr>
            <w:r>
              <w:rPr>
                <w:b/>
                <w:sz w:val="14"/>
              </w:rPr>
              <w:t>Open</w:t>
            </w:r>
          </w:p>
        </w:tc>
      </w:tr>
      <w:tr>
        <w:trPr>
          <w:cantSplit/>
        </w:trPr>
        <w:tc>
          <w:tcPr>
            <w:tcW w:type="dxa" w:w="648"/>
          </w:tcPr>
          <w:p>
            <w:pPr>
              <w:spacing w:after="20"/>
            </w:pPr>
            <w:r>
              <w:rPr>
                <w:b/>
                <w:sz w:val="14"/>
              </w:rPr>
              <w:t>EX-10</w:t>
            </w:r>
          </w:p>
        </w:tc>
        <w:tc>
          <w:tcPr>
            <w:tcW w:type="dxa" w:w="1440"/>
          </w:tcPr>
          <w:p>
            <w:pPr>
              <w:spacing w:after="20"/>
            </w:pPr>
            <w:r>
              <w:rPr>
                <w:sz w:val="14"/>
              </w:rPr>
              <w:t>External antenna</w:t>
            </w:r>
          </w:p>
        </w:tc>
        <w:tc>
          <w:tcPr>
            <w:tcW w:type="dxa" w:w="1080"/>
          </w:tcPr>
          <w:p>
            <w:pPr>
              <w:spacing w:after="20"/>
            </w:pPr>
            <w:r>
              <w:rPr>
                <w:sz w:val="14"/>
              </w:rPr>
              <w:t>TBC</w:t>
            </w:r>
          </w:p>
        </w:tc>
        <w:tc>
          <w:tcPr>
            <w:tcW w:type="dxa" w:w="1224"/>
          </w:tcPr>
          <w:p>
            <w:pPr>
              <w:spacing w:after="20"/>
            </w:pPr>
            <w:r>
              <w:rPr>
                <w:sz w:val="14"/>
              </w:rPr>
              <w:t>TBC</w:t>
            </w:r>
          </w:p>
        </w:tc>
        <w:tc>
          <w:tcPr>
            <w:tcW w:type="dxa" w:w="1800"/>
          </w:tcPr>
          <w:p>
            <w:pPr>
              <w:spacing w:after="20"/>
            </w:pPr>
            <w:r>
              <w:rPr>
                <w:sz w:val="14"/>
              </w:rPr>
              <w:t>Omnidirectional, 3 dBi, SMA; material/environmental rating TBC</w:t>
            </w:r>
          </w:p>
        </w:tc>
        <w:tc>
          <w:tcPr>
            <w:tcW w:type="dxa" w:w="1224"/>
          </w:tcPr>
          <w:p>
            <w:pPr>
              <w:spacing w:after="20"/>
            </w:pPr>
            <w:r>
              <w:rPr>
                <w:sz w:val="14"/>
              </w:rPr>
              <w:t>RF radiator</w:t>
            </w:r>
          </w:p>
        </w:tc>
        <w:tc>
          <w:tcPr>
            <w:tcW w:type="dxa" w:w="1080"/>
          </w:tcPr>
          <w:p>
            <w:pPr>
              <w:spacing w:after="20"/>
            </w:pPr>
            <w:r>
              <w:rPr>
                <w:sz w:val="14"/>
              </w:rPr>
              <w:t>M-D1</w:t>
            </w:r>
          </w:p>
        </w:tc>
        <w:tc>
          <w:tcPr>
            <w:tcW w:type="dxa" w:w="864"/>
            <w:shd w:val="clear" w:fill="FBEEE4"/>
          </w:tcPr>
          <w:p>
            <w:pPr>
              <w:spacing w:after="20"/>
            </w:pPr>
            <w:r>
              <w:rPr>
                <w:b/>
                <w:sz w:val="14"/>
              </w:rPr>
              <w:t>Open</w:t>
            </w:r>
          </w:p>
        </w:tc>
      </w:tr>
      <w:tr>
        <w:trPr>
          <w:cantSplit/>
        </w:trPr>
        <w:tc>
          <w:tcPr>
            <w:tcW w:type="dxa" w:w="648"/>
          </w:tcPr>
          <w:p>
            <w:pPr>
              <w:spacing w:after="20"/>
            </w:pPr>
            <w:r>
              <w:rPr>
                <w:b/>
                <w:sz w:val="14"/>
              </w:rPr>
              <w:t>EX-11</w:t>
            </w:r>
          </w:p>
        </w:tc>
        <w:tc>
          <w:tcPr>
            <w:tcW w:type="dxa" w:w="1440"/>
          </w:tcPr>
          <w:p>
            <w:pPr>
              <w:spacing w:after="20"/>
            </w:pPr>
            <w:r>
              <w:rPr>
                <w:sz w:val="14"/>
              </w:rPr>
              <w:t>LED / buzzer alarm beacon</w:t>
            </w:r>
          </w:p>
        </w:tc>
        <w:tc>
          <w:tcPr>
            <w:tcW w:type="dxa" w:w="1080"/>
          </w:tcPr>
          <w:p>
            <w:pPr>
              <w:spacing w:after="20"/>
            </w:pPr>
            <w:r>
              <w:rPr>
                <w:sz w:val="14"/>
              </w:rPr>
              <w:t>TBC</w:t>
            </w:r>
          </w:p>
        </w:tc>
        <w:tc>
          <w:tcPr>
            <w:tcW w:type="dxa" w:w="1224"/>
          </w:tcPr>
          <w:p>
            <w:pPr>
              <w:spacing w:after="20"/>
            </w:pPr>
            <w:r>
              <w:rPr>
                <w:sz w:val="14"/>
              </w:rPr>
              <w:t>TBC</w:t>
            </w:r>
          </w:p>
        </w:tc>
        <w:tc>
          <w:tcPr>
            <w:tcW w:type="dxa" w:w="1800"/>
          </w:tcPr>
          <w:p>
            <w:pPr>
              <w:spacing w:after="20"/>
            </w:pPr>
            <w:r>
              <w:rPr>
                <w:sz w:val="14"/>
              </w:rPr>
              <w:t>Driven at 24 V from J2 (sheet 25); housing, gasket, current TBC</w:t>
            </w:r>
          </w:p>
        </w:tc>
        <w:tc>
          <w:tcPr>
            <w:tcW w:type="dxa" w:w="1224"/>
          </w:tcPr>
          <w:p>
            <w:pPr>
              <w:spacing w:after="20"/>
            </w:pPr>
            <w:r>
              <w:rPr>
                <w:sz w:val="14"/>
              </w:rPr>
              <w:t>Local alarm; separate penetration</w:t>
            </w:r>
          </w:p>
        </w:tc>
        <w:tc>
          <w:tcPr>
            <w:tcW w:type="dxa" w:w="1080"/>
          </w:tcPr>
          <w:p>
            <w:pPr>
              <w:spacing w:after="20"/>
            </w:pPr>
            <w:r>
              <w:rPr>
                <w:sz w:val="14"/>
              </w:rPr>
              <w:t>M-D5</w:t>
            </w:r>
          </w:p>
        </w:tc>
        <w:tc>
          <w:tcPr>
            <w:tcW w:type="dxa" w:w="864"/>
            <w:shd w:val="clear" w:fill="FBEEE4"/>
          </w:tcPr>
          <w:p>
            <w:pPr>
              <w:spacing w:after="20"/>
            </w:pPr>
            <w:r>
              <w:rPr>
                <w:b/>
                <w:sz w:val="14"/>
              </w:rPr>
              <w:t>Open</w:t>
            </w:r>
          </w:p>
        </w:tc>
      </w:tr>
      <w:tr>
        <w:trPr>
          <w:cantSplit/>
        </w:trPr>
        <w:tc>
          <w:tcPr>
            <w:tcW w:type="dxa" w:w="648"/>
          </w:tcPr>
          <w:p>
            <w:pPr>
              <w:spacing w:after="20"/>
            </w:pPr>
            <w:r>
              <w:rPr>
                <w:b/>
                <w:sz w:val="14"/>
              </w:rPr>
              <w:t>EX-12</w:t>
            </w:r>
          </w:p>
        </w:tc>
        <w:tc>
          <w:tcPr>
            <w:tcW w:type="dxa" w:w="1440"/>
          </w:tcPr>
          <w:p>
            <w:pPr>
              <w:spacing w:after="20"/>
            </w:pPr>
            <w:r>
              <w:rPr>
                <w:sz w:val="14"/>
              </w:rPr>
              <w:t>Grounding stud</w:t>
            </w:r>
          </w:p>
        </w:tc>
        <w:tc>
          <w:tcPr>
            <w:tcW w:type="dxa" w:w="1080"/>
          </w:tcPr>
          <w:p>
            <w:pPr>
              <w:spacing w:after="20"/>
            </w:pPr>
            <w:r>
              <w:rPr>
                <w:sz w:val="14"/>
              </w:rPr>
              <w:t>TBC</w:t>
            </w:r>
          </w:p>
        </w:tc>
        <w:tc>
          <w:tcPr>
            <w:tcW w:type="dxa" w:w="1224"/>
          </w:tcPr>
          <w:p>
            <w:pPr>
              <w:spacing w:after="20"/>
            </w:pPr>
            <w:r>
              <w:rPr>
                <w:sz w:val="14"/>
              </w:rPr>
              <w:t>TBC</w:t>
            </w:r>
          </w:p>
        </w:tc>
        <w:tc>
          <w:tcPr>
            <w:tcW w:type="dxa" w:w="1800"/>
          </w:tcPr>
          <w:p>
            <w:pPr>
              <w:spacing w:after="20"/>
            </w:pPr>
            <w:r>
              <w:rPr>
                <w:sz w:val="14"/>
              </w:rPr>
              <w:t>External stud with PE symbol; size and material TBC</w:t>
            </w:r>
          </w:p>
        </w:tc>
        <w:tc>
          <w:tcPr>
            <w:tcW w:type="dxa" w:w="1224"/>
          </w:tcPr>
          <w:p>
            <w:pPr>
              <w:spacing w:after="20"/>
            </w:pPr>
            <w:r>
              <w:rPr>
                <w:sz w:val="14"/>
              </w:rPr>
              <w:t>Protective earth / bonding</w:t>
            </w:r>
          </w:p>
        </w:tc>
        <w:tc>
          <w:tcPr>
            <w:tcW w:type="dxa" w:w="1080"/>
          </w:tcPr>
          <w:p>
            <w:pPr>
              <w:spacing w:after="20"/>
            </w:pPr>
            <w:r>
              <w:rPr>
                <w:sz w:val="14"/>
              </w:rPr>
              <w:t>M-D15; Figures 4-116, 4-120</w:t>
            </w:r>
          </w:p>
        </w:tc>
        <w:tc>
          <w:tcPr>
            <w:tcW w:type="dxa" w:w="864"/>
            <w:shd w:val="clear" w:fill="FBEEE4"/>
          </w:tcPr>
          <w:p>
            <w:pPr>
              <w:spacing w:after="20"/>
            </w:pPr>
            <w:r>
              <w:rPr>
                <w:b/>
                <w:sz w:val="14"/>
              </w:rPr>
              <w:t>Open</w:t>
            </w:r>
          </w:p>
        </w:tc>
      </w:tr>
      <w:tr>
        <w:trPr>
          <w:cantSplit/>
        </w:trPr>
        <w:tc>
          <w:tcPr>
            <w:tcW w:type="dxa" w:w="648"/>
          </w:tcPr>
          <w:p>
            <w:pPr>
              <w:spacing w:after="20"/>
            </w:pPr>
            <w:r>
              <w:rPr>
                <w:b/>
                <w:sz w:val="14"/>
              </w:rPr>
              <w:t>EX-13</w:t>
            </w:r>
          </w:p>
        </w:tc>
        <w:tc>
          <w:tcPr>
            <w:tcW w:type="dxa" w:w="1440"/>
          </w:tcPr>
          <w:p>
            <w:pPr>
              <w:spacing w:after="20"/>
            </w:pPr>
            <w:r>
              <w:rPr>
                <w:sz w:val="14"/>
              </w:rPr>
              <w:t>Mounting fasteners</w:t>
            </w:r>
          </w:p>
        </w:tc>
        <w:tc>
          <w:tcPr>
            <w:tcW w:type="dxa" w:w="1080"/>
          </w:tcPr>
          <w:p>
            <w:pPr>
              <w:spacing w:after="20"/>
            </w:pPr>
            <w:r>
              <w:rPr>
                <w:sz w:val="14"/>
              </w:rPr>
              <w:t>TBC</w:t>
            </w:r>
          </w:p>
        </w:tc>
        <w:tc>
          <w:tcPr>
            <w:tcW w:type="dxa" w:w="1224"/>
          </w:tcPr>
          <w:p>
            <w:pPr>
              <w:spacing w:after="20"/>
            </w:pPr>
            <w:r>
              <w:rPr>
                <w:sz w:val="14"/>
              </w:rPr>
              <w:t>U-bolt mounting plate (M-A1)</w:t>
            </w:r>
          </w:p>
        </w:tc>
        <w:tc>
          <w:tcPr>
            <w:tcW w:type="dxa" w:w="1800"/>
          </w:tcPr>
          <w:p>
            <w:pPr>
              <w:spacing w:after="20"/>
            </w:pPr>
            <w:r>
              <w:rPr>
                <w:sz w:val="14"/>
              </w:rPr>
              <w:t>U-bolt 2″/DN50, M10 thread; plate 250 × 250 mm; fastener grade TBC</w:t>
            </w:r>
          </w:p>
        </w:tc>
        <w:tc>
          <w:tcPr>
            <w:tcW w:type="dxa" w:w="1224"/>
          </w:tcPr>
          <w:p>
            <w:pPr>
              <w:spacing w:after="20"/>
            </w:pPr>
            <w:r>
              <w:rPr>
                <w:sz w:val="14"/>
              </w:rPr>
              <w:t>Mechanical retention</w:t>
            </w:r>
          </w:p>
        </w:tc>
        <w:tc>
          <w:tcPr>
            <w:tcW w:type="dxa" w:w="1080"/>
          </w:tcPr>
          <w:p>
            <w:pPr>
              <w:spacing w:after="20"/>
            </w:pPr>
            <w:r>
              <w:rPr>
                <w:sz w:val="14"/>
              </w:rPr>
              <w:t>Drawing M-A1</w:t>
            </w:r>
          </w:p>
        </w:tc>
        <w:tc>
          <w:tcPr>
            <w:tcW w:type="dxa" w:w="864"/>
            <w:shd w:val="clear" w:fill="FFF4D6"/>
          </w:tcPr>
          <w:p>
            <w:pPr>
              <w:spacing w:after="20"/>
            </w:pPr>
            <w:r>
              <w:rPr>
                <w:b/>
                <w:sz w:val="14"/>
              </w:rPr>
              <w:t>Partial</w:t>
            </w:r>
          </w:p>
        </w:tc>
      </w:tr>
      <w:tr>
        <w:trPr>
          <w:cantSplit/>
        </w:trPr>
        <w:tc>
          <w:tcPr>
            <w:tcW w:type="dxa" w:w="648"/>
          </w:tcPr>
          <w:p>
            <w:pPr>
              <w:spacing w:after="20"/>
            </w:pPr>
            <w:r>
              <w:rPr>
                <w:b/>
                <w:sz w:val="14"/>
              </w:rPr>
              <w:t>EX-14</w:t>
            </w:r>
          </w:p>
        </w:tc>
        <w:tc>
          <w:tcPr>
            <w:tcW w:type="dxa" w:w="1440"/>
          </w:tcPr>
          <w:p>
            <w:pPr>
              <w:spacing w:after="20"/>
            </w:pPr>
            <w:r>
              <w:rPr>
                <w:sz w:val="14"/>
              </w:rPr>
              <w:t>Internal insulating parts (PCB cover / terminal module)</w:t>
            </w:r>
          </w:p>
        </w:tc>
        <w:tc>
          <w:tcPr>
            <w:tcW w:type="dxa" w:w="1080"/>
          </w:tcPr>
          <w:p>
            <w:pPr>
              <w:spacing w:after="20"/>
            </w:pPr>
            <w:r>
              <w:rPr>
                <w:sz w:val="14"/>
              </w:rPr>
              <w:t>TBC</w:t>
            </w:r>
          </w:p>
        </w:tc>
        <w:tc>
          <w:tcPr>
            <w:tcW w:type="dxa" w:w="1224"/>
          </w:tcPr>
          <w:p>
            <w:pPr>
              <w:spacing w:after="20"/>
            </w:pPr>
            <w:r>
              <w:rPr>
                <w:sz w:val="14"/>
              </w:rPr>
              <w:t>M-D10, M-D11</w:t>
            </w:r>
          </w:p>
        </w:tc>
        <w:tc>
          <w:tcPr>
            <w:tcW w:type="dxa" w:w="1800"/>
          </w:tcPr>
          <w:p>
            <w:pPr>
              <w:spacing w:after="20"/>
            </w:pPr>
            <w:r>
              <w:rPr>
                <w:sz w:val="14"/>
              </w:rPr>
              <w:t>Material, flammability, CTI TBC</w:t>
            </w:r>
          </w:p>
        </w:tc>
        <w:tc>
          <w:tcPr>
            <w:tcW w:type="dxa" w:w="1224"/>
          </w:tcPr>
          <w:p>
            <w:pPr>
              <w:spacing w:after="20"/>
            </w:pPr>
            <w:r>
              <w:rPr>
                <w:sz w:val="14"/>
              </w:rPr>
              <w:t>Insulation of terminals</w:t>
            </w:r>
          </w:p>
        </w:tc>
        <w:tc>
          <w:tcPr>
            <w:tcW w:type="dxa" w:w="1080"/>
          </w:tcPr>
          <w:p>
            <w:pPr>
              <w:spacing w:after="20"/>
            </w:pPr>
            <w:r>
              <w:rPr>
                <w:sz w:val="14"/>
              </w:rPr>
              <w:t>CAD render</w:t>
            </w:r>
          </w:p>
        </w:tc>
        <w:tc>
          <w:tcPr>
            <w:tcW w:type="dxa" w:w="864"/>
            <w:shd w:val="clear" w:fill="FBEEE4"/>
          </w:tcPr>
          <w:p>
            <w:pPr>
              <w:spacing w:after="20"/>
            </w:pPr>
            <w:r>
              <w:rPr>
                <w:b/>
                <w:sz w:val="14"/>
              </w:rPr>
              <w:t>Open</w:t>
            </w:r>
          </w:p>
        </w:tc>
      </w:tr>
      <w:tr>
        <w:trPr>
          <w:cantSplit/>
        </w:trPr>
        <w:tc>
          <w:tcPr>
            <w:tcW w:type="dxa" w:w="648"/>
          </w:tcPr>
          <w:p>
            <w:pPr>
              <w:spacing w:after="20"/>
            </w:pPr>
            <w:r>
              <w:rPr>
                <w:b/>
                <w:sz w:val="14"/>
              </w:rPr>
              <w:t>EX-15</w:t>
            </w:r>
          </w:p>
        </w:tc>
        <w:tc>
          <w:tcPr>
            <w:tcW w:type="dxa" w:w="1440"/>
          </w:tcPr>
          <w:p>
            <w:pPr>
              <w:spacing w:after="20"/>
            </w:pPr>
            <w:r>
              <w:rPr>
                <w:sz w:val="14"/>
              </w:rPr>
              <w:t>PCB substrate</w:t>
            </w:r>
          </w:p>
        </w:tc>
        <w:tc>
          <w:tcPr>
            <w:tcW w:type="dxa" w:w="1080"/>
          </w:tcPr>
          <w:p>
            <w:pPr>
              <w:spacing w:after="20"/>
            </w:pPr>
            <w:r>
              <w:rPr>
                <w:sz w:val="14"/>
              </w:rPr>
              <w:t>TBC (PCB fabricator)</w:t>
            </w:r>
          </w:p>
        </w:tc>
        <w:tc>
          <w:tcPr>
            <w:tcW w:type="dxa" w:w="1224"/>
          </w:tcPr>
          <w:p>
            <w:pPr>
              <w:spacing w:after="20"/>
            </w:pPr>
            <w:r>
              <w:rPr>
                <w:sz w:val="14"/>
              </w:rPr>
              <w:t>Main board Ø84 mm (2.6.a.8)</w:t>
            </w:r>
          </w:p>
        </w:tc>
        <w:tc>
          <w:tcPr>
            <w:tcW w:type="dxa" w:w="1800"/>
          </w:tcPr>
          <w:p>
            <w:pPr>
              <w:spacing w:after="20"/>
            </w:pPr>
            <w:r>
              <w:rPr>
                <w:sz w:val="14"/>
              </w:rPr>
              <w:t>Laminate grade, UL 94 rating, Tg, CTI, thickness TBC</w:t>
            </w:r>
          </w:p>
        </w:tc>
        <w:tc>
          <w:tcPr>
            <w:tcW w:type="dxa" w:w="1224"/>
          </w:tcPr>
          <w:p>
            <w:pPr>
              <w:spacing w:after="20"/>
            </w:pPr>
            <w:r>
              <w:rPr>
                <w:sz w:val="14"/>
              </w:rPr>
              <w:t>Carrier of energized circuits</w:t>
            </w:r>
          </w:p>
        </w:tc>
        <w:tc>
          <w:tcPr>
            <w:tcW w:type="dxa" w:w="1080"/>
          </w:tcPr>
          <w:p>
            <w:pPr>
              <w:spacing w:after="20"/>
            </w:pPr>
            <w:r>
              <w:rPr>
                <w:sz w:val="14"/>
              </w:rPr>
              <w:t>Layout views</w:t>
            </w:r>
          </w:p>
        </w:tc>
        <w:tc>
          <w:tcPr>
            <w:tcW w:type="dxa" w:w="864"/>
            <w:shd w:val="clear" w:fill="FBEEE4"/>
          </w:tcPr>
          <w:p>
            <w:pPr>
              <w:spacing w:after="20"/>
            </w:pPr>
            <w:r>
              <w:rPr>
                <w:b/>
                <w:sz w:val="14"/>
              </w:rPr>
              <w:t>Open</w:t>
            </w:r>
          </w:p>
        </w:tc>
      </w:tr>
      <w:tr>
        <w:trPr>
          <w:cantSplit/>
        </w:trPr>
        <w:tc>
          <w:tcPr>
            <w:tcW w:type="dxa" w:w="648"/>
          </w:tcPr>
          <w:p>
            <w:pPr>
              <w:spacing w:after="20"/>
            </w:pPr>
            <w:r>
              <w:rPr>
                <w:b/>
                <w:sz w:val="14"/>
              </w:rPr>
              <w:t>EX-16</w:t>
            </w:r>
          </w:p>
        </w:tc>
        <w:tc>
          <w:tcPr>
            <w:tcW w:type="dxa" w:w="1440"/>
          </w:tcPr>
          <w:p>
            <w:pPr>
              <w:spacing w:after="20"/>
            </w:pPr>
            <w:r>
              <w:rPr>
                <w:sz w:val="14"/>
              </w:rPr>
              <w:t>Potting / adhesive</w:t>
            </w:r>
          </w:p>
        </w:tc>
        <w:tc>
          <w:tcPr>
            <w:tcW w:type="dxa" w:w="1080"/>
          </w:tcPr>
          <w:p>
            <w:pPr>
              <w:spacing w:after="20"/>
            </w:pPr>
            <w:r>
              <w:rPr>
                <w:sz w:val="14"/>
              </w:rPr>
              <w:t>—</w:t>
            </w:r>
          </w:p>
        </w:tc>
        <w:tc>
          <w:tcPr>
            <w:tcW w:type="dxa" w:w="1224"/>
          </w:tcPr>
          <w:p>
            <w:pPr>
              <w:spacing w:after="20"/>
            </w:pPr>
            <w:r>
              <w:rPr>
                <w:sz w:val="14"/>
              </w:rPr>
              <w:t>—</w:t>
            </w:r>
          </w:p>
        </w:tc>
        <w:tc>
          <w:tcPr>
            <w:tcW w:type="dxa" w:w="1800"/>
          </w:tcPr>
          <w:p>
            <w:pPr>
              <w:spacing w:after="20"/>
            </w:pPr>
            <w:r>
              <w:rPr>
                <w:sz w:val="14"/>
              </w:rPr>
              <w:t>Not used in the current design (to be confirmed)</w:t>
            </w:r>
          </w:p>
        </w:tc>
        <w:tc>
          <w:tcPr>
            <w:tcW w:type="dxa" w:w="1224"/>
          </w:tcPr>
          <w:p>
            <w:pPr>
              <w:spacing w:after="20"/>
            </w:pPr>
            <w:r>
              <w:rPr>
                <w:sz w:val="14"/>
              </w:rPr>
              <w:t>—</w:t>
            </w:r>
          </w:p>
        </w:tc>
        <w:tc>
          <w:tcPr>
            <w:tcW w:type="dxa" w:w="1080"/>
          </w:tcPr>
          <w:p>
            <w:pPr>
              <w:spacing w:after="20"/>
            </w:pPr>
            <w:r>
              <w:rPr>
                <w:sz w:val="14"/>
              </w:rPr>
              <w:t>—</w:t>
            </w:r>
          </w:p>
        </w:tc>
        <w:tc>
          <w:tcPr>
            <w:tcW w:type="dxa" w:w="864"/>
            <w:shd w:val="clear" w:fill="FBEEE4"/>
          </w:tcPr>
          <w:p>
            <w:pPr>
              <w:spacing w:after="20"/>
            </w:pPr>
            <w:r>
              <w:rPr>
                <w:b/>
                <w:sz w:val="14"/>
              </w:rPr>
              <w:t>TBC</w:t>
            </w:r>
          </w:p>
        </w:tc>
      </w:tr>
      <w:tr>
        <w:trPr>
          <w:cantSplit/>
        </w:trPr>
        <w:tc>
          <w:tcPr>
            <w:tcW w:type="dxa" w:w="648"/>
          </w:tcPr>
          <w:p>
            <w:pPr>
              <w:spacing w:after="20"/>
            </w:pPr>
            <w:r>
              <w:rPr>
                <w:b/>
                <w:sz w:val="14"/>
              </w:rPr>
              <w:t>EX-17</w:t>
            </w:r>
          </w:p>
        </w:tc>
        <w:tc>
          <w:tcPr>
            <w:tcW w:type="dxa" w:w="1440"/>
          </w:tcPr>
          <w:p>
            <w:pPr>
              <w:spacing w:after="20"/>
            </w:pPr>
            <w:r>
              <w:rPr>
                <w:sz w:val="14"/>
              </w:rPr>
              <w:t>Battery and holder</w:t>
            </w:r>
          </w:p>
        </w:tc>
        <w:tc>
          <w:tcPr>
            <w:tcW w:type="dxa" w:w="1080"/>
          </w:tcPr>
          <w:p>
            <w:pPr>
              <w:spacing w:after="20"/>
            </w:pPr>
            <w:r>
              <w:rPr>
                <w:sz w:val="14"/>
              </w:rPr>
              <w:t>—</w:t>
            </w:r>
          </w:p>
        </w:tc>
        <w:tc>
          <w:tcPr>
            <w:tcW w:type="dxa" w:w="1224"/>
          </w:tcPr>
          <w:p>
            <w:pPr>
              <w:spacing w:after="20"/>
            </w:pPr>
            <w:r>
              <w:rPr>
                <w:sz w:val="14"/>
              </w:rPr>
              <w:t>Battery path on main board (sheets 02–06); BAT −/+ terminal on the terminal board (Figure 4-104); battery case in M-E3</w:t>
            </w:r>
          </w:p>
        </w:tc>
        <w:tc>
          <w:tcPr>
            <w:tcW w:type="dxa" w:w="1800"/>
          </w:tcPr>
          <w:p>
            <w:pPr>
              <w:spacing w:after="20"/>
            </w:pPr>
            <w:r>
              <w:rPr>
                <w:sz w:val="14"/>
              </w:rPr>
              <w:t>—</w:t>
            </w:r>
          </w:p>
        </w:tc>
        <w:tc>
          <w:tcPr>
            <w:tcW w:type="dxa" w:w="1224"/>
          </w:tcPr>
          <w:p>
            <w:pPr>
              <w:spacing w:after="20"/>
            </w:pPr>
            <w:r>
              <w:rPr>
                <w:sz w:val="14"/>
              </w:rPr>
              <w:t>Included only if retained in the certified configuration</w:t>
            </w:r>
          </w:p>
        </w:tc>
        <w:tc>
          <w:tcPr>
            <w:tcW w:type="dxa" w:w="1080"/>
          </w:tcPr>
          <w:p>
            <w:pPr>
              <w:spacing w:after="20"/>
            </w:pPr>
            <w:r>
              <w:rPr>
                <w:sz w:val="14"/>
              </w:rPr>
              <w:t>Schematic</w:t>
            </w:r>
          </w:p>
        </w:tc>
        <w:tc>
          <w:tcPr>
            <w:tcW w:type="dxa" w:w="864"/>
            <w:shd w:val="clear" w:fill="F8DADA"/>
          </w:tcPr>
          <w:p>
            <w:pPr>
              <w:spacing w:after="20"/>
            </w:pPr>
            <w:r>
              <w:rPr>
                <w:b/>
                <w:sz w:val="14"/>
              </w:rPr>
              <w:t>Decision required</w:t>
            </w:r>
          </w:p>
        </w:tc>
      </w:tr>
    </w:tbl>
    <w:p>
      <w:pPr>
        <w:spacing w:after="40"/>
      </w:pPr>
    </w:p>
    <w:p>
      <w:pPr>
        <w:keepNext/>
        <w:spacing w:after="60"/>
      </w:pPr>
      <w:r>
        <w:rPr>
          <w:b/>
          <w:i w:val="0"/>
          <w:color w:val="1B335F"/>
          <w:sz w:val="21"/>
        </w:rPr>
        <w:t>2.6.b.2 Ex-critical electrical components</w:t>
      </w:r>
    </w:p>
    <w:p>
      <w:pPr>
        <w:spacing w:after="100"/>
      </w:pPr>
      <w:r>
        <w:rPr>
          <w:b w:val="0"/>
          <w:i w:val="0"/>
          <w:color w:val="262321"/>
          <w:sz w:val="19"/>
        </w:rPr>
        <w:t>Electrical components that affect input protection, fault energy, heater power, surface temperature, isolation, switching or ignition risk. Data from the released main-board schematic (2.6.a.7) and the electronic BOM.</w:t>
      </w:r>
    </w:p>
    <w:tbl>
      <w:tblPr>
        <w:tblStyle w:val="TableGrid"/>
        <w:tblW w:type="auto" w:w="0"/>
        <w:jc w:val="center"/>
        <w:tblLayout w:type="fixed"/>
        <w:tblLook w:firstColumn="1" w:firstRow="1" w:lastColumn="0" w:lastRow="0" w:noHBand="0" w:noVBand="1" w:val="04A0"/>
        <w:tblLayout w:type="fixed"/>
      </w:tblPr>
      <w:tblGrid>
        <w:gridCol w:w="648"/>
        <w:gridCol w:w="1512"/>
        <w:gridCol w:w="1007"/>
        <w:gridCol w:w="1512"/>
        <w:gridCol w:w="1368"/>
        <w:gridCol w:w="1224"/>
        <w:gridCol w:w="936"/>
        <w:gridCol w:w="1152"/>
      </w:tblGrid>
      <w:tr>
        <w:trPr>
          <w:tblHeader w:val="true"/>
        </w:trPr>
        <w:tc>
          <w:tcPr>
            <w:tcW w:type="dxa" w:w="648"/>
            <w:shd w:val="clear" w:fill="EAEFF9"/>
          </w:tcPr>
          <w:p>
            <w:pPr>
              <w:spacing w:after="20"/>
            </w:pPr>
            <w:r>
              <w:rPr>
                <w:b/>
                <w:color w:val="1B335F"/>
                <w:sz w:val="14"/>
              </w:rPr>
              <w:t>Ref.</w:t>
            </w:r>
          </w:p>
        </w:tc>
        <w:tc>
          <w:tcPr>
            <w:tcW w:type="dxa" w:w="1512"/>
            <w:shd w:val="clear" w:fill="EAEFF9"/>
          </w:tcPr>
          <w:p>
            <w:pPr>
              <w:spacing w:after="20"/>
            </w:pPr>
            <w:r>
              <w:rPr>
                <w:b/>
                <w:color w:val="1B335F"/>
                <w:sz w:val="14"/>
              </w:rPr>
              <w:t>Component</w:t>
            </w:r>
          </w:p>
        </w:tc>
        <w:tc>
          <w:tcPr>
            <w:tcW w:type="dxa" w:w="1008"/>
            <w:shd w:val="clear" w:fill="EAEFF9"/>
          </w:tcPr>
          <w:p>
            <w:pPr>
              <w:spacing w:after="20"/>
            </w:pPr>
            <w:r>
              <w:rPr>
                <w:b/>
                <w:color w:val="1B335F"/>
                <w:sz w:val="14"/>
              </w:rPr>
              <w:t>Manufacturer</w:t>
            </w:r>
          </w:p>
        </w:tc>
        <w:tc>
          <w:tcPr>
            <w:tcW w:type="dxa" w:w="1512"/>
            <w:shd w:val="clear" w:fill="EAEFF9"/>
          </w:tcPr>
          <w:p>
            <w:pPr>
              <w:spacing w:after="20"/>
            </w:pPr>
            <w:r>
              <w:rPr>
                <w:b/>
                <w:color w:val="1B335F"/>
                <w:sz w:val="14"/>
              </w:rPr>
              <w:t>Part no.</w:t>
            </w:r>
          </w:p>
        </w:tc>
        <w:tc>
          <w:tcPr>
            <w:tcW w:type="dxa" w:w="1368"/>
            <w:shd w:val="clear" w:fill="EAEFF9"/>
          </w:tcPr>
          <w:p>
            <w:pPr>
              <w:spacing w:after="20"/>
            </w:pPr>
            <w:r>
              <w:rPr>
                <w:b/>
                <w:color w:val="1B335F"/>
                <w:sz w:val="14"/>
              </w:rPr>
              <w:t>Rating</w:t>
            </w:r>
          </w:p>
        </w:tc>
        <w:tc>
          <w:tcPr>
            <w:tcW w:type="dxa" w:w="1224"/>
            <w:shd w:val="clear" w:fill="EAEFF9"/>
          </w:tcPr>
          <w:p>
            <w:pPr>
              <w:spacing w:after="20"/>
            </w:pPr>
            <w:r>
              <w:rPr>
                <w:b/>
                <w:color w:val="1B335F"/>
                <w:sz w:val="14"/>
              </w:rPr>
              <w:t>Safety function</w:t>
            </w:r>
          </w:p>
        </w:tc>
        <w:tc>
          <w:tcPr>
            <w:tcW w:type="dxa" w:w="936"/>
            <w:shd w:val="clear" w:fill="EAEFF9"/>
          </w:tcPr>
          <w:p>
            <w:pPr>
              <w:spacing w:after="20"/>
            </w:pPr>
            <w:r>
              <w:rPr>
                <w:b/>
                <w:color w:val="1B335F"/>
                <w:sz w:val="14"/>
              </w:rPr>
              <w:t>Evidence</w:t>
            </w:r>
          </w:p>
        </w:tc>
        <w:tc>
          <w:tcPr>
            <w:tcW w:type="dxa" w:w="1152"/>
            <w:shd w:val="clear" w:fill="EAEFF9"/>
          </w:tcPr>
          <w:p>
            <w:pPr>
              <w:spacing w:after="20"/>
            </w:pPr>
            <w:r>
              <w:rPr>
                <w:b/>
                <w:color w:val="1B335F"/>
                <w:sz w:val="14"/>
              </w:rPr>
              <w:t>Status</w:t>
            </w:r>
          </w:p>
        </w:tc>
      </w:tr>
      <w:tr>
        <w:trPr>
          <w:cantSplit/>
        </w:trPr>
        <w:tc>
          <w:tcPr>
            <w:tcW w:type="dxa" w:w="648"/>
          </w:tcPr>
          <w:p>
            <w:pPr>
              <w:spacing w:after="20"/>
            </w:pPr>
            <w:r>
              <w:rPr>
                <w:b/>
                <w:sz w:val="14"/>
              </w:rPr>
              <w:t>EL-01</w:t>
            </w:r>
          </w:p>
        </w:tc>
        <w:tc>
          <w:tcPr>
            <w:tcW w:type="dxa" w:w="1512"/>
          </w:tcPr>
          <w:p>
            <w:pPr>
              <w:spacing w:after="20"/>
            </w:pPr>
            <w:r>
              <w:rPr>
                <w:sz w:val="14"/>
              </w:rPr>
              <w:t>Resettable PTC fuse F1 (24 V) / F2 (battery)</w:t>
            </w:r>
          </w:p>
        </w:tc>
        <w:tc>
          <w:tcPr>
            <w:tcW w:type="dxa" w:w="1008"/>
          </w:tcPr>
          <w:p>
            <w:pPr>
              <w:spacing w:after="20"/>
            </w:pPr>
            <w:r>
              <w:rPr>
                <w:sz w:val="14"/>
              </w:rPr>
              <w:t>Littelfuse</w:t>
            </w:r>
          </w:p>
        </w:tc>
        <w:tc>
          <w:tcPr>
            <w:tcW w:type="dxa" w:w="1512"/>
          </w:tcPr>
          <w:p>
            <w:pPr>
              <w:spacing w:after="20"/>
            </w:pPr>
            <w:r>
              <w:rPr>
                <w:sz w:val="14"/>
              </w:rPr>
              <w:t>MINISMDC260F/16-2</w:t>
            </w:r>
          </w:p>
        </w:tc>
        <w:tc>
          <w:tcPr>
            <w:tcW w:type="dxa" w:w="1368"/>
          </w:tcPr>
          <w:p>
            <w:pPr>
              <w:spacing w:after="20"/>
            </w:pPr>
            <w:r>
              <w:rPr>
                <w:sz w:val="14"/>
              </w:rPr>
              <w:t>I-hold 2.6 A, I-trip 5.0 A, V-max 16 V</w:t>
            </w:r>
          </w:p>
        </w:tc>
        <w:tc>
          <w:tcPr>
            <w:tcW w:type="dxa" w:w="1224"/>
          </w:tcPr>
          <w:p>
            <w:pPr>
              <w:spacing w:after="20"/>
            </w:pPr>
            <w:r>
              <w:rPr>
                <w:sz w:val="14"/>
              </w:rPr>
              <w:t>Overcurrent protection</w:t>
            </w:r>
          </w:p>
        </w:tc>
        <w:tc>
          <w:tcPr>
            <w:tcW w:type="dxa" w:w="936"/>
          </w:tcPr>
          <w:p>
            <w:pPr>
              <w:spacing w:after="20"/>
            </w:pPr>
            <w:r>
              <w:rPr>
                <w:sz w:val="14"/>
              </w:rPr>
              <w:t>Datasheet; sheets 01, 02</w:t>
            </w:r>
          </w:p>
        </w:tc>
        <w:tc>
          <w:tcPr>
            <w:tcW w:type="dxa" w:w="1152"/>
            <w:shd w:val="clear" w:fill="FFF4D6"/>
          </w:tcPr>
          <w:p>
            <w:pPr>
              <w:spacing w:after="20"/>
            </w:pPr>
            <w:r>
              <w:rPr>
                <w:b/>
                <w:sz w:val="14"/>
              </w:rPr>
              <w:t>Review — 16 V rating on a 24 V line</w:t>
            </w:r>
          </w:p>
        </w:tc>
      </w:tr>
      <w:tr>
        <w:trPr>
          <w:cantSplit/>
        </w:trPr>
        <w:tc>
          <w:tcPr>
            <w:tcW w:type="dxa" w:w="648"/>
          </w:tcPr>
          <w:p>
            <w:pPr>
              <w:spacing w:after="20"/>
            </w:pPr>
            <w:r>
              <w:rPr>
                <w:b/>
                <w:sz w:val="14"/>
              </w:rPr>
              <w:t>EL-02</w:t>
            </w:r>
          </w:p>
        </w:tc>
        <w:tc>
          <w:tcPr>
            <w:tcW w:type="dxa" w:w="1512"/>
          </w:tcPr>
          <w:p>
            <w:pPr>
              <w:spacing w:after="20"/>
            </w:pPr>
            <w:r>
              <w:rPr>
                <w:sz w:val="14"/>
              </w:rPr>
              <w:t>TVS diode D1</w:t>
            </w:r>
          </w:p>
        </w:tc>
        <w:tc>
          <w:tcPr>
            <w:tcW w:type="dxa" w:w="1008"/>
          </w:tcPr>
          <w:p>
            <w:pPr>
              <w:spacing w:after="20"/>
            </w:pPr>
            <w:r>
              <w:rPr>
                <w:sz w:val="14"/>
              </w:rPr>
              <w:t>Ruilon</w:t>
            </w:r>
          </w:p>
        </w:tc>
        <w:tc>
          <w:tcPr>
            <w:tcW w:type="dxa" w:w="1512"/>
          </w:tcPr>
          <w:p>
            <w:pPr>
              <w:spacing w:after="20"/>
            </w:pPr>
            <w:r>
              <w:rPr>
                <w:sz w:val="14"/>
              </w:rPr>
              <w:t>SMBJ33A</w:t>
            </w:r>
          </w:p>
        </w:tc>
        <w:tc>
          <w:tcPr>
            <w:tcW w:type="dxa" w:w="1368"/>
          </w:tcPr>
          <w:p>
            <w:pPr>
              <w:spacing w:after="20"/>
            </w:pPr>
            <w:r>
              <w:rPr>
                <w:sz w:val="14"/>
              </w:rPr>
              <w:t>V-RWM 33 V, P-pk 600 W</w:t>
            </w:r>
          </w:p>
        </w:tc>
        <w:tc>
          <w:tcPr>
            <w:tcW w:type="dxa" w:w="1224"/>
          </w:tcPr>
          <w:p>
            <w:pPr>
              <w:spacing w:after="20"/>
            </w:pPr>
            <w:r>
              <w:rPr>
                <w:sz w:val="14"/>
              </w:rPr>
              <w:t>Input transient/overvoltage</w:t>
            </w:r>
          </w:p>
        </w:tc>
        <w:tc>
          <w:tcPr>
            <w:tcW w:type="dxa" w:w="936"/>
          </w:tcPr>
          <w:p>
            <w:pPr>
              <w:spacing w:after="20"/>
            </w:pPr>
            <w:r>
              <w:rPr>
                <w:sz w:val="14"/>
              </w:rPr>
              <w:t>Datasheet; sheet 01</w:t>
            </w:r>
          </w:p>
        </w:tc>
        <w:tc>
          <w:tcPr>
            <w:tcW w:type="dxa" w:w="1152"/>
            <w:shd w:val="clear" w:fill="E3F1E6"/>
          </w:tcPr>
          <w:p>
            <w:pPr>
              <w:spacing w:after="20"/>
            </w:pPr>
            <w:r>
              <w:rPr>
                <w:b/>
                <w:sz w:val="14"/>
              </w:rPr>
              <w:t>Final</w:t>
            </w:r>
          </w:p>
        </w:tc>
      </w:tr>
      <w:tr>
        <w:trPr>
          <w:cantSplit/>
        </w:trPr>
        <w:tc>
          <w:tcPr>
            <w:tcW w:type="dxa" w:w="648"/>
          </w:tcPr>
          <w:p>
            <w:pPr>
              <w:spacing w:after="20"/>
            </w:pPr>
            <w:r>
              <w:rPr>
                <w:b/>
                <w:sz w:val="14"/>
              </w:rPr>
              <w:t>EL-02a</w:t>
            </w:r>
          </w:p>
        </w:tc>
        <w:tc>
          <w:tcPr>
            <w:tcW w:type="dxa" w:w="1512"/>
          </w:tcPr>
          <w:p>
            <w:pPr>
              <w:spacing w:after="20"/>
            </w:pPr>
            <w:r>
              <w:rPr>
                <w:sz w:val="14"/>
              </w:rPr>
              <w:t>TVS D6 (RS-485), ESD D4/D5/D11 (USB)</w:t>
            </w:r>
          </w:p>
        </w:tc>
        <w:tc>
          <w:tcPr>
            <w:tcW w:type="dxa" w:w="1008"/>
          </w:tcPr>
          <w:p>
            <w:pPr>
              <w:spacing w:after="20"/>
            </w:pPr>
            <w:r>
              <w:rPr>
                <w:sz w:val="14"/>
              </w:rPr>
              <w:t>DOWO / UMW</w:t>
            </w:r>
          </w:p>
        </w:tc>
        <w:tc>
          <w:tcPr>
            <w:tcW w:type="dxa" w:w="1512"/>
          </w:tcPr>
          <w:p>
            <w:pPr>
              <w:spacing w:after="20"/>
            </w:pPr>
            <w:r>
              <w:rPr>
                <w:sz w:val="14"/>
              </w:rPr>
              <w:t>SM712 / LESD5D5.0CT1G</w:t>
            </w:r>
          </w:p>
        </w:tc>
        <w:tc>
          <w:tcPr>
            <w:tcW w:type="dxa" w:w="1368"/>
          </w:tcPr>
          <w:p>
            <w:pPr>
              <w:spacing w:after="20"/>
            </w:pPr>
            <w:r>
              <w:rPr>
                <w:sz w:val="14"/>
              </w:rPr>
              <w:t>Line clamps</w:t>
            </w:r>
          </w:p>
        </w:tc>
        <w:tc>
          <w:tcPr>
            <w:tcW w:type="dxa" w:w="1224"/>
          </w:tcPr>
          <w:p>
            <w:pPr>
              <w:spacing w:after="20"/>
            </w:pPr>
            <w:r>
              <w:rPr>
                <w:sz w:val="14"/>
              </w:rPr>
              <w:t>Interface protection</w:t>
            </w:r>
          </w:p>
        </w:tc>
        <w:tc>
          <w:tcPr>
            <w:tcW w:type="dxa" w:w="936"/>
          </w:tcPr>
          <w:p>
            <w:pPr>
              <w:spacing w:after="20"/>
            </w:pPr>
            <w:r>
              <w:rPr>
                <w:sz w:val="14"/>
              </w:rPr>
              <w:t>Sheets 22, 26</w:t>
            </w:r>
          </w:p>
        </w:tc>
        <w:tc>
          <w:tcPr>
            <w:tcW w:type="dxa" w:w="1152"/>
            <w:shd w:val="clear" w:fill="E3F1E6"/>
          </w:tcPr>
          <w:p>
            <w:pPr>
              <w:spacing w:after="20"/>
            </w:pPr>
            <w:r>
              <w:rPr>
                <w:b/>
                <w:sz w:val="14"/>
              </w:rPr>
              <w:t>Final</w:t>
            </w:r>
          </w:p>
        </w:tc>
      </w:tr>
      <w:tr>
        <w:trPr>
          <w:cantSplit/>
        </w:trPr>
        <w:tc>
          <w:tcPr>
            <w:tcW w:type="dxa" w:w="648"/>
          </w:tcPr>
          <w:p>
            <w:pPr>
              <w:spacing w:after="20"/>
            </w:pPr>
            <w:r>
              <w:rPr>
                <w:b/>
                <w:sz w:val="14"/>
              </w:rPr>
              <w:t>EL-03</w:t>
            </w:r>
          </w:p>
        </w:tc>
        <w:tc>
          <w:tcPr>
            <w:tcW w:type="dxa" w:w="1512"/>
          </w:tcPr>
          <w:p>
            <w:pPr>
              <w:spacing w:after="20"/>
            </w:pPr>
            <w:r>
              <w:rPr>
                <w:sz w:val="14"/>
              </w:rPr>
              <w:t>P-MOSFET Q3 + zener D2</w:t>
            </w:r>
          </w:p>
        </w:tc>
        <w:tc>
          <w:tcPr>
            <w:tcW w:type="dxa" w:w="1008"/>
          </w:tcPr>
          <w:p>
            <w:pPr>
              <w:spacing w:after="20"/>
            </w:pPr>
            <w:r>
              <w:rPr>
                <w:sz w:val="14"/>
              </w:rPr>
              <w:t>Vishay / LRC</w:t>
            </w:r>
          </w:p>
        </w:tc>
        <w:tc>
          <w:tcPr>
            <w:tcW w:type="dxa" w:w="1512"/>
          </w:tcPr>
          <w:p>
            <w:pPr>
              <w:spacing w:after="20"/>
            </w:pPr>
            <w:r>
              <w:rPr>
                <w:sz w:val="14"/>
              </w:rPr>
              <w:t>SI7465DP-T1-GE3 / LBZT52C12T1G</w:t>
            </w:r>
          </w:p>
        </w:tc>
        <w:tc>
          <w:tcPr>
            <w:tcW w:type="dxa" w:w="1368"/>
          </w:tcPr>
          <w:p>
            <w:pPr>
              <w:spacing w:after="20"/>
            </w:pPr>
            <w:r>
              <w:rPr>
                <w:sz w:val="14"/>
              </w:rPr>
              <w:t>V-DS, I-D per datasheet; V-GS limited to 12 V</w:t>
            </w:r>
          </w:p>
        </w:tc>
        <w:tc>
          <w:tcPr>
            <w:tcW w:type="dxa" w:w="1224"/>
          </w:tcPr>
          <w:p>
            <w:pPr>
              <w:spacing w:after="20"/>
            </w:pPr>
            <w:r>
              <w:rPr>
                <w:sz w:val="14"/>
              </w:rPr>
              <w:t>Input switch (reverse-polarity function TBC)</w:t>
            </w:r>
          </w:p>
        </w:tc>
        <w:tc>
          <w:tcPr>
            <w:tcW w:type="dxa" w:w="936"/>
          </w:tcPr>
          <w:p>
            <w:pPr>
              <w:spacing w:after="20"/>
            </w:pPr>
            <w:r>
              <w:rPr>
                <w:sz w:val="14"/>
              </w:rPr>
              <w:t>Sheet 01</w:t>
            </w:r>
          </w:p>
        </w:tc>
        <w:tc>
          <w:tcPr>
            <w:tcW w:type="dxa" w:w="1152"/>
            <w:shd w:val="clear" w:fill="FFF4D6"/>
          </w:tcPr>
          <w:p>
            <w:pPr>
              <w:spacing w:after="20"/>
            </w:pPr>
            <w:r>
              <w:rPr>
                <w:b/>
                <w:sz w:val="14"/>
              </w:rPr>
              <w:t>Review — orientation</w:t>
            </w:r>
          </w:p>
        </w:tc>
      </w:tr>
      <w:tr>
        <w:trPr>
          <w:cantSplit/>
        </w:trPr>
        <w:tc>
          <w:tcPr>
            <w:tcW w:type="dxa" w:w="648"/>
          </w:tcPr>
          <w:p>
            <w:pPr>
              <w:spacing w:after="20"/>
            </w:pPr>
            <w:r>
              <w:rPr>
                <w:b/>
                <w:sz w:val="14"/>
              </w:rPr>
              <w:t>EL-03a</w:t>
            </w:r>
          </w:p>
        </w:tc>
        <w:tc>
          <w:tcPr>
            <w:tcW w:type="dxa" w:w="1512"/>
          </w:tcPr>
          <w:p>
            <w:pPr>
              <w:spacing w:after="20"/>
            </w:pPr>
            <w:r>
              <w:rPr>
                <w:sz w:val="14"/>
              </w:rPr>
              <w:t>Common-mode choke L1, ferrite L4</w:t>
            </w:r>
          </w:p>
        </w:tc>
        <w:tc>
          <w:tcPr>
            <w:tcW w:type="dxa" w:w="1008"/>
          </w:tcPr>
          <w:p>
            <w:pPr>
              <w:spacing w:after="20"/>
            </w:pPr>
            <w:r>
              <w:rPr>
                <w:sz w:val="14"/>
              </w:rPr>
              <w:t>TDK</w:t>
            </w:r>
          </w:p>
        </w:tc>
        <w:tc>
          <w:tcPr>
            <w:tcW w:type="dxa" w:w="1512"/>
          </w:tcPr>
          <w:p>
            <w:pPr>
              <w:spacing w:after="20"/>
            </w:pPr>
            <w:r>
              <w:rPr>
                <w:sz w:val="14"/>
              </w:rPr>
              <w:t>ACM7060-301-2PL / MPZ2012S101AT000</w:t>
            </w:r>
          </w:p>
        </w:tc>
        <w:tc>
          <w:tcPr>
            <w:tcW w:type="dxa" w:w="1368"/>
          </w:tcPr>
          <w:p>
            <w:pPr>
              <w:spacing w:after="20"/>
            </w:pPr>
            <w:r>
              <w:rPr>
                <w:sz w:val="14"/>
              </w:rPr>
              <w:t>Per datasheet</w:t>
            </w:r>
          </w:p>
        </w:tc>
        <w:tc>
          <w:tcPr>
            <w:tcW w:type="dxa" w:w="1224"/>
          </w:tcPr>
          <w:p>
            <w:pPr>
              <w:spacing w:after="20"/>
            </w:pPr>
            <w:r>
              <w:rPr>
                <w:sz w:val="14"/>
              </w:rPr>
              <w:t>Input EMI filtering</w:t>
            </w:r>
          </w:p>
        </w:tc>
        <w:tc>
          <w:tcPr>
            <w:tcW w:type="dxa" w:w="936"/>
          </w:tcPr>
          <w:p>
            <w:pPr>
              <w:spacing w:after="20"/>
            </w:pPr>
            <w:r>
              <w:rPr>
                <w:sz w:val="14"/>
              </w:rPr>
              <w:t>Sheet 01</w:t>
            </w:r>
          </w:p>
        </w:tc>
        <w:tc>
          <w:tcPr>
            <w:tcW w:type="dxa" w:w="1152"/>
            <w:shd w:val="clear" w:fill="E3F1E6"/>
          </w:tcPr>
          <w:p>
            <w:pPr>
              <w:spacing w:after="20"/>
            </w:pPr>
            <w:r>
              <w:rPr>
                <w:b/>
                <w:sz w:val="14"/>
              </w:rPr>
              <w:t>Final</w:t>
            </w:r>
          </w:p>
        </w:tc>
      </w:tr>
      <w:tr>
        <w:trPr>
          <w:cantSplit/>
        </w:trPr>
        <w:tc>
          <w:tcPr>
            <w:tcW w:type="dxa" w:w="648"/>
          </w:tcPr>
          <w:p>
            <w:pPr>
              <w:spacing w:after="20"/>
            </w:pPr>
            <w:r>
              <w:rPr>
                <w:b/>
                <w:sz w:val="14"/>
              </w:rPr>
              <w:t>EL-04</w:t>
            </w:r>
          </w:p>
        </w:tc>
        <w:tc>
          <w:tcPr>
            <w:tcW w:type="dxa" w:w="1512"/>
          </w:tcPr>
          <w:p>
            <w:pPr>
              <w:spacing w:after="20"/>
            </w:pPr>
            <w:r>
              <w:rPr>
                <w:sz w:val="14"/>
              </w:rPr>
              <w:t>Buck converter U36 (24 V → 5 V)</w:t>
            </w:r>
          </w:p>
        </w:tc>
        <w:tc>
          <w:tcPr>
            <w:tcW w:type="dxa" w:w="1008"/>
          </w:tcPr>
          <w:p>
            <w:pPr>
              <w:spacing w:after="20"/>
            </w:pPr>
            <w:r>
              <w:rPr>
                <w:sz w:val="14"/>
              </w:rPr>
              <w:t>Texas Instruments</w:t>
            </w:r>
          </w:p>
        </w:tc>
        <w:tc>
          <w:tcPr>
            <w:tcW w:type="dxa" w:w="1512"/>
          </w:tcPr>
          <w:p>
            <w:pPr>
              <w:spacing w:after="20"/>
            </w:pPr>
            <w:r>
              <w:rPr>
                <w:sz w:val="14"/>
              </w:rPr>
              <w:t>LMR51450</w:t>
            </w:r>
          </w:p>
        </w:tc>
        <w:tc>
          <w:tcPr>
            <w:tcW w:type="dxa" w:w="1368"/>
          </w:tcPr>
          <w:p>
            <w:pPr>
              <w:spacing w:after="20"/>
            </w:pPr>
            <w:r>
              <w:rPr>
                <w:sz w:val="14"/>
              </w:rPr>
              <w:t>VIN ≤ 36 V; output ≈5.0 V (calculated)</w:t>
            </w:r>
          </w:p>
        </w:tc>
        <w:tc>
          <w:tcPr>
            <w:tcW w:type="dxa" w:w="1224"/>
          </w:tcPr>
          <w:p>
            <w:pPr>
              <w:spacing w:after="20"/>
            </w:pPr>
            <w:r>
              <w:rPr>
                <w:sz w:val="14"/>
              </w:rPr>
              <w:t>Power conversion; possible hot surface</w:t>
            </w:r>
          </w:p>
        </w:tc>
        <w:tc>
          <w:tcPr>
            <w:tcW w:type="dxa" w:w="936"/>
          </w:tcPr>
          <w:p>
            <w:pPr>
              <w:spacing w:after="20"/>
            </w:pPr>
            <w:r>
              <w:rPr>
                <w:sz w:val="14"/>
              </w:rPr>
              <w:t>Sheet 01</w:t>
            </w:r>
          </w:p>
        </w:tc>
        <w:tc>
          <w:tcPr>
            <w:tcW w:type="dxa" w:w="1152"/>
            <w:shd w:val="clear" w:fill="E3F1E6"/>
          </w:tcPr>
          <w:p>
            <w:pPr>
              <w:spacing w:after="20"/>
            </w:pPr>
            <w:r>
              <w:rPr>
                <w:b/>
                <w:sz w:val="14"/>
              </w:rPr>
              <w:t>Final</w:t>
            </w:r>
          </w:p>
        </w:tc>
      </w:tr>
      <w:tr>
        <w:trPr>
          <w:cantSplit/>
        </w:trPr>
        <w:tc>
          <w:tcPr>
            <w:tcW w:type="dxa" w:w="648"/>
          </w:tcPr>
          <w:p>
            <w:pPr>
              <w:spacing w:after="20"/>
            </w:pPr>
            <w:r>
              <w:rPr>
                <w:b/>
                <w:sz w:val="14"/>
              </w:rPr>
              <w:t>EL-04a</w:t>
            </w:r>
          </w:p>
        </w:tc>
        <w:tc>
          <w:tcPr>
            <w:tcW w:type="dxa" w:w="1512"/>
          </w:tcPr>
          <w:p>
            <w:pPr>
              <w:spacing w:after="20"/>
            </w:pPr>
            <w:r>
              <w:rPr>
                <w:sz w:val="14"/>
              </w:rPr>
              <w:t>Buck converter U43 (5 V → 3.3 V), LDO U42</w:t>
            </w:r>
          </w:p>
        </w:tc>
        <w:tc>
          <w:tcPr>
            <w:tcW w:type="dxa" w:w="1008"/>
          </w:tcPr>
          <w:p>
            <w:pPr>
              <w:spacing w:after="20"/>
            </w:pPr>
            <w:r>
              <w:rPr>
                <w:sz w:val="14"/>
              </w:rPr>
              <w:t>Texas Instruments</w:t>
            </w:r>
          </w:p>
        </w:tc>
        <w:tc>
          <w:tcPr>
            <w:tcW w:type="dxa" w:w="1512"/>
          </w:tcPr>
          <w:p>
            <w:pPr>
              <w:spacing w:after="20"/>
            </w:pPr>
            <w:r>
              <w:rPr>
                <w:sz w:val="14"/>
              </w:rPr>
              <w:t>TPS62162 / TPS7A0233</w:t>
            </w:r>
          </w:p>
        </w:tc>
        <w:tc>
          <w:tcPr>
            <w:tcW w:type="dxa" w:w="1368"/>
          </w:tcPr>
          <w:p>
            <w:pPr>
              <w:spacing w:after="20"/>
            </w:pPr>
            <w:r>
              <w:rPr>
                <w:sz w:val="14"/>
              </w:rPr>
              <w:t>3.3 V rails</w:t>
            </w:r>
          </w:p>
        </w:tc>
        <w:tc>
          <w:tcPr>
            <w:tcW w:type="dxa" w:w="1224"/>
          </w:tcPr>
          <w:p>
            <w:pPr>
              <w:spacing w:after="20"/>
            </w:pPr>
            <w:r>
              <w:rPr>
                <w:sz w:val="14"/>
              </w:rPr>
              <w:t>Logic supply</w:t>
            </w:r>
          </w:p>
        </w:tc>
        <w:tc>
          <w:tcPr>
            <w:tcW w:type="dxa" w:w="936"/>
          </w:tcPr>
          <w:p>
            <w:pPr>
              <w:spacing w:after="20"/>
            </w:pPr>
            <w:r>
              <w:rPr>
                <w:sz w:val="14"/>
              </w:rPr>
              <w:t>Sheets 07, 08</w:t>
            </w:r>
          </w:p>
        </w:tc>
        <w:tc>
          <w:tcPr>
            <w:tcW w:type="dxa" w:w="1152"/>
            <w:shd w:val="clear" w:fill="E3F1E6"/>
          </w:tcPr>
          <w:p>
            <w:pPr>
              <w:spacing w:after="20"/>
            </w:pPr>
            <w:r>
              <w:rPr>
                <w:b/>
                <w:sz w:val="14"/>
              </w:rPr>
              <w:t>Final</w:t>
            </w:r>
          </w:p>
        </w:tc>
      </w:tr>
      <w:tr>
        <w:trPr>
          <w:cantSplit/>
        </w:trPr>
        <w:tc>
          <w:tcPr>
            <w:tcW w:type="dxa" w:w="648"/>
          </w:tcPr>
          <w:p>
            <w:pPr>
              <w:spacing w:after="20"/>
            </w:pPr>
            <w:r>
              <w:rPr>
                <w:b/>
                <w:sz w:val="14"/>
              </w:rPr>
              <w:t>EL-05</w:t>
            </w:r>
          </w:p>
        </w:tc>
        <w:tc>
          <w:tcPr>
            <w:tcW w:type="dxa" w:w="1512"/>
          </w:tcPr>
          <w:p>
            <w:pPr>
              <w:spacing w:after="20"/>
            </w:pPr>
            <w:r>
              <w:rPr>
                <w:sz w:val="14"/>
              </w:rPr>
              <w:t>Boost converters U1 (batt → 24 V), U41 (batt → 5 V)</w:t>
            </w:r>
          </w:p>
        </w:tc>
        <w:tc>
          <w:tcPr>
            <w:tcW w:type="dxa" w:w="1008"/>
          </w:tcPr>
          <w:p>
            <w:pPr>
              <w:spacing w:after="20"/>
            </w:pPr>
            <w:r>
              <w:rPr>
                <w:sz w:val="14"/>
              </w:rPr>
              <w:t>Texas Instruments</w:t>
            </w:r>
          </w:p>
        </w:tc>
        <w:tc>
          <w:tcPr>
            <w:tcW w:type="dxa" w:w="1512"/>
          </w:tcPr>
          <w:p>
            <w:pPr>
              <w:spacing w:after="20"/>
            </w:pPr>
            <w:r>
              <w:rPr>
                <w:sz w:val="14"/>
              </w:rPr>
              <w:t>TPS61175 / TPS61088</w:t>
            </w:r>
          </w:p>
        </w:tc>
        <w:tc>
          <w:tcPr>
            <w:tcW w:type="dxa" w:w="1368"/>
          </w:tcPr>
          <w:p>
            <w:pPr>
              <w:spacing w:after="20"/>
            </w:pPr>
            <w:r>
              <w:rPr>
                <w:sz w:val="14"/>
              </w:rPr>
              <w:t>Battery path</w:t>
            </w:r>
          </w:p>
        </w:tc>
        <w:tc>
          <w:tcPr>
            <w:tcW w:type="dxa" w:w="1224"/>
          </w:tcPr>
          <w:p>
            <w:pPr>
              <w:spacing w:after="20"/>
            </w:pPr>
            <w:r>
              <w:rPr>
                <w:sz w:val="14"/>
              </w:rPr>
              <w:t>Power conversion; possible hot surface</w:t>
            </w:r>
          </w:p>
        </w:tc>
        <w:tc>
          <w:tcPr>
            <w:tcW w:type="dxa" w:w="936"/>
          </w:tcPr>
          <w:p>
            <w:pPr>
              <w:spacing w:after="20"/>
            </w:pPr>
            <w:r>
              <w:rPr>
                <w:sz w:val="14"/>
              </w:rPr>
              <w:t>Sheets 05, 06</w:t>
            </w:r>
          </w:p>
        </w:tc>
        <w:tc>
          <w:tcPr>
            <w:tcW w:type="dxa" w:w="1152"/>
            <w:shd w:val="clear" w:fill="F8DADA"/>
          </w:tcPr>
          <w:p>
            <w:pPr>
              <w:spacing w:after="20"/>
            </w:pPr>
            <w:r>
              <w:rPr>
                <w:b/>
                <w:sz w:val="14"/>
              </w:rPr>
              <w:t>Decision required — battery path</w:t>
            </w:r>
          </w:p>
        </w:tc>
      </w:tr>
      <w:tr>
        <w:trPr>
          <w:cantSplit/>
        </w:trPr>
        <w:tc>
          <w:tcPr>
            <w:tcW w:type="dxa" w:w="648"/>
          </w:tcPr>
          <w:p>
            <w:pPr>
              <w:spacing w:after="20"/>
            </w:pPr>
            <w:r>
              <w:rPr>
                <w:b/>
                <w:sz w:val="14"/>
              </w:rPr>
              <w:t>EL-05a</w:t>
            </w:r>
          </w:p>
        </w:tc>
        <w:tc>
          <w:tcPr>
            <w:tcW w:type="dxa" w:w="1512"/>
          </w:tcPr>
          <w:p>
            <w:pPr>
              <w:spacing w:after="20"/>
            </w:pPr>
            <w:r>
              <w:rPr>
                <w:sz w:val="14"/>
              </w:rPr>
              <w:t>Battery load switch U14, power mux U13, P-MOSFET Q2</w:t>
            </w:r>
          </w:p>
        </w:tc>
        <w:tc>
          <w:tcPr>
            <w:tcW w:type="dxa" w:w="1008"/>
          </w:tcPr>
          <w:p>
            <w:pPr>
              <w:spacing w:after="20"/>
            </w:pPr>
            <w:r>
              <w:rPr>
                <w:sz w:val="14"/>
              </w:rPr>
              <w:t>TI / JSMSEMI</w:t>
            </w:r>
          </w:p>
        </w:tc>
        <w:tc>
          <w:tcPr>
            <w:tcW w:type="dxa" w:w="1512"/>
          </w:tcPr>
          <w:p>
            <w:pPr>
              <w:spacing w:after="20"/>
            </w:pPr>
            <w:r>
              <w:rPr>
                <w:sz w:val="14"/>
              </w:rPr>
              <w:t>TPS22964C / TPS2116 / AO4407</w:t>
            </w:r>
          </w:p>
        </w:tc>
        <w:tc>
          <w:tcPr>
            <w:tcW w:type="dxa" w:w="1368"/>
          </w:tcPr>
          <w:p>
            <w:pPr>
              <w:spacing w:after="20"/>
            </w:pPr>
            <w:r>
              <w:rPr>
                <w:sz w:val="14"/>
              </w:rPr>
              <w:t>Battery path</w:t>
            </w:r>
          </w:p>
        </w:tc>
        <w:tc>
          <w:tcPr>
            <w:tcW w:type="dxa" w:w="1224"/>
          </w:tcPr>
          <w:p>
            <w:pPr>
              <w:spacing w:after="20"/>
            </w:pPr>
            <w:r>
              <w:rPr>
                <w:sz w:val="14"/>
              </w:rPr>
              <w:t>Battery switching</w:t>
            </w:r>
          </w:p>
        </w:tc>
        <w:tc>
          <w:tcPr>
            <w:tcW w:type="dxa" w:w="936"/>
          </w:tcPr>
          <w:p>
            <w:pPr>
              <w:spacing w:after="20"/>
            </w:pPr>
            <w:r>
              <w:rPr>
                <w:sz w:val="14"/>
              </w:rPr>
              <w:t>Sheets 02–04</w:t>
            </w:r>
          </w:p>
        </w:tc>
        <w:tc>
          <w:tcPr>
            <w:tcW w:type="dxa" w:w="1152"/>
            <w:shd w:val="clear" w:fill="F8DADA"/>
          </w:tcPr>
          <w:p>
            <w:pPr>
              <w:spacing w:after="20"/>
            </w:pPr>
            <w:r>
              <w:rPr>
                <w:b/>
                <w:sz w:val="14"/>
              </w:rPr>
              <w:t>Decision required — battery path</w:t>
            </w:r>
          </w:p>
        </w:tc>
      </w:tr>
      <w:tr>
        <w:trPr>
          <w:cantSplit/>
        </w:trPr>
        <w:tc>
          <w:tcPr>
            <w:tcW w:type="dxa" w:w="648"/>
          </w:tcPr>
          <w:p>
            <w:pPr>
              <w:spacing w:after="20"/>
            </w:pPr>
            <w:r>
              <w:rPr>
                <w:b/>
                <w:sz w:val="14"/>
              </w:rPr>
              <w:t>EL-06</w:t>
            </w:r>
          </w:p>
        </w:tc>
        <w:tc>
          <w:tcPr>
            <w:tcW w:type="dxa" w:w="1512"/>
          </w:tcPr>
          <w:p>
            <w:pPr>
              <w:spacing w:after="20"/>
            </w:pPr>
            <w:r>
              <w:rPr>
                <w:sz w:val="14"/>
              </w:rPr>
              <w:t>Power inductors</w:t>
            </w:r>
          </w:p>
        </w:tc>
        <w:tc>
          <w:tcPr>
            <w:tcW w:type="dxa" w:w="1008"/>
          </w:tcPr>
          <w:p>
            <w:pPr>
              <w:spacing w:after="20"/>
            </w:pPr>
            <w:r>
              <w:rPr>
                <w:sz w:val="14"/>
              </w:rPr>
              <w:t>ABC / SXN / APV</w:t>
            </w:r>
          </w:p>
        </w:tc>
        <w:tc>
          <w:tcPr>
            <w:tcW w:type="dxa" w:w="1512"/>
          </w:tcPr>
          <w:p>
            <w:pPr>
              <w:spacing w:after="20"/>
            </w:pPr>
            <w:r>
              <w:rPr>
                <w:sz w:val="14"/>
              </w:rPr>
              <w:t>GSSM06304R7M2AU 4.7 µH; SMDRH105R-2R2NT; ANR3015T2R2M; SMDRH105R-100MT</w:t>
            </w:r>
          </w:p>
        </w:tc>
        <w:tc>
          <w:tcPr>
            <w:tcW w:type="dxa" w:w="1368"/>
          </w:tcPr>
          <w:p>
            <w:pPr>
              <w:spacing w:after="20"/>
            </w:pPr>
            <w:r>
              <w:rPr>
                <w:sz w:val="14"/>
              </w:rPr>
              <w:t>I-sat, I-rms, ΔT TBC</w:t>
            </w:r>
          </w:p>
        </w:tc>
        <w:tc>
          <w:tcPr>
            <w:tcW w:type="dxa" w:w="1224"/>
          </w:tcPr>
          <w:p>
            <w:pPr>
              <w:spacing w:after="20"/>
            </w:pPr>
            <w:r>
              <w:rPr>
                <w:sz w:val="14"/>
              </w:rPr>
              <w:t>Possible hot surface</w:t>
            </w:r>
          </w:p>
        </w:tc>
        <w:tc>
          <w:tcPr>
            <w:tcW w:type="dxa" w:w="936"/>
          </w:tcPr>
          <w:p>
            <w:pPr>
              <w:spacing w:after="20"/>
            </w:pPr>
            <w:r>
              <w:rPr>
                <w:sz w:val="14"/>
              </w:rPr>
              <w:t>Sheets 01, 05, 06, 07</w:t>
            </w:r>
          </w:p>
        </w:tc>
        <w:tc>
          <w:tcPr>
            <w:tcW w:type="dxa" w:w="1152"/>
            <w:shd w:val="clear" w:fill="FBEEE4"/>
          </w:tcPr>
          <w:p>
            <w:pPr>
              <w:spacing w:after="20"/>
            </w:pPr>
            <w:r>
              <w:rPr>
                <w:b/>
                <w:sz w:val="14"/>
              </w:rPr>
              <w:t>Open — ΔT not measured</w:t>
            </w:r>
          </w:p>
        </w:tc>
      </w:tr>
      <w:tr>
        <w:trPr>
          <w:cantSplit/>
        </w:trPr>
        <w:tc>
          <w:tcPr>
            <w:tcW w:type="dxa" w:w="648"/>
          </w:tcPr>
          <w:p>
            <w:pPr>
              <w:spacing w:after="20"/>
            </w:pPr>
            <w:r>
              <w:rPr>
                <w:b/>
                <w:sz w:val="14"/>
              </w:rPr>
              <w:t>EL-07</w:t>
            </w:r>
          </w:p>
        </w:tc>
        <w:tc>
          <w:tcPr>
            <w:tcW w:type="dxa" w:w="1512"/>
          </w:tcPr>
          <w:p>
            <w:pPr>
              <w:spacing w:after="20"/>
            </w:pPr>
            <w:r>
              <w:rPr>
                <w:sz w:val="14"/>
              </w:rPr>
              <w:t>MQ heater supply</w:t>
            </w:r>
          </w:p>
        </w:tc>
        <w:tc>
          <w:tcPr>
            <w:tcW w:type="dxa" w:w="1008"/>
          </w:tcPr>
          <w:p>
            <w:pPr>
              <w:spacing w:after="20"/>
            </w:pPr>
            <w:r>
              <w:rPr>
                <w:sz w:val="14"/>
              </w:rPr>
              <w:t>—</w:t>
            </w:r>
          </w:p>
        </w:tc>
        <w:tc>
          <w:tcPr>
            <w:tcW w:type="dxa" w:w="1512"/>
          </w:tcPr>
          <w:p>
            <w:pPr>
              <w:spacing w:after="20"/>
            </w:pPr>
            <w:r>
              <w:rPr>
                <w:sz w:val="14"/>
              </w:rPr>
              <w:t>+5 V to sensor connectors H1–H8; enable via PCF8574 (U12)</w:t>
            </w:r>
          </w:p>
        </w:tc>
        <w:tc>
          <w:tcPr>
            <w:tcW w:type="dxa" w:w="1368"/>
          </w:tcPr>
          <w:p>
            <w:pPr>
              <w:spacing w:after="20"/>
            </w:pPr>
            <w:r>
              <w:rPr>
                <w:sz w:val="14"/>
              </w:rPr>
              <w:t>Heater voltage 5 V; per-channel switch on sensor module</w:t>
            </w:r>
          </w:p>
        </w:tc>
        <w:tc>
          <w:tcPr>
            <w:tcW w:type="dxa" w:w="1224"/>
          </w:tcPr>
          <w:p>
            <w:pPr>
              <w:spacing w:after="20"/>
            </w:pPr>
            <w:r>
              <w:rPr>
                <w:sz w:val="14"/>
              </w:rPr>
              <w:t>Heater power / surface temperature</w:t>
            </w:r>
          </w:p>
        </w:tc>
        <w:tc>
          <w:tcPr>
            <w:tcW w:type="dxa" w:w="936"/>
          </w:tcPr>
          <w:p>
            <w:pPr>
              <w:spacing w:after="20"/>
            </w:pPr>
            <w:r>
              <w:rPr>
                <w:sz w:val="14"/>
              </w:rPr>
              <w:t>Sheets 12–14</w:t>
            </w:r>
          </w:p>
        </w:tc>
        <w:tc>
          <w:tcPr>
            <w:tcW w:type="dxa" w:w="1152"/>
            <w:shd w:val="clear" w:fill="FBEEE4"/>
          </w:tcPr>
          <w:p>
            <w:pPr>
              <w:spacing w:after="20"/>
            </w:pPr>
            <w:r>
              <w:rPr>
                <w:b/>
                <w:sz w:val="14"/>
              </w:rPr>
              <w:t>Open — sensor-module schematic</w:t>
            </w:r>
          </w:p>
        </w:tc>
      </w:tr>
      <w:tr>
        <w:trPr>
          <w:cantSplit/>
        </w:trPr>
        <w:tc>
          <w:tcPr>
            <w:tcW w:type="dxa" w:w="648"/>
          </w:tcPr>
          <w:p>
            <w:pPr>
              <w:spacing w:after="20"/>
            </w:pPr>
            <w:r>
              <w:rPr>
                <w:b/>
                <w:sz w:val="14"/>
              </w:rPr>
              <w:t>EL-08</w:t>
            </w:r>
          </w:p>
        </w:tc>
        <w:tc>
          <w:tcPr>
            <w:tcW w:type="dxa" w:w="1512"/>
          </w:tcPr>
          <w:p>
            <w:pPr>
              <w:spacing w:after="20"/>
            </w:pPr>
            <w:r>
              <w:rPr>
                <w:sz w:val="14"/>
              </w:rPr>
              <w:t>Fan driver Q5 + flyback D9</w:t>
            </w:r>
          </w:p>
        </w:tc>
        <w:tc>
          <w:tcPr>
            <w:tcW w:type="dxa" w:w="1008"/>
          </w:tcPr>
          <w:p>
            <w:pPr>
              <w:spacing w:after="20"/>
            </w:pPr>
            <w:r>
              <w:rPr>
                <w:sz w:val="14"/>
              </w:rPr>
              <w:t>— / MDD</w:t>
            </w:r>
          </w:p>
        </w:tc>
        <w:tc>
          <w:tcPr>
            <w:tcW w:type="dxa" w:w="1512"/>
          </w:tcPr>
          <w:p>
            <w:pPr>
              <w:spacing w:after="20"/>
            </w:pPr>
            <w:r>
              <w:rPr>
                <w:sz w:val="14"/>
              </w:rPr>
              <w:t>AO3400A / SS14</w:t>
            </w:r>
          </w:p>
        </w:tc>
        <w:tc>
          <w:tcPr>
            <w:tcW w:type="dxa" w:w="1368"/>
          </w:tcPr>
          <w:p>
            <w:pPr>
              <w:spacing w:after="20"/>
            </w:pPr>
            <w:r>
              <w:rPr>
                <w:sz w:val="14"/>
              </w:rPr>
              <w:t>Low-side switch, 5 V</w:t>
            </w:r>
          </w:p>
        </w:tc>
        <w:tc>
          <w:tcPr>
            <w:tcW w:type="dxa" w:w="1224"/>
          </w:tcPr>
          <w:p>
            <w:pPr>
              <w:spacing w:after="20"/>
            </w:pPr>
            <w:r>
              <w:rPr>
                <w:sz w:val="14"/>
              </w:rPr>
              <w:t>Fan current</w:t>
            </w:r>
          </w:p>
        </w:tc>
        <w:tc>
          <w:tcPr>
            <w:tcW w:type="dxa" w:w="936"/>
          </w:tcPr>
          <w:p>
            <w:pPr>
              <w:spacing w:after="20"/>
            </w:pPr>
            <w:r>
              <w:rPr>
                <w:sz w:val="14"/>
              </w:rPr>
              <w:t>Sheet 24</w:t>
            </w:r>
          </w:p>
        </w:tc>
        <w:tc>
          <w:tcPr>
            <w:tcW w:type="dxa" w:w="1152"/>
            <w:shd w:val="clear" w:fill="E3F1E6"/>
          </w:tcPr>
          <w:p>
            <w:pPr>
              <w:spacing w:after="20"/>
            </w:pPr>
            <w:r>
              <w:rPr>
                <w:b/>
                <w:sz w:val="14"/>
              </w:rPr>
              <w:t>Final</w:t>
            </w:r>
          </w:p>
        </w:tc>
      </w:tr>
      <w:tr>
        <w:trPr>
          <w:cantSplit/>
        </w:trPr>
        <w:tc>
          <w:tcPr>
            <w:tcW w:type="dxa" w:w="648"/>
          </w:tcPr>
          <w:p>
            <w:pPr>
              <w:spacing w:after="20"/>
            </w:pPr>
            <w:r>
              <w:rPr>
                <w:b/>
                <w:sz w:val="14"/>
              </w:rPr>
              <w:t>EL-09</w:t>
            </w:r>
          </w:p>
        </w:tc>
        <w:tc>
          <w:tcPr>
            <w:tcW w:type="dxa" w:w="1512"/>
          </w:tcPr>
          <w:p>
            <w:pPr>
              <w:spacing w:after="20"/>
            </w:pPr>
            <w:r>
              <w:rPr>
                <w:sz w:val="14"/>
              </w:rPr>
              <w:t>Alarm driver Q4 + flyback D8</w:t>
            </w:r>
          </w:p>
        </w:tc>
        <w:tc>
          <w:tcPr>
            <w:tcW w:type="dxa" w:w="1008"/>
          </w:tcPr>
          <w:p>
            <w:pPr>
              <w:spacing w:after="20"/>
            </w:pPr>
            <w:r>
              <w:rPr>
                <w:sz w:val="14"/>
              </w:rPr>
              <w:t>— / MDD</w:t>
            </w:r>
          </w:p>
        </w:tc>
        <w:tc>
          <w:tcPr>
            <w:tcW w:type="dxa" w:w="1512"/>
          </w:tcPr>
          <w:p>
            <w:pPr>
              <w:spacing w:after="20"/>
            </w:pPr>
            <w:r>
              <w:rPr>
                <w:sz w:val="14"/>
              </w:rPr>
              <w:t>AO3400A / SS14</w:t>
            </w:r>
          </w:p>
        </w:tc>
        <w:tc>
          <w:tcPr>
            <w:tcW w:type="dxa" w:w="1368"/>
          </w:tcPr>
          <w:p>
            <w:pPr>
              <w:spacing w:after="20"/>
            </w:pPr>
            <w:r>
              <w:rPr>
                <w:sz w:val="14"/>
              </w:rPr>
              <w:t>Low-side switch, 24 V output J2</w:t>
            </w:r>
          </w:p>
        </w:tc>
        <w:tc>
          <w:tcPr>
            <w:tcW w:type="dxa" w:w="1224"/>
          </w:tcPr>
          <w:p>
            <w:pPr>
              <w:spacing w:after="20"/>
            </w:pPr>
            <w:r>
              <w:rPr>
                <w:sz w:val="14"/>
              </w:rPr>
              <w:t>Alarm load switching</w:t>
            </w:r>
          </w:p>
        </w:tc>
        <w:tc>
          <w:tcPr>
            <w:tcW w:type="dxa" w:w="936"/>
          </w:tcPr>
          <w:p>
            <w:pPr>
              <w:spacing w:after="20"/>
            </w:pPr>
            <w:r>
              <w:rPr>
                <w:sz w:val="14"/>
              </w:rPr>
              <w:t>Sheet 25</w:t>
            </w:r>
          </w:p>
        </w:tc>
        <w:tc>
          <w:tcPr>
            <w:tcW w:type="dxa" w:w="1152"/>
            <w:shd w:val="clear" w:fill="E3F1E6"/>
          </w:tcPr>
          <w:p>
            <w:pPr>
              <w:spacing w:after="20"/>
            </w:pPr>
            <w:r>
              <w:rPr>
                <w:b/>
                <w:sz w:val="14"/>
              </w:rPr>
              <w:t>Final</w:t>
            </w:r>
          </w:p>
        </w:tc>
      </w:tr>
      <w:tr>
        <w:trPr>
          <w:cantSplit/>
        </w:trPr>
        <w:tc>
          <w:tcPr>
            <w:tcW w:type="dxa" w:w="648"/>
          </w:tcPr>
          <w:p>
            <w:pPr>
              <w:spacing w:after="20"/>
            </w:pPr>
            <w:r>
              <w:rPr>
                <w:b/>
                <w:sz w:val="14"/>
              </w:rPr>
              <w:t>EL-10</w:t>
            </w:r>
          </w:p>
        </w:tc>
        <w:tc>
          <w:tcPr>
            <w:tcW w:type="dxa" w:w="1512"/>
          </w:tcPr>
          <w:p>
            <w:pPr>
              <w:spacing w:after="20"/>
            </w:pPr>
            <w:r>
              <w:rPr>
                <w:sz w:val="14"/>
              </w:rPr>
              <w:t>Main PCB</w:t>
            </w:r>
          </w:p>
        </w:tc>
        <w:tc>
          <w:tcPr>
            <w:tcW w:type="dxa" w:w="1008"/>
          </w:tcPr>
          <w:p>
            <w:pPr>
              <w:spacing w:after="20"/>
            </w:pPr>
            <w:r>
              <w:rPr>
                <w:sz w:val="14"/>
              </w:rPr>
              <w:t>PCB fabricator TBC</w:t>
            </w:r>
          </w:p>
        </w:tc>
        <w:tc>
          <w:tcPr>
            <w:tcW w:type="dxa" w:w="1512"/>
          </w:tcPr>
          <w:p>
            <w:pPr>
              <w:spacing w:after="20"/>
            </w:pPr>
            <w:r>
              <w:rPr>
                <w:sz w:val="14"/>
              </w:rPr>
              <w:t>MotherBoardGLDVer2</w:t>
            </w:r>
          </w:p>
        </w:tc>
        <w:tc>
          <w:tcPr>
            <w:tcW w:type="dxa" w:w="1368"/>
          </w:tcPr>
          <w:p>
            <w:pPr>
              <w:spacing w:after="20"/>
            </w:pPr>
            <w:r>
              <w:rPr>
                <w:sz w:val="14"/>
              </w:rPr>
              <w:t>Ø84 mm, two copper layers</w:t>
            </w:r>
          </w:p>
        </w:tc>
        <w:tc>
          <w:tcPr>
            <w:tcW w:type="dxa" w:w="1224"/>
          </w:tcPr>
          <w:p>
            <w:pPr>
              <w:spacing w:after="20"/>
            </w:pPr>
            <w:r>
              <w:rPr>
                <w:sz w:val="14"/>
              </w:rPr>
              <w:t>Carrier of energized circuits</w:t>
            </w:r>
          </w:p>
        </w:tc>
        <w:tc>
          <w:tcPr>
            <w:tcW w:type="dxa" w:w="936"/>
          </w:tcPr>
          <w:p>
            <w:pPr>
              <w:spacing w:after="20"/>
            </w:pPr>
            <w:r>
              <w:rPr>
                <w:sz w:val="14"/>
              </w:rPr>
              <w:t>2.6.a.8</w:t>
            </w:r>
          </w:p>
        </w:tc>
        <w:tc>
          <w:tcPr>
            <w:tcW w:type="dxa" w:w="1152"/>
            <w:shd w:val="clear" w:fill="FBEEE4"/>
          </w:tcPr>
          <w:p>
            <w:pPr>
              <w:spacing w:after="20"/>
            </w:pPr>
            <w:r>
              <w:rPr>
                <w:b/>
                <w:sz w:val="14"/>
              </w:rPr>
              <w:t>Open — laminate data</w:t>
            </w:r>
          </w:p>
        </w:tc>
      </w:tr>
      <w:tr>
        <w:trPr>
          <w:cantSplit/>
        </w:trPr>
        <w:tc>
          <w:tcPr>
            <w:tcW w:type="dxa" w:w="648"/>
          </w:tcPr>
          <w:p>
            <w:pPr>
              <w:spacing w:after="20"/>
            </w:pPr>
            <w:r>
              <w:rPr>
                <w:b/>
                <w:sz w:val="14"/>
              </w:rPr>
              <w:t>EL-11</w:t>
            </w:r>
          </w:p>
        </w:tc>
        <w:tc>
          <w:tcPr>
            <w:tcW w:type="dxa" w:w="1512"/>
          </w:tcPr>
          <w:p>
            <w:pPr>
              <w:spacing w:after="20"/>
            </w:pPr>
            <w:r>
              <w:rPr>
                <w:sz w:val="14"/>
              </w:rPr>
              <w:t>ESP32-S3 module</w:t>
            </w:r>
          </w:p>
        </w:tc>
        <w:tc>
          <w:tcPr>
            <w:tcW w:type="dxa" w:w="1008"/>
          </w:tcPr>
          <w:p>
            <w:pPr>
              <w:spacing w:after="20"/>
            </w:pPr>
            <w:r>
              <w:rPr>
                <w:sz w:val="14"/>
              </w:rPr>
              <w:t>Espressif</w:t>
            </w:r>
          </w:p>
        </w:tc>
        <w:tc>
          <w:tcPr>
            <w:tcW w:type="dxa" w:w="1512"/>
          </w:tcPr>
          <w:p>
            <w:pPr>
              <w:spacing w:after="20"/>
            </w:pPr>
            <w:r>
              <w:rPr>
                <w:sz w:val="14"/>
              </w:rPr>
              <w:t>ESP32-S3-WROOM-1U-N16R8</w:t>
            </w:r>
          </w:p>
        </w:tc>
        <w:tc>
          <w:tcPr>
            <w:tcW w:type="dxa" w:w="1368"/>
          </w:tcPr>
          <w:p>
            <w:pPr>
              <w:spacing w:after="20"/>
            </w:pPr>
            <w:r>
              <w:rPr>
                <w:sz w:val="14"/>
              </w:rPr>
              <w:t>3.3 V</w:t>
            </w:r>
          </w:p>
        </w:tc>
        <w:tc>
          <w:tcPr>
            <w:tcW w:type="dxa" w:w="1224"/>
          </w:tcPr>
          <w:p>
            <w:pPr>
              <w:spacing w:after="20"/>
            </w:pPr>
            <w:r>
              <w:rPr>
                <w:sz w:val="14"/>
              </w:rPr>
              <w:t>Main energized electronics</w:t>
            </w:r>
          </w:p>
        </w:tc>
        <w:tc>
          <w:tcPr>
            <w:tcW w:type="dxa" w:w="936"/>
          </w:tcPr>
          <w:p>
            <w:pPr>
              <w:spacing w:after="20"/>
            </w:pPr>
            <w:r>
              <w:rPr>
                <w:sz w:val="14"/>
              </w:rPr>
              <w:t>Sheet 21</w:t>
            </w:r>
          </w:p>
        </w:tc>
        <w:tc>
          <w:tcPr>
            <w:tcW w:type="dxa" w:w="1152"/>
            <w:shd w:val="clear" w:fill="E3F1E6"/>
          </w:tcPr>
          <w:p>
            <w:pPr>
              <w:spacing w:after="20"/>
            </w:pPr>
            <w:r>
              <w:rPr>
                <w:b/>
                <w:sz w:val="14"/>
              </w:rPr>
              <w:t>Final</w:t>
            </w:r>
          </w:p>
        </w:tc>
      </w:tr>
      <w:tr>
        <w:trPr>
          <w:cantSplit/>
        </w:trPr>
        <w:tc>
          <w:tcPr>
            <w:tcW w:type="dxa" w:w="648"/>
          </w:tcPr>
          <w:p>
            <w:pPr>
              <w:spacing w:after="20"/>
            </w:pPr>
            <w:r>
              <w:rPr>
                <w:b/>
                <w:sz w:val="14"/>
              </w:rPr>
              <w:t>EL-12</w:t>
            </w:r>
          </w:p>
        </w:tc>
        <w:tc>
          <w:tcPr>
            <w:tcW w:type="dxa" w:w="1512"/>
          </w:tcPr>
          <w:p>
            <w:pPr>
              <w:spacing w:after="20"/>
            </w:pPr>
            <w:r>
              <w:rPr>
                <w:sz w:val="14"/>
              </w:rPr>
              <w:t>LoRa module</w:t>
            </w:r>
          </w:p>
        </w:tc>
        <w:tc>
          <w:tcPr>
            <w:tcW w:type="dxa" w:w="1008"/>
          </w:tcPr>
          <w:p>
            <w:pPr>
              <w:spacing w:after="20"/>
            </w:pPr>
            <w:r>
              <w:rPr>
                <w:sz w:val="14"/>
              </w:rPr>
              <w:t>Ebyte</w:t>
            </w:r>
          </w:p>
        </w:tc>
        <w:tc>
          <w:tcPr>
            <w:tcW w:type="dxa" w:w="1512"/>
          </w:tcPr>
          <w:p>
            <w:pPr>
              <w:spacing w:after="20"/>
            </w:pPr>
            <w:r>
              <w:rPr>
                <w:sz w:val="14"/>
              </w:rPr>
              <w:t>E22-900MM22S</w:t>
            </w:r>
          </w:p>
        </w:tc>
        <w:tc>
          <w:tcPr>
            <w:tcW w:type="dxa" w:w="1368"/>
          </w:tcPr>
          <w:p>
            <w:pPr>
              <w:spacing w:after="20"/>
            </w:pPr>
            <w:r>
              <w:rPr>
                <w:sz w:val="14"/>
              </w:rPr>
              <w:t>0–22 dBm, 920–923 MHz</w:t>
            </w:r>
          </w:p>
        </w:tc>
        <w:tc>
          <w:tcPr>
            <w:tcW w:type="dxa" w:w="1224"/>
          </w:tcPr>
          <w:p>
            <w:pPr>
              <w:spacing w:after="20"/>
            </w:pPr>
            <w:r>
              <w:rPr>
                <w:sz w:val="14"/>
              </w:rPr>
              <w:t>RF source</w:t>
            </w:r>
          </w:p>
        </w:tc>
        <w:tc>
          <w:tcPr>
            <w:tcW w:type="dxa" w:w="936"/>
          </w:tcPr>
          <w:p>
            <w:pPr>
              <w:spacing w:after="20"/>
            </w:pPr>
            <w:r>
              <w:rPr>
                <w:sz w:val="14"/>
              </w:rPr>
              <w:t>Sheet 23</w:t>
            </w:r>
          </w:p>
        </w:tc>
        <w:tc>
          <w:tcPr>
            <w:tcW w:type="dxa" w:w="1152"/>
            <w:shd w:val="clear" w:fill="E3F1E6"/>
          </w:tcPr>
          <w:p>
            <w:pPr>
              <w:spacing w:after="20"/>
            </w:pPr>
            <w:r>
              <w:rPr>
                <w:b/>
                <w:sz w:val="14"/>
              </w:rPr>
              <w:t>Final</w:t>
            </w:r>
          </w:p>
        </w:tc>
      </w:tr>
      <w:tr>
        <w:trPr>
          <w:cantSplit/>
        </w:trPr>
        <w:tc>
          <w:tcPr>
            <w:tcW w:type="dxa" w:w="648"/>
          </w:tcPr>
          <w:p>
            <w:pPr>
              <w:spacing w:after="20"/>
            </w:pPr>
            <w:r>
              <w:rPr>
                <w:b/>
                <w:sz w:val="14"/>
              </w:rPr>
              <w:t>EL-13</w:t>
            </w:r>
          </w:p>
        </w:tc>
        <w:tc>
          <w:tcPr>
            <w:tcW w:type="dxa" w:w="1512"/>
          </w:tcPr>
          <w:p>
            <w:pPr>
              <w:spacing w:after="20"/>
            </w:pPr>
            <w:r>
              <w:rPr>
                <w:sz w:val="14"/>
              </w:rPr>
              <w:t>Terminals / connectors</w:t>
            </w:r>
          </w:p>
        </w:tc>
        <w:tc>
          <w:tcPr>
            <w:tcW w:type="dxa" w:w="1008"/>
          </w:tcPr>
          <w:p>
            <w:pPr>
              <w:spacing w:after="20"/>
            </w:pPr>
            <w:r>
              <w:rPr>
                <w:sz w:val="14"/>
              </w:rPr>
              <w:t>Boomele / TBC</w:t>
            </w:r>
          </w:p>
        </w:tc>
        <w:tc>
          <w:tcPr>
            <w:tcW w:type="dxa" w:w="1512"/>
          </w:tcPr>
          <w:p>
            <w:pPr>
              <w:spacing w:after="20"/>
            </w:pPr>
            <w:r>
              <w:rPr>
                <w:sz w:val="14"/>
              </w:rPr>
              <w:t>J1 power 2×3 (pin 6 = 24V+, pin 5 = 24V−); XH-2A; H1–H8 2×4 1.27 mm</w:t>
            </w:r>
          </w:p>
        </w:tc>
        <w:tc>
          <w:tcPr>
            <w:tcW w:type="dxa" w:w="1368"/>
          </w:tcPr>
          <w:p>
            <w:pPr>
              <w:spacing w:after="20"/>
            </w:pPr>
            <w:r>
              <w:rPr>
                <w:sz w:val="14"/>
              </w:rPr>
              <w:t>Current/voltage rating TBC</w:t>
            </w:r>
          </w:p>
        </w:tc>
        <w:tc>
          <w:tcPr>
            <w:tcW w:type="dxa" w:w="1224"/>
          </w:tcPr>
          <w:p>
            <w:pPr>
              <w:spacing w:after="20"/>
            </w:pPr>
            <w:r>
              <w:rPr>
                <w:sz w:val="14"/>
              </w:rPr>
              <w:t>Loose-contact heating / sparking</w:t>
            </w:r>
          </w:p>
        </w:tc>
        <w:tc>
          <w:tcPr>
            <w:tcW w:type="dxa" w:w="936"/>
          </w:tcPr>
          <w:p>
            <w:pPr>
              <w:spacing w:after="20"/>
            </w:pPr>
            <w:r>
              <w:rPr>
                <w:sz w:val="14"/>
              </w:rPr>
              <w:t>Sheets 02, 13</w:t>
            </w:r>
          </w:p>
        </w:tc>
        <w:tc>
          <w:tcPr>
            <w:tcW w:type="dxa" w:w="1152"/>
            <w:shd w:val="clear" w:fill="FBEEE4"/>
          </w:tcPr>
          <w:p>
            <w:pPr>
              <w:spacing w:after="20"/>
            </w:pPr>
            <w:r>
              <w:rPr>
                <w:b/>
                <w:sz w:val="14"/>
              </w:rPr>
              <w:t>Open — VIN connector MPN</w:t>
            </w:r>
          </w:p>
        </w:tc>
      </w:tr>
    </w:tbl>
    <w:p>
      <w:pPr>
        <w:spacing w:after="40"/>
      </w:pPr>
    </w:p>
    <w:tbl>
      <w:tblPr>
        <w:tblW w:type="auto" w:w="0"/>
        <w:jc w:val="center"/>
        <w:tblLook w:firstColumn="1" w:firstRow="1" w:lastColumn="0" w:lastRow="0" w:noHBand="0" w:noVBand="1" w:val="04A0"/>
      </w:tblPr>
      <w:tblGrid>
        <w:gridCol w:w="9746"/>
      </w:tblGrid>
      <w:tr>
        <w:tc>
          <w:tcPr>
            <w:tcW w:type="dxa" w:w="9746"/>
            <w:shd w:val="clear" w:fill="F3F6FC"/>
          </w:tcPr>
          <w:p>
            <w:pPr>
              <w:spacing w:after="40"/>
            </w:pPr>
            <w:r>
              <w:rPr>
                <w:color w:val="555B66"/>
                <w:sz w:val="18"/>
              </w:rPr>
              <w:t>Status legend: Final = confirmed and documented; Review = data exists but a rating or function must be checked; Open = data not yet available; TBC = to be confirmed; Pending certificate = certificate to be obtained; Decision required = design decision needed; N.A. = not applicable.</w:t>
            </w:r>
          </w:p>
        </w:tc>
      </w:tr>
    </w:tbl>
    <w:p>
      <w:pPr>
        <w:spacing w:after="40"/>
      </w:pPr>
    </w:p>
    <w:p>
      <w:pPr>
        <w:pStyle w:val="Heading3"/>
      </w:pPr>
      <w:r>
        <w:t>2.6.c · Material Specification Sheets / Datasheets (Non-Metallic Materials)</w:t>
      </w:r>
    </w:p>
    <w:p>
      <w:pPr>
        <w:spacing w:after="160"/>
      </w:pPr>
      <w:r>
        <w:rPr>
          <w:b w:val="0"/>
          <w:i w:val="0"/>
          <w:sz w:val="21"/>
        </w:rPr>
        <w:t>Datasheets or supplier conformity declarations for non-metallic materials (enclosure components, seals, insulators, potting compounds) — covering heat/cold resistance, anti-aging, anti-static, flame retardancy, CTI value, and chemical resistance — have not yet been collected.</w:t>
      </w:r>
    </w:p>
    <w:p>
      <w:pPr>
        <w:spacing w:after="160"/>
      </w:pPr>
      <w:r>
        <w:rPr>
          <w:b w:val="0"/>
          <w:i w:val="0"/>
          <w:sz w:val="21"/>
        </w:rPr>
        <w:t>Per IEC 60079-0:2017, once GLD's specific non-metallic components are identified the applicable requirements are: a Comparative Tracking Index (CTI) class per Table 5/6 appropriate to the equipment's creepage/clearance design; a glow-wire or needle-flame flame-retardancy result per §26.4–26.5; a glass-transition temperature (Tg) safely outside the confirmed −20°C to +60°C ambient operating range (Section 2.3); and UV/weathering-resistance data for any component exposed outdoors. These thresholds are cited from the standard itself and have not yet been matched against actual component datasheets.</w:t>
      </w:r>
    </w:p>
    <w:p>
      <w:pPr>
        <w:spacing w:after="160"/>
      </w:pPr>
      <w:r>
        <w:rPr>
          <w:b w:val="0"/>
          <w:i w:val="0"/>
          <w:sz w:val="21"/>
        </w:rPr>
        <w:t>Non-metallic components in the design that this item will need to cover: the cover-to-body sealing gasket providing the IP66 rating (Section 2.3 — identified as a rubber gasket in the casing partner's assembly drawing, specific compound/grade not yet specified); the integral seal of the candidate M20×1.5 cable gland — per project direction, specified together with the gland itself from the BP18-1Z reference (Section 2.3), rather than as a separately sourced component; and the antenna/SMA feedthrough insulator (material not yet specified). The protective mesh cover over the gas-sensing element is now identified as a stainless-steel wire mesh in the same assembly drawing — being metallic, it falls outside this specific non-metallic-materials checklist item.</w:t>
      </w:r>
    </w:p>
    <w:p>
      <w:pPr>
        <w:spacing w:after="200"/>
      </w:pPr>
      <w:r>
        <w:rPr>
          <w:b/>
          <w:color w:val="4A4A4A"/>
          <w:sz w:val="19"/>
        </w:rPr>
        <w:t xml:space="preserve">Status: </w:t>
      </w:r>
      <w:r>
        <w:rPr>
          <w:i/>
          <w:color w:val="4A4A4A"/>
          <w:sz w:val="19"/>
        </w:rPr>
        <w:t>Not yet available, pending the enclosure design and material selection with the casing partner — this data has been formally requested from that partner. Partial candidate data: the BP18-1Z reference drawing (Section 2.6.a) specifies a powder-coating surface treatment with electrostatic-safety parameters directly relevant to this item — maximum surface charge transfer &lt;10 nC and maximum surface capacitance &lt;5 pF (coating thickness ≤0.2 mm), consistent with IEC 60079-0 coating requirements — but this describes a supplier's candidate component, not a confirmed datasheet for GLD's own enclosure finish.</w:t>
      </w:r>
    </w:p>
    <w:p>
      <w:pPr>
        <w:pStyle w:val="Heading4"/>
      </w:pPr>
      <w:r>
        <w:t>2.6.c.1 Non-metallic materials register (MAT-01 … MAT-11)</w:t>
      </w:r>
    </w:p>
    <w:p>
      <w:pPr>
        <w:spacing w:after="100"/>
      </w:pPr>
      <w:r>
        <w:rPr>
          <w:b w:val="0"/>
          <w:i w:val="0"/>
          <w:color w:val="262321"/>
          <w:sz w:val="19"/>
        </w:rPr>
        <w:t>Format requested by the revision guide. Each material is to be supported by the supplier's datasheet or conformity declaration covering service-temperature range, heat/cold resistance, ageing, flame retardancy (UL 94 / glow-wire), CTI where relevant, electrostatic properties, chemical and UV/weather resistance, and Tg where relevant. Where the material is not yet identified the item stays Open.</w:t>
      </w:r>
    </w:p>
    <w:tbl>
      <w:tblPr>
        <w:tblStyle w:val="TableGrid"/>
        <w:tblW w:type="auto" w:w="0"/>
        <w:jc w:val="center"/>
        <w:tblLayout w:type="fixed"/>
        <w:tblLook w:firstColumn="1" w:firstRow="1" w:lastColumn="0" w:lastRow="0" w:noHBand="0" w:noVBand="1" w:val="04A0"/>
        <w:tblLayout w:type="fixed"/>
      </w:tblPr>
      <w:tblGrid>
        <w:gridCol w:w="792"/>
        <w:gridCol w:w="2015"/>
        <w:gridCol w:w="1655"/>
        <w:gridCol w:w="1224"/>
        <w:gridCol w:w="1944"/>
        <w:gridCol w:w="1152"/>
        <w:gridCol w:w="720"/>
      </w:tblGrid>
      <w:tr>
        <w:trPr>
          <w:tblHeader w:val="true"/>
        </w:trPr>
        <w:tc>
          <w:tcPr>
            <w:tcW w:type="dxa" w:w="792"/>
            <w:shd w:val="clear" w:fill="EAEFF9"/>
          </w:tcPr>
          <w:p>
            <w:pPr>
              <w:spacing w:after="20"/>
            </w:pPr>
            <w:r>
              <w:rPr>
                <w:b/>
                <w:color w:val="1B335F"/>
                <w:sz w:val="15"/>
              </w:rPr>
              <w:t>Ref.</w:t>
            </w:r>
          </w:p>
        </w:tc>
        <w:tc>
          <w:tcPr>
            <w:tcW w:type="dxa" w:w="2016"/>
            <w:shd w:val="clear" w:fill="EAEFF9"/>
          </w:tcPr>
          <w:p>
            <w:pPr>
              <w:spacing w:after="20"/>
            </w:pPr>
            <w:r>
              <w:rPr>
                <w:b/>
                <w:color w:val="1B335F"/>
                <w:sz w:val="15"/>
              </w:rPr>
              <w:t>Component</w:t>
            </w:r>
          </w:p>
        </w:tc>
        <w:tc>
          <w:tcPr>
            <w:tcW w:type="dxa" w:w="1656"/>
            <w:shd w:val="clear" w:fill="EAEFF9"/>
          </w:tcPr>
          <w:p>
            <w:pPr>
              <w:spacing w:after="20"/>
            </w:pPr>
            <w:r>
              <w:rPr>
                <w:b/>
                <w:color w:val="1B335F"/>
                <w:sz w:val="15"/>
              </w:rPr>
              <w:t>Material / grade</w:t>
            </w:r>
          </w:p>
        </w:tc>
        <w:tc>
          <w:tcPr>
            <w:tcW w:type="dxa" w:w="1224"/>
            <w:shd w:val="clear" w:fill="EAEFF9"/>
          </w:tcPr>
          <w:p>
            <w:pPr>
              <w:spacing w:after="20"/>
            </w:pPr>
            <w:r>
              <w:rPr>
                <w:b/>
                <w:color w:val="1B335F"/>
                <w:sz w:val="15"/>
              </w:rPr>
              <w:t>Manufacturer</w:t>
            </w:r>
          </w:p>
        </w:tc>
        <w:tc>
          <w:tcPr>
            <w:tcW w:type="dxa" w:w="1944"/>
            <w:shd w:val="clear" w:fill="EAEFF9"/>
          </w:tcPr>
          <w:p>
            <w:pPr>
              <w:spacing w:after="20"/>
            </w:pPr>
            <w:r>
              <w:rPr>
                <w:b/>
                <w:color w:val="1B335F"/>
                <w:sz w:val="15"/>
              </w:rPr>
              <w:t>Important properties</w:t>
            </w:r>
          </w:p>
        </w:tc>
        <w:tc>
          <w:tcPr>
            <w:tcW w:type="dxa" w:w="1152"/>
            <w:shd w:val="clear" w:fill="EAEFF9"/>
          </w:tcPr>
          <w:p>
            <w:pPr>
              <w:spacing w:after="20"/>
            </w:pPr>
            <w:r>
              <w:rPr>
                <w:b/>
                <w:color w:val="1B335F"/>
                <w:sz w:val="15"/>
              </w:rPr>
              <w:t>Evidence</w:t>
            </w:r>
          </w:p>
        </w:tc>
        <w:tc>
          <w:tcPr>
            <w:tcW w:type="dxa" w:w="720"/>
            <w:shd w:val="clear" w:fill="EAEFF9"/>
          </w:tcPr>
          <w:p>
            <w:pPr>
              <w:spacing w:after="20"/>
            </w:pPr>
            <w:r>
              <w:rPr>
                <w:b/>
                <w:color w:val="1B335F"/>
                <w:sz w:val="15"/>
              </w:rPr>
              <w:t>Status</w:t>
            </w:r>
          </w:p>
        </w:tc>
      </w:tr>
      <w:tr>
        <w:trPr>
          <w:cantSplit/>
        </w:trPr>
        <w:tc>
          <w:tcPr>
            <w:tcW w:type="dxa" w:w="792"/>
          </w:tcPr>
          <w:p>
            <w:pPr>
              <w:spacing w:after="20"/>
            </w:pPr>
            <w:r>
              <w:rPr>
                <w:b/>
                <w:sz w:val="15"/>
              </w:rPr>
              <w:t>MAT-01</w:t>
            </w:r>
          </w:p>
        </w:tc>
        <w:tc>
          <w:tcPr>
            <w:tcW w:type="dxa" w:w="2016"/>
          </w:tcPr>
          <w:p>
            <w:pPr>
              <w:spacing w:after="20"/>
            </w:pPr>
            <w:r>
              <w:rPr>
                <w:sz w:val="15"/>
              </w:rPr>
              <w:t>Cover-to-body gasket</w:t>
            </w:r>
          </w:p>
        </w:tc>
        <w:tc>
          <w:tcPr>
            <w:tcW w:type="dxa" w:w="1656"/>
          </w:tcPr>
          <w:p>
            <w:pPr>
              <w:spacing w:after="20"/>
            </w:pPr>
            <w:r>
              <w:rPr>
                <w:sz w:val="15"/>
              </w:rPr>
              <w:t>Rubber; compound TBC</w:t>
            </w:r>
          </w:p>
        </w:tc>
        <w:tc>
          <w:tcPr>
            <w:tcW w:type="dxa" w:w="1224"/>
          </w:tcPr>
          <w:p>
            <w:pPr>
              <w:spacing w:after="20"/>
            </w:pPr>
            <w:r>
              <w:rPr>
                <w:sz w:val="15"/>
              </w:rPr>
              <w:t>TBC</w:t>
            </w:r>
          </w:p>
        </w:tc>
        <w:tc>
          <w:tcPr>
            <w:tcW w:type="dxa" w:w="1944"/>
          </w:tcPr>
          <w:p>
            <w:pPr>
              <w:spacing w:after="20"/>
            </w:pPr>
            <w:r>
              <w:rPr>
                <w:sz w:val="15"/>
              </w:rPr>
              <w:t>Temp. range, ageing, chemical resistance</w:t>
            </w:r>
          </w:p>
        </w:tc>
        <w:tc>
          <w:tcPr>
            <w:tcW w:type="dxa" w:w="1152"/>
          </w:tcPr>
          <w:p>
            <w:pPr>
              <w:spacing w:after="20"/>
            </w:pPr>
            <w:r>
              <w:rPr>
                <w:sz w:val="15"/>
              </w:rPr>
              <w:t>Datasheet</w:t>
            </w:r>
          </w:p>
        </w:tc>
        <w:tc>
          <w:tcPr>
            <w:tcW w:type="dxa" w:w="720"/>
            <w:shd w:val="clear" w:fill="FBEEE4"/>
          </w:tcPr>
          <w:p>
            <w:pPr>
              <w:spacing w:after="20"/>
            </w:pPr>
            <w:r>
              <w:rPr>
                <w:b/>
                <w:sz w:val="15"/>
              </w:rPr>
              <w:t>Open</w:t>
            </w:r>
          </w:p>
        </w:tc>
      </w:tr>
      <w:tr>
        <w:trPr>
          <w:cantSplit/>
        </w:trPr>
        <w:tc>
          <w:tcPr>
            <w:tcW w:type="dxa" w:w="792"/>
          </w:tcPr>
          <w:p>
            <w:pPr>
              <w:spacing w:after="20"/>
            </w:pPr>
            <w:r>
              <w:rPr>
                <w:b/>
                <w:sz w:val="15"/>
              </w:rPr>
              <w:t>MAT-02</w:t>
            </w:r>
          </w:p>
        </w:tc>
        <w:tc>
          <w:tcPr>
            <w:tcW w:type="dxa" w:w="2016"/>
          </w:tcPr>
          <w:p>
            <w:pPr>
              <w:spacing w:after="20"/>
            </w:pPr>
            <w:r>
              <w:rPr>
                <w:sz w:val="15"/>
              </w:rPr>
              <w:t>Cable-gland body and sealing ring</w:t>
            </w:r>
          </w:p>
        </w:tc>
        <w:tc>
          <w:tcPr>
            <w:tcW w:type="dxa" w:w="1656"/>
          </w:tcPr>
          <w:p>
            <w:pPr>
              <w:spacing w:after="20"/>
            </w:pPr>
            <w:r>
              <w:rPr>
                <w:sz w:val="15"/>
              </w:rPr>
              <w:t>Current prototype: black polymer gland (Figure 4-112); final: per certified Ex d gland</w:t>
            </w:r>
          </w:p>
        </w:tc>
        <w:tc>
          <w:tcPr>
            <w:tcW w:type="dxa" w:w="1224"/>
          </w:tcPr>
          <w:p>
            <w:pPr>
              <w:spacing w:after="20"/>
            </w:pPr>
            <w:r>
              <w:rPr>
                <w:sz w:val="15"/>
              </w:rPr>
              <w:t>Gland supplier</w:t>
            </w:r>
          </w:p>
        </w:tc>
        <w:tc>
          <w:tcPr>
            <w:tcW w:type="dxa" w:w="1944"/>
          </w:tcPr>
          <w:p>
            <w:pPr>
              <w:spacing w:after="20"/>
            </w:pPr>
            <w:r>
              <w:rPr>
                <w:sz w:val="15"/>
              </w:rPr>
              <w:t>Temp., flame rating, UV/chemical, electrostatic</w:t>
            </w:r>
          </w:p>
        </w:tc>
        <w:tc>
          <w:tcPr>
            <w:tcW w:type="dxa" w:w="1152"/>
          </w:tcPr>
          <w:p>
            <w:pPr>
              <w:spacing w:after="20"/>
            </w:pPr>
            <w:r>
              <w:rPr>
                <w:sz w:val="15"/>
              </w:rPr>
              <w:t>Datasheet / certificate</w:t>
            </w:r>
          </w:p>
        </w:tc>
        <w:tc>
          <w:tcPr>
            <w:tcW w:type="dxa" w:w="720"/>
            <w:shd w:val="clear" w:fill="FBEEE4"/>
          </w:tcPr>
          <w:p>
            <w:pPr>
              <w:spacing w:after="20"/>
            </w:pPr>
            <w:r>
              <w:rPr>
                <w:b/>
                <w:sz w:val="15"/>
              </w:rPr>
              <w:t>Open</w:t>
            </w:r>
          </w:p>
        </w:tc>
      </w:tr>
      <w:tr>
        <w:trPr>
          <w:cantSplit/>
        </w:trPr>
        <w:tc>
          <w:tcPr>
            <w:tcW w:type="dxa" w:w="792"/>
          </w:tcPr>
          <w:p>
            <w:pPr>
              <w:spacing w:after="20"/>
            </w:pPr>
            <w:r>
              <w:rPr>
                <w:b/>
                <w:sz w:val="15"/>
              </w:rPr>
              <w:t>MAT-03</w:t>
            </w:r>
          </w:p>
        </w:tc>
        <w:tc>
          <w:tcPr>
            <w:tcW w:type="dxa" w:w="2016"/>
          </w:tcPr>
          <w:p>
            <w:pPr>
              <w:spacing w:after="20"/>
            </w:pPr>
            <w:r>
              <w:rPr>
                <w:sz w:val="15"/>
              </w:rPr>
              <w:t>Main PCB laminate</w:t>
            </w:r>
          </w:p>
        </w:tc>
        <w:tc>
          <w:tcPr>
            <w:tcW w:type="dxa" w:w="1656"/>
          </w:tcPr>
          <w:p>
            <w:pPr>
              <w:spacing w:after="20"/>
            </w:pPr>
            <w:r>
              <w:rPr>
                <w:sz w:val="15"/>
              </w:rPr>
              <w:t>FR-4 type expected; exact grade TBC</w:t>
            </w:r>
          </w:p>
        </w:tc>
        <w:tc>
          <w:tcPr>
            <w:tcW w:type="dxa" w:w="1224"/>
          </w:tcPr>
          <w:p>
            <w:pPr>
              <w:spacing w:after="20"/>
            </w:pPr>
            <w:r>
              <w:rPr>
                <w:sz w:val="15"/>
              </w:rPr>
              <w:t>PCB fabricator</w:t>
            </w:r>
          </w:p>
        </w:tc>
        <w:tc>
          <w:tcPr>
            <w:tcW w:type="dxa" w:w="1944"/>
          </w:tcPr>
          <w:p>
            <w:pPr>
              <w:spacing w:after="20"/>
            </w:pPr>
            <w:r>
              <w:rPr>
                <w:sz w:val="15"/>
              </w:rPr>
              <w:t>Tg, CTI, UL 94</w:t>
            </w:r>
          </w:p>
        </w:tc>
        <w:tc>
          <w:tcPr>
            <w:tcW w:type="dxa" w:w="1152"/>
          </w:tcPr>
          <w:p>
            <w:pPr>
              <w:spacing w:after="20"/>
            </w:pPr>
            <w:r>
              <w:rPr>
                <w:sz w:val="15"/>
              </w:rPr>
              <w:t>Material datasheet</w:t>
            </w:r>
          </w:p>
        </w:tc>
        <w:tc>
          <w:tcPr>
            <w:tcW w:type="dxa" w:w="720"/>
            <w:shd w:val="clear" w:fill="FBEEE4"/>
          </w:tcPr>
          <w:p>
            <w:pPr>
              <w:spacing w:after="20"/>
            </w:pPr>
            <w:r>
              <w:rPr>
                <w:b/>
                <w:sz w:val="15"/>
              </w:rPr>
              <w:t>Open</w:t>
            </w:r>
          </w:p>
        </w:tc>
      </w:tr>
      <w:tr>
        <w:trPr>
          <w:cantSplit/>
        </w:trPr>
        <w:tc>
          <w:tcPr>
            <w:tcW w:type="dxa" w:w="792"/>
          </w:tcPr>
          <w:p>
            <w:pPr>
              <w:spacing w:after="20"/>
            </w:pPr>
            <w:r>
              <w:rPr>
                <w:b/>
                <w:sz w:val="15"/>
              </w:rPr>
              <w:t>MAT-04</w:t>
            </w:r>
          </w:p>
        </w:tc>
        <w:tc>
          <w:tcPr>
            <w:tcW w:type="dxa" w:w="2016"/>
          </w:tcPr>
          <w:p>
            <w:pPr>
              <w:spacing w:after="20"/>
            </w:pPr>
            <w:r>
              <w:rPr>
                <w:sz w:val="15"/>
              </w:rPr>
              <w:t>Connector housings (J1, XH-2A, H1–H8)</w:t>
            </w:r>
          </w:p>
        </w:tc>
        <w:tc>
          <w:tcPr>
            <w:tcW w:type="dxa" w:w="1656"/>
          </w:tcPr>
          <w:p>
            <w:pPr>
              <w:spacing w:after="20"/>
            </w:pPr>
            <w:r>
              <w:rPr>
                <w:sz w:val="15"/>
              </w:rPr>
              <w:t>TBC</w:t>
            </w:r>
          </w:p>
        </w:tc>
        <w:tc>
          <w:tcPr>
            <w:tcW w:type="dxa" w:w="1224"/>
          </w:tcPr>
          <w:p>
            <w:pPr>
              <w:spacing w:after="20"/>
            </w:pPr>
            <w:r>
              <w:rPr>
                <w:sz w:val="15"/>
              </w:rPr>
              <w:t>Boomele / TBC</w:t>
            </w:r>
          </w:p>
        </w:tc>
        <w:tc>
          <w:tcPr>
            <w:tcW w:type="dxa" w:w="1944"/>
          </w:tcPr>
          <w:p>
            <w:pPr>
              <w:spacing w:after="20"/>
            </w:pPr>
            <w:r>
              <w:rPr>
                <w:sz w:val="15"/>
              </w:rPr>
              <w:t>CTI, UL 94, temp. rating</w:t>
            </w:r>
          </w:p>
        </w:tc>
        <w:tc>
          <w:tcPr>
            <w:tcW w:type="dxa" w:w="1152"/>
          </w:tcPr>
          <w:p>
            <w:pPr>
              <w:spacing w:after="20"/>
            </w:pPr>
            <w:r>
              <w:rPr>
                <w:sz w:val="15"/>
              </w:rPr>
              <w:t>Datasheet</w:t>
            </w:r>
          </w:p>
        </w:tc>
        <w:tc>
          <w:tcPr>
            <w:tcW w:type="dxa" w:w="720"/>
            <w:shd w:val="clear" w:fill="FBEEE4"/>
          </w:tcPr>
          <w:p>
            <w:pPr>
              <w:spacing w:after="20"/>
            </w:pPr>
            <w:r>
              <w:rPr>
                <w:b/>
                <w:sz w:val="15"/>
              </w:rPr>
              <w:t>Open</w:t>
            </w:r>
          </w:p>
        </w:tc>
      </w:tr>
      <w:tr>
        <w:trPr>
          <w:cantSplit/>
        </w:trPr>
        <w:tc>
          <w:tcPr>
            <w:tcW w:type="dxa" w:w="792"/>
          </w:tcPr>
          <w:p>
            <w:pPr>
              <w:spacing w:after="20"/>
            </w:pPr>
            <w:r>
              <w:rPr>
                <w:b/>
                <w:sz w:val="15"/>
              </w:rPr>
              <w:t>MAT-05</w:t>
            </w:r>
          </w:p>
        </w:tc>
        <w:tc>
          <w:tcPr>
            <w:tcW w:type="dxa" w:w="2016"/>
          </w:tcPr>
          <w:p>
            <w:pPr>
              <w:spacing w:after="20"/>
            </w:pPr>
            <w:r>
              <w:rPr>
                <w:sz w:val="15"/>
              </w:rPr>
              <w:t>Wire insulation (24 VDC cable, 2 conductors L+/L−, Ø≈0.75 mm)</w:t>
            </w:r>
          </w:p>
        </w:tc>
        <w:tc>
          <w:tcPr>
            <w:tcW w:type="dxa" w:w="1656"/>
          </w:tcPr>
          <w:p>
            <w:pPr>
              <w:spacing w:after="20"/>
            </w:pPr>
            <w:r>
              <w:rPr>
                <w:sz w:val="15"/>
              </w:rPr>
              <w:t>TBC</w:t>
            </w:r>
          </w:p>
        </w:tc>
        <w:tc>
          <w:tcPr>
            <w:tcW w:type="dxa" w:w="1224"/>
          </w:tcPr>
          <w:p>
            <w:pPr>
              <w:spacing w:after="20"/>
            </w:pPr>
            <w:r>
              <w:rPr>
                <w:sz w:val="15"/>
              </w:rPr>
              <w:t>TBC</w:t>
            </w:r>
          </w:p>
        </w:tc>
        <w:tc>
          <w:tcPr>
            <w:tcW w:type="dxa" w:w="1944"/>
          </w:tcPr>
          <w:p>
            <w:pPr>
              <w:spacing w:after="20"/>
            </w:pPr>
            <w:r>
              <w:rPr>
                <w:sz w:val="15"/>
              </w:rPr>
              <w:t>Temp. rating, flame rating</w:t>
            </w:r>
          </w:p>
        </w:tc>
        <w:tc>
          <w:tcPr>
            <w:tcW w:type="dxa" w:w="1152"/>
          </w:tcPr>
          <w:p>
            <w:pPr>
              <w:spacing w:after="20"/>
            </w:pPr>
            <w:r>
              <w:rPr>
                <w:sz w:val="15"/>
              </w:rPr>
              <w:t>Cable datasheet</w:t>
            </w:r>
          </w:p>
        </w:tc>
        <w:tc>
          <w:tcPr>
            <w:tcW w:type="dxa" w:w="720"/>
            <w:shd w:val="clear" w:fill="FBEEE4"/>
          </w:tcPr>
          <w:p>
            <w:pPr>
              <w:spacing w:after="20"/>
            </w:pPr>
            <w:r>
              <w:rPr>
                <w:b/>
                <w:sz w:val="15"/>
              </w:rPr>
              <w:t>Open</w:t>
            </w:r>
          </w:p>
        </w:tc>
      </w:tr>
      <w:tr>
        <w:trPr>
          <w:cantSplit/>
        </w:trPr>
        <w:tc>
          <w:tcPr>
            <w:tcW w:type="dxa" w:w="792"/>
          </w:tcPr>
          <w:p>
            <w:pPr>
              <w:spacing w:after="20"/>
            </w:pPr>
            <w:r>
              <w:rPr>
                <w:b/>
                <w:sz w:val="15"/>
              </w:rPr>
              <w:t>MAT-06</w:t>
            </w:r>
          </w:p>
        </w:tc>
        <w:tc>
          <w:tcPr>
            <w:tcW w:type="dxa" w:w="2016"/>
          </w:tcPr>
          <w:p>
            <w:pPr>
              <w:spacing w:after="20"/>
            </w:pPr>
            <w:r>
              <w:rPr>
                <w:sz w:val="15"/>
              </w:rPr>
              <w:t>Antenna housing / insulator</w:t>
            </w:r>
          </w:p>
        </w:tc>
        <w:tc>
          <w:tcPr>
            <w:tcW w:type="dxa" w:w="1656"/>
          </w:tcPr>
          <w:p>
            <w:pPr>
              <w:spacing w:after="20"/>
            </w:pPr>
            <w:r>
              <w:rPr>
                <w:sz w:val="15"/>
              </w:rPr>
              <w:t>TBC</w:t>
            </w:r>
          </w:p>
        </w:tc>
        <w:tc>
          <w:tcPr>
            <w:tcW w:type="dxa" w:w="1224"/>
          </w:tcPr>
          <w:p>
            <w:pPr>
              <w:spacing w:after="20"/>
            </w:pPr>
            <w:r>
              <w:rPr>
                <w:sz w:val="15"/>
              </w:rPr>
              <w:t>TBC</w:t>
            </w:r>
          </w:p>
        </w:tc>
        <w:tc>
          <w:tcPr>
            <w:tcW w:type="dxa" w:w="1944"/>
          </w:tcPr>
          <w:p>
            <w:pPr>
              <w:spacing w:after="20"/>
            </w:pPr>
            <w:r>
              <w:rPr>
                <w:sz w:val="15"/>
              </w:rPr>
              <w:t>Temp., UV, electrostatic properties</w:t>
            </w:r>
          </w:p>
        </w:tc>
        <w:tc>
          <w:tcPr>
            <w:tcW w:type="dxa" w:w="1152"/>
          </w:tcPr>
          <w:p>
            <w:pPr>
              <w:spacing w:after="20"/>
            </w:pPr>
            <w:r>
              <w:rPr>
                <w:sz w:val="15"/>
              </w:rPr>
              <w:t>Datasheet</w:t>
            </w:r>
          </w:p>
        </w:tc>
        <w:tc>
          <w:tcPr>
            <w:tcW w:type="dxa" w:w="720"/>
            <w:shd w:val="clear" w:fill="FBEEE4"/>
          </w:tcPr>
          <w:p>
            <w:pPr>
              <w:spacing w:after="20"/>
            </w:pPr>
            <w:r>
              <w:rPr>
                <w:b/>
                <w:sz w:val="15"/>
              </w:rPr>
              <w:t>Open</w:t>
            </w:r>
          </w:p>
        </w:tc>
      </w:tr>
      <w:tr>
        <w:trPr>
          <w:cantSplit/>
        </w:trPr>
        <w:tc>
          <w:tcPr>
            <w:tcW w:type="dxa" w:w="792"/>
          </w:tcPr>
          <w:p>
            <w:pPr>
              <w:spacing w:after="20"/>
            </w:pPr>
            <w:r>
              <w:rPr>
                <w:b/>
                <w:sz w:val="15"/>
              </w:rPr>
              <w:t>MAT-07</w:t>
            </w:r>
          </w:p>
        </w:tc>
        <w:tc>
          <w:tcPr>
            <w:tcW w:type="dxa" w:w="2016"/>
          </w:tcPr>
          <w:p>
            <w:pPr>
              <w:spacing w:after="20"/>
            </w:pPr>
            <w:r>
              <w:rPr>
                <w:sz w:val="15"/>
              </w:rPr>
              <w:t>Fan impeller / housing</w:t>
            </w:r>
          </w:p>
        </w:tc>
        <w:tc>
          <w:tcPr>
            <w:tcW w:type="dxa" w:w="1656"/>
          </w:tcPr>
          <w:p>
            <w:pPr>
              <w:spacing w:after="20"/>
            </w:pPr>
            <w:r>
              <w:rPr>
                <w:sz w:val="15"/>
              </w:rPr>
              <w:t>Plastic (grade TBC)</w:t>
            </w:r>
          </w:p>
        </w:tc>
        <w:tc>
          <w:tcPr>
            <w:tcW w:type="dxa" w:w="1224"/>
          </w:tcPr>
          <w:p>
            <w:pPr>
              <w:spacing w:after="20"/>
            </w:pPr>
            <w:r>
              <w:rPr>
                <w:sz w:val="15"/>
              </w:rPr>
              <w:t>CIXIKEJI (CX5010B5H)</w:t>
            </w:r>
          </w:p>
        </w:tc>
        <w:tc>
          <w:tcPr>
            <w:tcW w:type="dxa" w:w="1944"/>
          </w:tcPr>
          <w:p>
            <w:pPr>
              <w:spacing w:after="20"/>
            </w:pPr>
            <w:r>
              <w:rPr>
                <w:sz w:val="15"/>
              </w:rPr>
              <w:t>Temp., flame rating, mechanical</w:t>
            </w:r>
          </w:p>
        </w:tc>
        <w:tc>
          <w:tcPr>
            <w:tcW w:type="dxa" w:w="1152"/>
          </w:tcPr>
          <w:p>
            <w:pPr>
              <w:spacing w:after="20"/>
            </w:pPr>
            <w:r>
              <w:rPr>
                <w:sz w:val="15"/>
              </w:rPr>
              <w:t>Fan datasheet</w:t>
            </w:r>
          </w:p>
        </w:tc>
        <w:tc>
          <w:tcPr>
            <w:tcW w:type="dxa" w:w="720"/>
            <w:shd w:val="clear" w:fill="FBEEE4"/>
          </w:tcPr>
          <w:p>
            <w:pPr>
              <w:spacing w:after="20"/>
            </w:pPr>
            <w:r>
              <w:rPr>
                <w:b/>
                <w:sz w:val="15"/>
              </w:rPr>
              <w:t>Open</w:t>
            </w:r>
          </w:p>
        </w:tc>
      </w:tr>
      <w:tr>
        <w:trPr>
          <w:cantSplit/>
        </w:trPr>
        <w:tc>
          <w:tcPr>
            <w:tcW w:type="dxa" w:w="792"/>
          </w:tcPr>
          <w:p>
            <w:pPr>
              <w:spacing w:after="20"/>
            </w:pPr>
            <w:r>
              <w:rPr>
                <w:b/>
                <w:sz w:val="15"/>
              </w:rPr>
              <w:t>MAT-08</w:t>
            </w:r>
          </w:p>
        </w:tc>
        <w:tc>
          <w:tcPr>
            <w:tcW w:type="dxa" w:w="2016"/>
          </w:tcPr>
          <w:p>
            <w:pPr>
              <w:spacing w:after="20"/>
            </w:pPr>
            <w:r>
              <w:rPr>
                <w:sz w:val="15"/>
              </w:rPr>
              <w:t>Adhesive / sealant</w:t>
            </w:r>
          </w:p>
        </w:tc>
        <w:tc>
          <w:tcPr>
            <w:tcW w:type="dxa" w:w="1656"/>
          </w:tcPr>
          <w:p>
            <w:pPr>
              <w:spacing w:after="20"/>
            </w:pPr>
            <w:r>
              <w:rPr>
                <w:sz w:val="15"/>
              </w:rPr>
              <w:t>Not used (TBC)</w:t>
            </w:r>
          </w:p>
        </w:tc>
        <w:tc>
          <w:tcPr>
            <w:tcW w:type="dxa" w:w="1224"/>
          </w:tcPr>
          <w:p>
            <w:pPr>
              <w:spacing w:after="20"/>
            </w:pPr>
            <w:r>
              <w:rPr>
                <w:sz w:val="15"/>
              </w:rPr>
              <w:t>—</w:t>
            </w:r>
          </w:p>
        </w:tc>
        <w:tc>
          <w:tcPr>
            <w:tcW w:type="dxa" w:w="1944"/>
          </w:tcPr>
          <w:p>
            <w:pPr>
              <w:spacing w:after="20"/>
            </w:pPr>
            <w:r>
              <w:rPr>
                <w:sz w:val="15"/>
              </w:rPr>
              <w:t>Temp., chemical resistance, ageing</w:t>
            </w:r>
          </w:p>
        </w:tc>
        <w:tc>
          <w:tcPr>
            <w:tcW w:type="dxa" w:w="1152"/>
          </w:tcPr>
          <w:p>
            <w:pPr>
              <w:spacing w:after="20"/>
            </w:pPr>
            <w:r>
              <w:rPr>
                <w:sz w:val="15"/>
              </w:rPr>
              <w:t>Datasheet</w:t>
            </w:r>
          </w:p>
        </w:tc>
        <w:tc>
          <w:tcPr>
            <w:tcW w:type="dxa" w:w="720"/>
            <w:shd w:val="clear" w:fill="FBEEE4"/>
          </w:tcPr>
          <w:p>
            <w:pPr>
              <w:spacing w:after="20"/>
            </w:pPr>
            <w:r>
              <w:rPr>
                <w:b/>
                <w:sz w:val="15"/>
              </w:rPr>
              <w:t>TBC</w:t>
            </w:r>
          </w:p>
        </w:tc>
      </w:tr>
      <w:tr>
        <w:trPr>
          <w:cantSplit/>
        </w:trPr>
        <w:tc>
          <w:tcPr>
            <w:tcW w:type="dxa" w:w="792"/>
          </w:tcPr>
          <w:p>
            <w:pPr>
              <w:spacing w:after="20"/>
            </w:pPr>
            <w:r>
              <w:rPr>
                <w:b/>
                <w:sz w:val="15"/>
              </w:rPr>
              <w:t>MAT-09</w:t>
            </w:r>
          </w:p>
        </w:tc>
        <w:tc>
          <w:tcPr>
            <w:tcW w:type="dxa" w:w="2016"/>
          </w:tcPr>
          <w:p>
            <w:pPr>
              <w:spacing w:after="20"/>
            </w:pPr>
            <w:r>
              <w:rPr>
                <w:sz w:val="15"/>
              </w:rPr>
              <w:t>Enclosure powder coating</w:t>
            </w:r>
          </w:p>
        </w:tc>
        <w:tc>
          <w:tcPr>
            <w:tcW w:type="dxa" w:w="1656"/>
          </w:tcPr>
          <w:p>
            <w:pPr>
              <w:spacing w:after="20"/>
            </w:pPr>
            <w:r>
              <w:rPr>
                <w:sz w:val="15"/>
              </w:rPr>
              <w:t>Powder coating ≤0.2 mm (BP18-1Z reference)</w:t>
            </w:r>
          </w:p>
        </w:tc>
        <w:tc>
          <w:tcPr>
            <w:tcW w:type="dxa" w:w="1224"/>
          </w:tcPr>
          <w:p>
            <w:pPr>
              <w:spacing w:after="20"/>
            </w:pPr>
            <w:r>
              <w:rPr>
                <w:sz w:val="15"/>
              </w:rPr>
              <w:t>Casing supply chain</w:t>
            </w:r>
          </w:p>
        </w:tc>
        <w:tc>
          <w:tcPr>
            <w:tcW w:type="dxa" w:w="1944"/>
          </w:tcPr>
          <w:p>
            <w:pPr>
              <w:spacing w:after="20"/>
            </w:pPr>
            <w:r>
              <w:rPr>
                <w:sz w:val="15"/>
              </w:rPr>
              <w:t>Charge transfer &lt;10 nC; surface capacitance &lt;5 pF</w:t>
            </w:r>
          </w:p>
        </w:tc>
        <w:tc>
          <w:tcPr>
            <w:tcW w:type="dxa" w:w="1152"/>
          </w:tcPr>
          <w:p>
            <w:pPr>
              <w:spacing w:after="20"/>
            </w:pPr>
            <w:r>
              <w:rPr>
                <w:sz w:val="15"/>
              </w:rPr>
              <w:t>Supplier drawing</w:t>
            </w:r>
          </w:p>
        </w:tc>
        <w:tc>
          <w:tcPr>
            <w:tcW w:type="dxa" w:w="720"/>
            <w:shd w:val="clear" w:fill="FFF4D6"/>
          </w:tcPr>
          <w:p>
            <w:pPr>
              <w:spacing w:after="20"/>
            </w:pPr>
            <w:r>
              <w:rPr>
                <w:b/>
                <w:sz w:val="15"/>
              </w:rPr>
              <w:t>Partial</w:t>
            </w:r>
          </w:p>
        </w:tc>
      </w:tr>
      <w:tr>
        <w:trPr>
          <w:cantSplit/>
        </w:trPr>
        <w:tc>
          <w:tcPr>
            <w:tcW w:type="dxa" w:w="792"/>
          </w:tcPr>
          <w:p>
            <w:pPr>
              <w:spacing w:after="20"/>
            </w:pPr>
            <w:r>
              <w:rPr>
                <w:b/>
                <w:sz w:val="15"/>
              </w:rPr>
              <w:t>MAT-10</w:t>
            </w:r>
          </w:p>
        </w:tc>
        <w:tc>
          <w:tcPr>
            <w:tcW w:type="dxa" w:w="2016"/>
          </w:tcPr>
          <w:p>
            <w:pPr>
              <w:spacing w:after="20"/>
            </w:pPr>
            <w:r>
              <w:rPr>
                <w:sz w:val="15"/>
              </w:rPr>
              <w:t>Transparent window (GLD ATEX CASE v3)</w:t>
            </w:r>
          </w:p>
        </w:tc>
        <w:tc>
          <w:tcPr>
            <w:tcW w:type="dxa" w:w="1656"/>
          </w:tcPr>
          <w:p>
            <w:pPr>
              <w:spacing w:after="20"/>
            </w:pPr>
            <w:r>
              <w:rPr>
                <w:sz w:val="15"/>
              </w:rPr>
              <w:t>Glass; type TBC</w:t>
            </w:r>
          </w:p>
        </w:tc>
        <w:tc>
          <w:tcPr>
            <w:tcW w:type="dxa" w:w="1224"/>
          </w:tcPr>
          <w:p>
            <w:pPr>
              <w:spacing w:after="20"/>
            </w:pPr>
            <w:r>
              <w:rPr>
                <w:sz w:val="15"/>
              </w:rPr>
              <w:t>TBC</w:t>
            </w:r>
          </w:p>
        </w:tc>
        <w:tc>
          <w:tcPr>
            <w:tcW w:type="dxa" w:w="1944"/>
          </w:tcPr>
          <w:p>
            <w:pPr>
              <w:spacing w:after="20"/>
            </w:pPr>
            <w:r>
              <w:rPr>
                <w:sz w:val="15"/>
              </w:rPr>
              <w:t>Impact and thermal-shock tests for Ex d windows; temp. rating</w:t>
            </w:r>
          </w:p>
        </w:tc>
        <w:tc>
          <w:tcPr>
            <w:tcW w:type="dxa" w:w="1152"/>
          </w:tcPr>
          <w:p>
            <w:pPr>
              <w:spacing w:after="20"/>
            </w:pPr>
            <w:r>
              <w:rPr>
                <w:sz w:val="15"/>
              </w:rPr>
              <w:t>Drawing M-B7</w:t>
            </w:r>
          </w:p>
        </w:tc>
        <w:tc>
          <w:tcPr>
            <w:tcW w:type="dxa" w:w="720"/>
            <w:shd w:val="clear" w:fill="FBEEE4"/>
          </w:tcPr>
          <w:p>
            <w:pPr>
              <w:spacing w:after="20"/>
            </w:pPr>
            <w:r>
              <w:rPr>
                <w:b/>
                <w:sz w:val="15"/>
              </w:rPr>
              <w:t>Open</w:t>
            </w:r>
          </w:p>
        </w:tc>
      </w:tr>
      <w:tr>
        <w:trPr>
          <w:cantSplit/>
        </w:trPr>
        <w:tc>
          <w:tcPr>
            <w:tcW w:type="dxa" w:w="792"/>
          </w:tcPr>
          <w:p>
            <w:pPr>
              <w:spacing w:after="20"/>
            </w:pPr>
            <w:r>
              <w:rPr>
                <w:b/>
                <w:sz w:val="15"/>
              </w:rPr>
              <w:t>MAT-11</w:t>
            </w:r>
          </w:p>
        </w:tc>
        <w:tc>
          <w:tcPr>
            <w:tcW w:type="dxa" w:w="2016"/>
          </w:tcPr>
          <w:p>
            <w:pPr>
              <w:spacing w:after="20"/>
            </w:pPr>
            <w:r>
              <w:rPr>
                <w:sz w:val="15"/>
              </w:rPr>
              <w:t>Alarm beacon lens / dome</w:t>
            </w:r>
          </w:p>
        </w:tc>
        <w:tc>
          <w:tcPr>
            <w:tcW w:type="dxa" w:w="1656"/>
          </w:tcPr>
          <w:p>
            <w:pPr>
              <w:spacing w:after="20"/>
            </w:pPr>
            <w:r>
              <w:rPr>
                <w:sz w:val="15"/>
              </w:rPr>
              <w:t>TBC</w:t>
            </w:r>
          </w:p>
        </w:tc>
        <w:tc>
          <w:tcPr>
            <w:tcW w:type="dxa" w:w="1224"/>
          </w:tcPr>
          <w:p>
            <w:pPr>
              <w:spacing w:after="20"/>
            </w:pPr>
            <w:r>
              <w:rPr>
                <w:sz w:val="15"/>
              </w:rPr>
              <w:t>TBC</w:t>
            </w:r>
          </w:p>
        </w:tc>
        <w:tc>
          <w:tcPr>
            <w:tcW w:type="dxa" w:w="1944"/>
          </w:tcPr>
          <w:p>
            <w:pPr>
              <w:spacing w:after="20"/>
            </w:pPr>
            <w:r>
              <w:rPr>
                <w:sz w:val="15"/>
              </w:rPr>
              <w:t>UV, impact, electrostatic, flame rating</w:t>
            </w:r>
          </w:p>
        </w:tc>
        <w:tc>
          <w:tcPr>
            <w:tcW w:type="dxa" w:w="1152"/>
          </w:tcPr>
          <w:p>
            <w:pPr>
              <w:spacing w:after="20"/>
            </w:pPr>
            <w:r>
              <w:rPr>
                <w:sz w:val="15"/>
              </w:rPr>
              <w:t>Datasheet</w:t>
            </w:r>
          </w:p>
        </w:tc>
        <w:tc>
          <w:tcPr>
            <w:tcW w:type="dxa" w:w="720"/>
            <w:shd w:val="clear" w:fill="FBEEE4"/>
          </w:tcPr>
          <w:p>
            <w:pPr>
              <w:spacing w:after="20"/>
            </w:pPr>
            <w:r>
              <w:rPr>
                <w:b/>
                <w:sz w:val="15"/>
              </w:rPr>
              <w:t>Open</w:t>
            </w:r>
          </w:p>
        </w:tc>
      </w:tr>
    </w:tbl>
    <w:p>
      <w:pPr>
        <w:spacing w:after="40"/>
      </w:pPr>
    </w:p>
    <w:p>
      <w:pPr>
        <w:pStyle w:val="Heading3"/>
      </w:pPr>
      <w:r>
        <w:t>2.6.d · Manufacturing Process Description</w:t>
      </w:r>
    </w:p>
    <w:p>
      <w:pPr>
        <w:spacing w:after="160"/>
      </w:pPr>
      <w:r>
        <w:rPr>
          <w:b w:val="0"/>
          <w:i w:val="0"/>
          <w:sz w:val="21"/>
        </w:rPr>
        <w:t>A description of manufacturing processes relevant to explosion-protection safety (enclosure machining accuracy control, explosion-proof surface treatment, welding, potting, die-casting, bonding) has not yet been documented.</w:t>
      </w:r>
    </w:p>
    <w:p>
      <w:pPr>
        <w:spacing w:after="200"/>
      </w:pPr>
      <w:r>
        <w:rPr>
          <w:b/>
          <w:color w:val="4A4A4A"/>
          <w:sz w:val="19"/>
        </w:rPr>
        <w:t xml:space="preserve">Status: </w:t>
      </w:r>
      <w:r>
        <w:rPr>
          <w:i/>
          <w:color w:val="4A4A4A"/>
          <w:sz w:val="19"/>
        </w:rPr>
        <w:t>Not yet available — this describes the Manufacturer's (PT Galaksi Megatama Indonesia) process, not an internal electronics process.</w:t>
      </w:r>
    </w:p>
    <w:p>
      <w:pPr>
        <w:pStyle w:val="Heading4"/>
      </w:pPr>
      <w:r>
        <w:t>2.6.d.1 Manufacturing and assembly process control</w:t>
      </w:r>
    </w:p>
    <w:p>
      <w:pPr>
        <w:spacing w:after="100"/>
      </w:pPr>
      <w:r>
        <w:rPr>
          <w:b w:val="0"/>
          <w:i w:val="0"/>
          <w:color w:val="262321"/>
          <w:sz w:val="19"/>
        </w:rPr>
        <w:t>Manufacturing and assembly processes that may affect explosion protection are controlled through approved drawings, work instructions, inspection criteria and production records. The sub-sections below follow the structure of the revision guide; parameters that the enclosure manufacturer has not yet issued are marked TBC rather than assumed.</w:t>
      </w:r>
    </w:p>
    <w:p>
      <w:pPr>
        <w:keepNext/>
        <w:spacing w:after="60"/>
      </w:pPr>
      <w:r>
        <w:rPr>
          <w:b/>
          <w:i w:val="0"/>
          <w:color w:val="1B335F"/>
          <w:sz w:val="21"/>
        </w:rPr>
        <w:t>d.1 Enclosure manufacturing and machining control</w:t>
      </w:r>
    </w:p>
    <w:p>
      <w:pPr>
        <w:spacing w:after="100"/>
      </w:pPr>
      <w:r>
        <w:rPr>
          <w:b w:val="0"/>
          <w:i w:val="0"/>
          <w:color w:val="262321"/>
          <w:sz w:val="19"/>
        </w:rPr>
        <w:t>Body and cover are produced by die casting (ADC12) and machined to controlled drawings. Safety-critical dimensions — threaded joints, wall thickness, sealing surfaces and other flame-path features — are inspected against the specified tolerances before assembly. Inspection method, measuring equipment and acceptance criteria: TBC (enclosure manufacturer). For Ex d, gap, joint length and thread engagement are the controlled characteristics.</w:t>
      </w:r>
    </w:p>
    <w:p>
      <w:pPr>
        <w:keepNext/>
        <w:spacing w:after="60"/>
      </w:pPr>
      <w:r>
        <w:rPr>
          <w:b/>
          <w:i w:val="0"/>
          <w:color w:val="1B335F"/>
          <w:sz w:val="21"/>
        </w:rPr>
        <w:t>d.2 Enclosure surface treatment</w:t>
      </w:r>
    </w:p>
    <w:p>
      <w:pPr>
        <w:spacing w:after="100"/>
      </w:pPr>
      <w:r>
        <w:rPr>
          <w:b w:val="0"/>
          <w:i w:val="0"/>
          <w:color w:val="262321"/>
          <w:sz w:val="19"/>
        </w:rPr>
        <w:t>Powder coating is shown on the BP18-1Z reference (≤0.2 mm, charge transfer &lt;10 nC, surface capacitance &lt;5 pF). Coating of flame-path surfaces is not permitted unless approved. Final treatment for the GLD enclosure: TBC.</w:t>
      </w:r>
    </w:p>
    <w:p>
      <w:pPr>
        <w:keepNext/>
        <w:spacing w:after="60"/>
      </w:pPr>
      <w:r>
        <w:rPr>
          <w:b/>
          <w:i w:val="0"/>
          <w:color w:val="1B335F"/>
          <w:sz w:val="21"/>
        </w:rPr>
        <w:t>d.3 Front stainless-steel mesh assembly</w:t>
      </w:r>
    </w:p>
    <w:p>
      <w:pPr>
        <w:spacing w:after="100"/>
      </w:pPr>
      <w:r>
        <w:rPr>
          <w:b w:val="0"/>
          <w:i w:val="0"/>
          <w:color w:val="262321"/>
          <w:sz w:val="19"/>
        </w:rPr>
        <w:t>The mesh plate is fitted with its locking bracket in the specified orientation (M-E1) and inspected for deformation, damage, contamination or incomplete seating before the cover is accepted. Mesh part number, fastening torque and any adhesive: TBC.</w:t>
      </w:r>
    </w:p>
    <w:p>
      <w:pPr>
        <w:keepNext/>
        <w:spacing w:after="60"/>
      </w:pPr>
      <w:r>
        <w:rPr>
          <w:b/>
          <w:i w:val="0"/>
          <w:color w:val="1B335F"/>
          <w:sz w:val="21"/>
        </w:rPr>
        <w:t>d.4 DC fan installation</w:t>
      </w:r>
    </w:p>
    <w:p>
      <w:pPr>
        <w:spacing w:after="100"/>
      </w:pPr>
      <w:r>
        <w:rPr>
          <w:b w:val="0"/>
          <w:i w:val="0"/>
          <w:color w:val="262321"/>
          <w:sz w:val="19"/>
        </w:rPr>
        <w:t>The DC fan is attached to the enclosure cover behind the stainless-steel mesh plate and its cable connected to J3 (M-E9). Airflow direction, screw type, torque, clearance to the mesh and connector locking are to be defined on the assembly drawing (TBC).</w:t>
      </w:r>
    </w:p>
    <w:p>
      <w:pPr>
        <w:keepNext/>
        <w:spacing w:after="60"/>
      </w:pPr>
      <w:r>
        <w:rPr>
          <w:b/>
          <w:i w:val="0"/>
          <w:color w:val="1B335F"/>
          <w:sz w:val="21"/>
        </w:rPr>
        <w:t>d.5 MQ sensor array installation</w:t>
      </w:r>
    </w:p>
    <w:p>
      <w:pPr>
        <w:spacing w:after="100"/>
      </w:pPr>
      <w:r>
        <w:rPr>
          <w:b w:val="0"/>
          <w:i w:val="0"/>
          <w:color w:val="262321"/>
          <w:sz w:val="19"/>
        </w:rPr>
        <w:t>Eight MQ sensors (MQ-2, MQ-3B, MQ-4, MQ-5, MQ-6, MQ-7B, MQ-8, MQ-135) are mounted on the sensor modules at fixed positions H1–H8. Position/type correspondence is verified visually to prevent interchange; the integrated sensor mesh must be undamaged. Position map: TBC on a controlled drawing.</w:t>
      </w:r>
    </w:p>
    <w:p>
      <w:pPr>
        <w:keepNext/>
        <w:spacing w:after="60"/>
      </w:pPr>
      <w:r>
        <w:rPr>
          <w:b/>
          <w:i w:val="0"/>
          <w:color w:val="1B335F"/>
          <w:sz w:val="21"/>
        </w:rPr>
        <w:t>d.6 PCB assembly and inspection</w:t>
      </w:r>
    </w:p>
    <w:p>
      <w:pPr>
        <w:spacing w:after="100"/>
      </w:pPr>
      <w:r>
        <w:rPr>
          <w:b w:val="0"/>
          <w:i w:val="0"/>
          <w:color w:val="262321"/>
          <w:sz w:val="19"/>
        </w:rPr>
        <w:t>SMT assembly by the PCB assembler from the released design files (EasyEDA/JLCPCB), followed by visual inspection, polarity/orientation check, firmware programming and functional test. PCB revision is recorded for traceability. Assembler name/address and AOI use: TBC.</w:t>
      </w:r>
    </w:p>
    <w:p>
      <w:pPr>
        <w:keepNext/>
        <w:spacing w:after="60"/>
      </w:pPr>
      <w:r>
        <w:rPr>
          <w:b/>
          <w:i w:val="0"/>
          <w:color w:val="1B335F"/>
          <w:sz w:val="21"/>
        </w:rPr>
        <w:t>d.7 Cable entry and terminal assembly</w:t>
      </w:r>
    </w:p>
    <w:p>
      <w:pPr>
        <w:spacing w:after="100"/>
      </w:pPr>
      <w:r>
        <w:rPr>
          <w:b w:val="0"/>
          <w:i w:val="0"/>
          <w:color w:val="262321"/>
          <w:sz w:val="19"/>
        </w:rPr>
        <w:t>Only the approved gland/adaptor for the M20×1.5 entry is used; thread verification, sealing ring, cable size, tightening torque and treatment of unused entries (approved blanking plug) are checked. The 24 VDC supply is connected to J1 pins 6 (24V+) and 5 (24V−). Torque values: TBC.</w:t>
      </w:r>
    </w:p>
    <w:p>
      <w:pPr>
        <w:keepNext/>
        <w:spacing w:after="60"/>
      </w:pPr>
      <w:r>
        <w:rPr>
          <w:b/>
          <w:i w:val="0"/>
          <w:color w:val="1B335F"/>
          <w:sz w:val="21"/>
        </w:rPr>
        <w:t>d.8 Grounding and bonding assembly</w:t>
      </w:r>
    </w:p>
    <w:p>
      <w:pPr>
        <w:spacing w:after="100"/>
      </w:pPr>
      <w:r>
        <w:rPr>
          <w:b w:val="0"/>
          <w:i w:val="0"/>
          <w:color w:val="262321"/>
          <w:sz w:val="19"/>
        </w:rPr>
        <w:t>External grounding stud with washer–lug–nut sequence; continuity between stud and all conductive enclosure parts is tested before release. Stud size, torque and continuity acceptance limit: TBC.</w:t>
      </w:r>
    </w:p>
    <w:p>
      <w:pPr>
        <w:keepNext/>
        <w:spacing w:after="60"/>
      </w:pPr>
      <w:r>
        <w:rPr>
          <w:b/>
          <w:i w:val="0"/>
          <w:color w:val="1B335F"/>
          <w:sz w:val="21"/>
        </w:rPr>
        <w:t>d.9 Gasket and sealing installation</w:t>
      </w:r>
    </w:p>
    <w:p>
      <w:pPr>
        <w:spacing w:after="100"/>
      </w:pPr>
      <w:r>
        <w:rPr>
          <w:b w:val="0"/>
          <w:i w:val="0"/>
          <w:color w:val="262321"/>
          <w:sz w:val="19"/>
        </w:rPr>
        <w:t>Correct gasket part, orientation, clean and undamaged sealing surfaces, no twisting; replacement whenever damaged or after a defined number of openings (TBC).</w:t>
      </w:r>
    </w:p>
    <w:p>
      <w:pPr>
        <w:keepNext/>
        <w:spacing w:after="60"/>
      </w:pPr>
      <w:r>
        <w:rPr>
          <w:b/>
          <w:i w:val="0"/>
          <w:color w:val="1B335F"/>
          <w:sz w:val="21"/>
        </w:rPr>
        <w:t>d.10 Final enclosure closure</w:t>
      </w:r>
    </w:p>
    <w:p>
      <w:pPr>
        <w:spacing w:after="100"/>
      </w:pPr>
      <w:r>
        <w:rPr>
          <w:b w:val="0"/>
          <w:i w:val="0"/>
          <w:color w:val="262321"/>
          <w:sz w:val="19"/>
        </w:rPr>
        <w:t>Clean mating/threaded surfaces, close the cover by turning clockwise to full engagement, apply the locking feature and inspect after closure. Minimum thread engagement and final torque: TBC.</w:t>
      </w:r>
    </w:p>
    <w:p>
      <w:pPr>
        <w:keepNext/>
        <w:spacing w:after="60"/>
      </w:pPr>
      <w:r>
        <w:rPr>
          <w:b/>
          <w:i w:val="0"/>
          <w:color w:val="1B335F"/>
          <w:sz w:val="21"/>
        </w:rPr>
        <w:t>d.11 Firmware and configuration control</w:t>
      </w:r>
    </w:p>
    <w:p>
      <w:pPr>
        <w:spacing w:after="100"/>
      </w:pPr>
      <w:r>
        <w:rPr>
          <w:b w:val="0"/>
          <w:i w:val="0"/>
          <w:color w:val="262321"/>
          <w:sz w:val="19"/>
        </w:rPr>
        <w:t>Each unit is programmed with the approved firmware version, AI model version (three classes: clean air, LPG, H2), configuration file, alarm thresholds and LoRa settings. Programming is verified and recorded against the serial number. Changes require controlled approval and a rollback path.</w:t>
      </w:r>
    </w:p>
    <w:p>
      <w:pPr>
        <w:keepNext/>
        <w:spacing w:after="60"/>
      </w:pPr>
      <w:r>
        <w:rPr>
          <w:b/>
          <w:i w:val="0"/>
          <w:color w:val="1B335F"/>
          <w:sz w:val="21"/>
        </w:rPr>
        <w:t>d.12 Final inspection and routine test</w:t>
      </w:r>
    </w:p>
    <w:p>
      <w:pPr>
        <w:spacing w:after="100"/>
      </w:pPr>
      <w:r>
        <w:rPr>
          <w:b w:val="0"/>
          <w:i w:val="0"/>
          <w:color w:val="262321"/>
          <w:sz w:val="19"/>
        </w:rPr>
        <w:t>Visual inspection; enclosure integrity; mesh condition; fan operation; 8/8 sensor detection; power consumption at 24 VDC (≤8 W); alarm test; LoRa communication; grounding continuity; IP/leak check if required as a routine test; serial number and documentation check. Ex d routine overpressure test, if required by the certificate: TBC.</w:t>
      </w:r>
    </w:p>
    <w:p>
      <w:pPr>
        <w:keepNext/>
        <w:spacing w:after="60"/>
      </w:pPr>
      <w:r>
        <w:rPr>
          <w:b/>
          <w:i w:val="0"/>
          <w:color w:val="1B335F"/>
          <w:sz w:val="21"/>
        </w:rPr>
        <w:t>d.13 Applicability of special processes</w:t>
      </w:r>
    </w:p>
    <w:tbl>
      <w:tblPr>
        <w:tblStyle w:val="TableGrid"/>
        <w:tblW w:type="auto" w:w="0"/>
        <w:jc w:val="center"/>
        <w:tblLayout w:type="fixed"/>
        <w:tblLook w:firstColumn="1" w:firstRow="1" w:lastColumn="0" w:lastRow="0" w:noHBand="0" w:noVBand="1" w:val="04A0"/>
        <w:tblLayout w:type="fixed"/>
      </w:tblPr>
      <w:tblGrid>
        <w:gridCol w:w="3168"/>
        <w:gridCol w:w="6336"/>
      </w:tblGrid>
      <w:tr>
        <w:trPr>
          <w:tblHeader w:val="true"/>
        </w:trPr>
        <w:tc>
          <w:tcPr>
            <w:tcW w:type="dxa" w:w="3168"/>
            <w:shd w:val="clear" w:fill="EAEFF9"/>
          </w:tcPr>
          <w:p>
            <w:pPr>
              <w:spacing w:after="20"/>
            </w:pPr>
            <w:r>
              <w:rPr>
                <w:b/>
                <w:color w:val="1B335F"/>
                <w:sz w:val="17"/>
              </w:rPr>
              <w:t>Process</w:t>
            </w:r>
          </w:p>
        </w:tc>
        <w:tc>
          <w:tcPr>
            <w:tcW w:type="dxa" w:w="6336"/>
            <w:shd w:val="clear" w:fill="EAEFF9"/>
          </w:tcPr>
          <w:p>
            <w:pPr>
              <w:spacing w:after="20"/>
            </w:pPr>
            <w:r>
              <w:rPr>
                <w:b/>
                <w:color w:val="1B335F"/>
                <w:sz w:val="17"/>
              </w:rPr>
              <w:t>Applicability</w:t>
            </w:r>
          </w:p>
        </w:tc>
      </w:tr>
      <w:tr>
        <w:trPr>
          <w:cantSplit/>
        </w:trPr>
        <w:tc>
          <w:tcPr>
            <w:tcW w:type="dxa" w:w="3168"/>
          </w:tcPr>
          <w:p>
            <w:pPr>
              <w:spacing w:after="20"/>
            </w:pPr>
            <w:r>
              <w:rPr>
                <w:b/>
                <w:sz w:val="17"/>
              </w:rPr>
              <w:t>Die casting</w:t>
            </w:r>
          </w:p>
        </w:tc>
        <w:tc>
          <w:tcPr>
            <w:tcW w:type="dxa" w:w="6336"/>
          </w:tcPr>
          <w:p>
            <w:pPr>
              <w:spacing w:after="20"/>
            </w:pPr>
            <w:r>
              <w:rPr>
                <w:sz w:val="17"/>
              </w:rPr>
              <w:t>Applicable — enclosure in ADC12 die-cast aluminium</w:t>
            </w:r>
          </w:p>
        </w:tc>
      </w:tr>
      <w:tr>
        <w:trPr>
          <w:cantSplit/>
        </w:trPr>
        <w:tc>
          <w:tcPr>
            <w:tcW w:type="dxa" w:w="3168"/>
          </w:tcPr>
          <w:p>
            <w:pPr>
              <w:spacing w:after="20"/>
            </w:pPr>
            <w:r>
              <w:rPr>
                <w:b/>
                <w:sz w:val="17"/>
              </w:rPr>
              <w:t>Machining of flame-path surfaces</w:t>
            </w:r>
          </w:p>
        </w:tc>
        <w:tc>
          <w:tcPr>
            <w:tcW w:type="dxa" w:w="6336"/>
          </w:tcPr>
          <w:p>
            <w:pPr>
              <w:spacing w:after="20"/>
            </w:pPr>
            <w:r>
              <w:rPr>
                <w:sz w:val="17"/>
              </w:rPr>
              <w:t>Applicable for Ex d (final concept to be confirmed)</w:t>
            </w:r>
          </w:p>
        </w:tc>
      </w:tr>
      <w:tr>
        <w:trPr>
          <w:cantSplit/>
        </w:trPr>
        <w:tc>
          <w:tcPr>
            <w:tcW w:type="dxa" w:w="3168"/>
          </w:tcPr>
          <w:p>
            <w:pPr>
              <w:spacing w:after="20"/>
            </w:pPr>
            <w:r>
              <w:rPr>
                <w:b/>
                <w:sz w:val="17"/>
              </w:rPr>
              <w:t>Welding</w:t>
            </w:r>
          </w:p>
        </w:tc>
        <w:tc>
          <w:tcPr>
            <w:tcW w:type="dxa" w:w="6336"/>
          </w:tcPr>
          <w:p>
            <w:pPr>
              <w:spacing w:after="20"/>
            </w:pPr>
            <w:r>
              <w:rPr>
                <w:sz w:val="17"/>
              </w:rPr>
              <w:t>Not used in the current design (to be confirmed by the enclosure manufacturer)</w:t>
            </w:r>
          </w:p>
        </w:tc>
      </w:tr>
      <w:tr>
        <w:trPr>
          <w:cantSplit/>
        </w:trPr>
        <w:tc>
          <w:tcPr>
            <w:tcW w:type="dxa" w:w="3168"/>
          </w:tcPr>
          <w:p>
            <w:pPr>
              <w:spacing w:after="20"/>
            </w:pPr>
            <w:r>
              <w:rPr>
                <w:b/>
                <w:sz w:val="17"/>
              </w:rPr>
              <w:t>Potting</w:t>
            </w:r>
          </w:p>
        </w:tc>
        <w:tc>
          <w:tcPr>
            <w:tcW w:type="dxa" w:w="6336"/>
          </w:tcPr>
          <w:p>
            <w:pPr>
              <w:spacing w:after="20"/>
            </w:pPr>
            <w:r>
              <w:rPr>
                <w:sz w:val="17"/>
              </w:rPr>
              <w:t>Not used (to be confirmed)</w:t>
            </w:r>
          </w:p>
        </w:tc>
      </w:tr>
      <w:tr>
        <w:trPr>
          <w:cantSplit/>
        </w:trPr>
        <w:tc>
          <w:tcPr>
            <w:tcW w:type="dxa" w:w="3168"/>
          </w:tcPr>
          <w:p>
            <w:pPr>
              <w:spacing w:after="20"/>
            </w:pPr>
            <w:r>
              <w:rPr>
                <w:b/>
                <w:sz w:val="17"/>
              </w:rPr>
              <w:t>Bonding adhesive</w:t>
            </w:r>
          </w:p>
        </w:tc>
        <w:tc>
          <w:tcPr>
            <w:tcW w:type="dxa" w:w="6336"/>
          </w:tcPr>
          <w:p>
            <w:pPr>
              <w:spacing w:after="20"/>
            </w:pPr>
            <w:r>
              <w:rPr>
                <w:sz w:val="17"/>
              </w:rPr>
              <w:t>Not used unless specified for mesh or seal (TBC)</w:t>
            </w:r>
          </w:p>
        </w:tc>
      </w:tr>
      <w:tr>
        <w:trPr>
          <w:cantSplit/>
        </w:trPr>
        <w:tc>
          <w:tcPr>
            <w:tcW w:type="dxa" w:w="3168"/>
          </w:tcPr>
          <w:p>
            <w:pPr>
              <w:spacing w:after="20"/>
            </w:pPr>
            <w:r>
              <w:rPr>
                <w:b/>
                <w:sz w:val="17"/>
              </w:rPr>
              <w:t>Surface treatment (powder coating)</w:t>
            </w:r>
          </w:p>
        </w:tc>
        <w:tc>
          <w:tcPr>
            <w:tcW w:type="dxa" w:w="6336"/>
          </w:tcPr>
          <w:p>
            <w:pPr>
              <w:spacing w:after="20"/>
            </w:pPr>
            <w:r>
              <w:rPr>
                <w:sz w:val="17"/>
              </w:rPr>
              <w:t>Applicable — parameters per enclosure manufacturer (TBC)</w:t>
            </w:r>
          </w:p>
        </w:tc>
      </w:tr>
    </w:tbl>
    <w:p>
      <w:pPr>
        <w:spacing w:after="40"/>
      </w:pPr>
    </w:p>
    <w:p>
      <w:pPr>
        <w:pStyle w:val="Heading3"/>
      </w:pPr>
      <w:r>
        <w:t>2.6.e · Explosion-Protection Calculations and Explanations (if applicable)</w:t>
      </w:r>
    </w:p>
    <w:p>
      <w:pPr>
        <w:spacing w:after="160"/>
      </w:pPr>
      <w:r>
        <w:rPr>
          <w:b w:val="0"/>
          <w:i w:val="0"/>
          <w:sz w:val="21"/>
        </w:rPr>
        <w:t>Flame-path (joint gap, length) and free-internal-volume calculations specific to Ex d (Section 2.5, team recommendation) have not yet been performed, pending final enclosure geometry and ExCB confirmation.</w:t>
      </w:r>
    </w:p>
    <w:p>
      <w:pPr>
        <w:spacing w:after="200"/>
      </w:pPr>
      <w:r>
        <w:rPr>
          <w:b/>
          <w:color w:val="4A4A4A"/>
          <w:sz w:val="19"/>
        </w:rPr>
        <w:t xml:space="preserve">Status: </w:t>
      </w:r>
      <w:r>
        <w:rPr>
          <w:i/>
          <w:color w:val="4A4A4A"/>
          <w:sz w:val="19"/>
        </w:rPr>
        <w:t>Not yet available — pending ExCB confirmation of the Ex d protection concept and final enclosure design.</w:t>
      </w:r>
    </w:p>
    <w:p>
      <w:pPr>
        <w:pStyle w:val="Heading4"/>
      </w:pPr>
      <w:r>
        <w:t>2.6.e.1 Gas access path and internal arrangement</w:t>
      </w:r>
    </w:p>
    <w:p>
      <w:pPr>
        <w:spacing w:after="100"/>
      </w:pPr>
      <w:r>
        <w:rPr>
          <w:b w:val="0"/>
          <w:i w:val="0"/>
          <w:color w:val="262321"/>
          <w:sz w:val="19"/>
        </w:rPr>
        <w:t>Ambient gas enters through the stainless-steel mesh at the front of the enclosure. During the sampling cycle the internal DC fan draws gas through this mesh into the sensing chamber, where the eight MQ sensors are installed. Each MQ sensor has its own stainless-steel protective mesh around the sensing element, so the sampled gas passes two successive mesh structures before reaching the sensing element.</w:t>
      </w:r>
    </w:p>
    <w:p>
      <w:pPr>
        <w:keepNext/>
        <w:spacing w:after="60"/>
      </w:pPr>
      <w:r>
        <w:rPr>
          <w:b/>
          <w:i w:val="0"/>
          <w:color w:val="1B335F"/>
          <w:sz w:val="21"/>
        </w:rPr>
        <w:t>2.6.e.2 Identification and assessment of potential ignition sources</w:t>
      </w:r>
    </w:p>
    <w:tbl>
      <w:tblPr>
        <w:tblStyle w:val="TableGrid"/>
        <w:tblW w:type="auto" w:w="0"/>
        <w:jc w:val="center"/>
        <w:tblLayout w:type="fixed"/>
        <w:tblLook w:firstColumn="1" w:firstRow="1" w:lastColumn="0" w:lastRow="0" w:noHBand="0" w:noVBand="1" w:val="04A0"/>
        <w:tblLayout w:type="fixed"/>
      </w:tblPr>
      <w:tblGrid>
        <w:gridCol w:w="648"/>
        <w:gridCol w:w="1655"/>
        <w:gridCol w:w="1440"/>
        <w:gridCol w:w="1800"/>
        <w:gridCol w:w="3096"/>
        <w:gridCol w:w="864"/>
      </w:tblGrid>
      <w:tr>
        <w:trPr>
          <w:tblHeader w:val="true"/>
        </w:trPr>
        <w:tc>
          <w:tcPr>
            <w:tcW w:type="dxa" w:w="648"/>
            <w:shd w:val="clear" w:fill="EAEFF9"/>
          </w:tcPr>
          <w:p>
            <w:pPr>
              <w:spacing w:after="20"/>
            </w:pPr>
            <w:r>
              <w:rPr>
                <w:b/>
                <w:color w:val="1B335F"/>
                <w:sz w:val="15"/>
              </w:rPr>
              <w:t>Ref.</w:t>
            </w:r>
          </w:p>
        </w:tc>
        <w:tc>
          <w:tcPr>
            <w:tcW w:type="dxa" w:w="1656"/>
            <w:shd w:val="clear" w:fill="EAEFF9"/>
          </w:tcPr>
          <w:p>
            <w:pPr>
              <w:spacing w:after="20"/>
            </w:pPr>
            <w:r>
              <w:rPr>
                <w:b/>
                <w:color w:val="1B335F"/>
                <w:sz w:val="15"/>
              </w:rPr>
              <w:t>Potential ignition source</w:t>
            </w:r>
          </w:p>
        </w:tc>
        <w:tc>
          <w:tcPr>
            <w:tcW w:type="dxa" w:w="1440"/>
            <w:shd w:val="clear" w:fill="EAEFF9"/>
          </w:tcPr>
          <w:p>
            <w:pPr>
              <w:spacing w:after="20"/>
            </w:pPr>
            <w:r>
              <w:rPr>
                <w:b/>
                <w:color w:val="1B335F"/>
                <w:sz w:val="15"/>
              </w:rPr>
              <w:t>Mechanism</w:t>
            </w:r>
          </w:p>
        </w:tc>
        <w:tc>
          <w:tcPr>
            <w:tcW w:type="dxa" w:w="1800"/>
            <w:shd w:val="clear" w:fill="EAEFF9"/>
          </w:tcPr>
          <w:p>
            <w:pPr>
              <w:spacing w:after="20"/>
            </w:pPr>
            <w:r>
              <w:rPr>
                <w:b/>
                <w:color w:val="1B335F"/>
                <w:sz w:val="15"/>
              </w:rPr>
              <w:t>Exposure / existing feature</w:t>
            </w:r>
          </w:p>
        </w:tc>
        <w:tc>
          <w:tcPr>
            <w:tcW w:type="dxa" w:w="3096"/>
            <w:shd w:val="clear" w:fill="EAEFF9"/>
          </w:tcPr>
          <w:p>
            <w:pPr>
              <w:spacing w:after="20"/>
            </w:pPr>
            <w:r>
              <w:rPr>
                <w:b/>
                <w:color w:val="1B335F"/>
                <w:sz w:val="15"/>
              </w:rPr>
              <w:t>Assessment required</w:t>
            </w:r>
          </w:p>
        </w:tc>
        <w:tc>
          <w:tcPr>
            <w:tcW w:type="dxa" w:w="864"/>
            <w:shd w:val="clear" w:fill="EAEFF9"/>
          </w:tcPr>
          <w:p>
            <w:pPr>
              <w:spacing w:after="20"/>
            </w:pPr>
            <w:r>
              <w:rPr>
                <w:b/>
                <w:color w:val="1B335F"/>
                <w:sz w:val="15"/>
              </w:rPr>
              <w:t>Status</w:t>
            </w:r>
          </w:p>
        </w:tc>
      </w:tr>
      <w:tr>
        <w:trPr>
          <w:cantSplit/>
        </w:trPr>
        <w:tc>
          <w:tcPr>
            <w:tcW w:type="dxa" w:w="648"/>
          </w:tcPr>
          <w:p>
            <w:pPr>
              <w:spacing w:after="20"/>
            </w:pPr>
            <w:r>
              <w:rPr>
                <w:b/>
                <w:sz w:val="15"/>
              </w:rPr>
              <w:t>IS-01</w:t>
            </w:r>
          </w:p>
        </w:tc>
        <w:tc>
          <w:tcPr>
            <w:tcW w:type="dxa" w:w="1656"/>
          </w:tcPr>
          <w:p>
            <w:pPr>
              <w:spacing w:after="20"/>
            </w:pPr>
            <w:r>
              <w:rPr>
                <w:sz w:val="15"/>
              </w:rPr>
              <w:t>MQ sensor internal heater</w:t>
            </w:r>
          </w:p>
        </w:tc>
        <w:tc>
          <w:tcPr>
            <w:tcW w:type="dxa" w:w="1440"/>
          </w:tcPr>
          <w:p>
            <w:pPr>
              <w:spacing w:after="20"/>
            </w:pPr>
            <w:r>
              <w:rPr>
                <w:sz w:val="15"/>
              </w:rPr>
              <w:t>Hot surface</w:t>
            </w:r>
          </w:p>
        </w:tc>
        <w:tc>
          <w:tcPr>
            <w:tcW w:type="dxa" w:w="1800"/>
          </w:tcPr>
          <w:p>
            <w:pPr>
              <w:spacing w:after="20"/>
            </w:pPr>
            <w:r>
              <w:rPr>
                <w:sz w:val="15"/>
              </w:rPr>
              <w:t>Two meshes between atmosphere and element</w:t>
            </w:r>
          </w:p>
        </w:tc>
        <w:tc>
          <w:tcPr>
            <w:tcW w:type="dxa" w:w="3096"/>
          </w:tcPr>
          <w:p>
            <w:pPr>
              <w:spacing w:after="20"/>
            </w:pPr>
            <w:r>
              <w:rPr>
                <w:sz w:val="15"/>
              </w:rPr>
              <w:t>Measured sensor-body surface ≤78.4 °C (fan stalled, 24.8 °C ambient); confirm heater construction and any flame-arresting function from manufacturer data</w:t>
            </w:r>
          </w:p>
        </w:tc>
        <w:tc>
          <w:tcPr>
            <w:tcW w:type="dxa" w:w="864"/>
            <w:shd w:val="clear" w:fill="FBEEE4"/>
          </w:tcPr>
          <w:p>
            <w:pPr>
              <w:spacing w:after="20"/>
            </w:pPr>
            <w:r>
              <w:rPr>
                <w:b/>
                <w:sz w:val="15"/>
              </w:rPr>
              <w:t>Open</w:t>
            </w:r>
          </w:p>
        </w:tc>
      </w:tr>
      <w:tr>
        <w:trPr>
          <w:cantSplit/>
        </w:trPr>
        <w:tc>
          <w:tcPr>
            <w:tcW w:type="dxa" w:w="648"/>
          </w:tcPr>
          <w:p>
            <w:pPr>
              <w:spacing w:after="20"/>
            </w:pPr>
            <w:r>
              <w:rPr>
                <w:b/>
                <w:sz w:val="15"/>
              </w:rPr>
              <w:t>IS-02</w:t>
            </w:r>
          </w:p>
        </w:tc>
        <w:tc>
          <w:tcPr>
            <w:tcW w:type="dxa" w:w="1656"/>
          </w:tcPr>
          <w:p>
            <w:pPr>
              <w:spacing w:after="20"/>
            </w:pPr>
            <w:r>
              <w:rPr>
                <w:sz w:val="15"/>
              </w:rPr>
              <w:t>DC sampling fan</w:t>
            </w:r>
          </w:p>
        </w:tc>
        <w:tc>
          <w:tcPr>
            <w:tcW w:type="dxa" w:w="1440"/>
          </w:tcPr>
          <w:p>
            <w:pPr>
              <w:spacing w:after="20"/>
            </w:pPr>
            <w:r>
              <w:rPr>
                <w:sz w:val="15"/>
              </w:rPr>
              <w:t>Winding heating, commutation, stalled rotor</w:t>
            </w:r>
          </w:p>
        </w:tc>
        <w:tc>
          <w:tcPr>
            <w:tcW w:type="dxa" w:w="1800"/>
          </w:tcPr>
          <w:p>
            <w:pPr>
              <w:spacing w:after="20"/>
            </w:pPr>
            <w:r>
              <w:rPr>
                <w:sz w:val="15"/>
              </w:rPr>
              <w:t>Front mesh upstream of fan</w:t>
            </w:r>
          </w:p>
        </w:tc>
        <w:tc>
          <w:tcPr>
            <w:tcW w:type="dxa" w:w="3096"/>
          </w:tcPr>
          <w:p>
            <w:pPr>
              <w:spacing w:after="20"/>
            </w:pPr>
            <w:r>
              <w:rPr>
                <w:sz w:val="15"/>
              </w:rPr>
              <w:t>Fan CIXIKEJI CX5010B5H, 5 V 0.23 A; body measured 36.3 °C; confirm locked-rotor behaviour</w:t>
            </w:r>
          </w:p>
        </w:tc>
        <w:tc>
          <w:tcPr>
            <w:tcW w:type="dxa" w:w="864"/>
            <w:shd w:val="clear" w:fill="FBEEE4"/>
          </w:tcPr>
          <w:p>
            <w:pPr>
              <w:spacing w:after="20"/>
            </w:pPr>
            <w:r>
              <w:rPr>
                <w:b/>
                <w:sz w:val="15"/>
              </w:rPr>
              <w:t>Open</w:t>
            </w:r>
          </w:p>
        </w:tc>
      </w:tr>
      <w:tr>
        <w:trPr>
          <w:cantSplit/>
        </w:trPr>
        <w:tc>
          <w:tcPr>
            <w:tcW w:type="dxa" w:w="648"/>
          </w:tcPr>
          <w:p>
            <w:pPr>
              <w:spacing w:after="20"/>
            </w:pPr>
            <w:r>
              <w:rPr>
                <w:b/>
                <w:sz w:val="15"/>
              </w:rPr>
              <w:t>IS-03</w:t>
            </w:r>
          </w:p>
        </w:tc>
        <w:tc>
          <w:tcPr>
            <w:tcW w:type="dxa" w:w="1656"/>
          </w:tcPr>
          <w:p>
            <w:pPr>
              <w:spacing w:after="20"/>
            </w:pPr>
            <w:r>
              <w:rPr>
                <w:sz w:val="15"/>
              </w:rPr>
              <w:t>Main PCB</w:t>
            </w:r>
          </w:p>
        </w:tc>
        <w:tc>
          <w:tcPr>
            <w:tcW w:type="dxa" w:w="1440"/>
          </w:tcPr>
          <w:p>
            <w:pPr>
              <w:spacing w:after="20"/>
            </w:pPr>
            <w:r>
              <w:rPr>
                <w:sz w:val="15"/>
              </w:rPr>
              <w:t>Arc/spark, component failure, overheating</w:t>
            </w:r>
          </w:p>
        </w:tc>
        <w:tc>
          <w:tcPr>
            <w:tcW w:type="dxa" w:w="1800"/>
          </w:tcPr>
          <w:p>
            <w:pPr>
              <w:spacing w:after="20"/>
            </w:pPr>
            <w:r>
              <w:rPr>
                <w:sz w:val="15"/>
              </w:rPr>
              <w:t>Gas accessibility of PCB volume TBC</w:t>
            </w:r>
          </w:p>
        </w:tc>
        <w:tc>
          <w:tcPr>
            <w:tcW w:type="dxa" w:w="3096"/>
          </w:tcPr>
          <w:p>
            <w:pPr>
              <w:spacing w:after="20"/>
            </w:pPr>
            <w:r>
              <w:rPr>
                <w:sz w:val="15"/>
              </w:rPr>
              <w:t>Confirm whether the PCB volume is separated from the sensing chamber (see e.3.2)</w:t>
            </w:r>
          </w:p>
        </w:tc>
        <w:tc>
          <w:tcPr>
            <w:tcW w:type="dxa" w:w="864"/>
            <w:shd w:val="clear" w:fill="FBEEE4"/>
          </w:tcPr>
          <w:p>
            <w:pPr>
              <w:spacing w:after="20"/>
            </w:pPr>
            <w:r>
              <w:rPr>
                <w:b/>
                <w:sz w:val="15"/>
              </w:rPr>
              <w:t>Open</w:t>
            </w:r>
          </w:p>
        </w:tc>
      </w:tr>
      <w:tr>
        <w:trPr>
          <w:cantSplit/>
        </w:trPr>
        <w:tc>
          <w:tcPr>
            <w:tcW w:type="dxa" w:w="648"/>
          </w:tcPr>
          <w:p>
            <w:pPr>
              <w:spacing w:after="20"/>
            </w:pPr>
            <w:r>
              <w:rPr>
                <w:b/>
                <w:sz w:val="15"/>
              </w:rPr>
              <w:t>IS-04</w:t>
            </w:r>
          </w:p>
        </w:tc>
        <w:tc>
          <w:tcPr>
            <w:tcW w:type="dxa" w:w="1656"/>
          </w:tcPr>
          <w:p>
            <w:pPr>
              <w:spacing w:after="20"/>
            </w:pPr>
            <w:r>
              <w:rPr>
                <w:sz w:val="15"/>
              </w:rPr>
              <w:t>DC/DC converters</w:t>
            </w:r>
          </w:p>
        </w:tc>
        <w:tc>
          <w:tcPr>
            <w:tcW w:type="dxa" w:w="1440"/>
          </w:tcPr>
          <w:p>
            <w:pPr>
              <w:spacing w:after="20"/>
            </w:pPr>
            <w:r>
              <w:rPr>
                <w:sz w:val="15"/>
              </w:rPr>
              <w:t>Semiconductor / inductor heating, switching fault</w:t>
            </w:r>
          </w:p>
        </w:tc>
        <w:tc>
          <w:tcPr>
            <w:tcW w:type="dxa" w:w="1800"/>
          </w:tcPr>
          <w:p>
            <w:pPr>
              <w:spacing w:after="20"/>
            </w:pPr>
            <w:r>
              <w:rPr>
                <w:sz w:val="15"/>
              </w:rPr>
              <w:t>Depends on IS-03</w:t>
            </w:r>
          </w:p>
        </w:tc>
        <w:tc>
          <w:tcPr>
            <w:tcW w:type="dxa" w:w="3096"/>
          </w:tcPr>
          <w:p>
            <w:pPr>
              <w:spacing w:after="20"/>
            </w:pPr>
            <w:r>
              <w:rPr>
                <w:sz w:val="15"/>
              </w:rPr>
              <w:t>PTC, TVS and MOSFET input stage present; converter temperatures not yet measured</w:t>
            </w:r>
          </w:p>
        </w:tc>
        <w:tc>
          <w:tcPr>
            <w:tcW w:type="dxa" w:w="864"/>
            <w:shd w:val="clear" w:fill="FBEEE4"/>
          </w:tcPr>
          <w:p>
            <w:pPr>
              <w:spacing w:after="20"/>
            </w:pPr>
            <w:r>
              <w:rPr>
                <w:b/>
                <w:sz w:val="15"/>
              </w:rPr>
              <w:t>Open</w:t>
            </w:r>
          </w:p>
        </w:tc>
      </w:tr>
      <w:tr>
        <w:trPr>
          <w:cantSplit/>
        </w:trPr>
        <w:tc>
          <w:tcPr>
            <w:tcW w:type="dxa" w:w="648"/>
          </w:tcPr>
          <w:p>
            <w:pPr>
              <w:spacing w:after="20"/>
            </w:pPr>
            <w:r>
              <w:rPr>
                <w:b/>
                <w:sz w:val="15"/>
              </w:rPr>
              <w:t>IS-05</w:t>
            </w:r>
          </w:p>
        </w:tc>
        <w:tc>
          <w:tcPr>
            <w:tcW w:type="dxa" w:w="1656"/>
          </w:tcPr>
          <w:p>
            <w:pPr>
              <w:spacing w:after="20"/>
            </w:pPr>
            <w:r>
              <w:rPr>
                <w:sz w:val="15"/>
              </w:rPr>
              <w:t>24 VDC terminals and connectors</w:t>
            </w:r>
          </w:p>
        </w:tc>
        <w:tc>
          <w:tcPr>
            <w:tcW w:type="dxa" w:w="1440"/>
          </w:tcPr>
          <w:p>
            <w:pPr>
              <w:spacing w:after="20"/>
            </w:pPr>
            <w:r>
              <w:rPr>
                <w:sz w:val="15"/>
              </w:rPr>
              <w:t>Make/break spark, loose-contact heating</w:t>
            </w:r>
          </w:p>
        </w:tc>
        <w:tc>
          <w:tcPr>
            <w:tcW w:type="dxa" w:w="1800"/>
          </w:tcPr>
          <w:p>
            <w:pPr>
              <w:spacing w:after="20"/>
            </w:pPr>
            <w:r>
              <w:rPr>
                <w:sz w:val="15"/>
              </w:rPr>
              <w:t>Depends on IS-03</w:t>
            </w:r>
          </w:p>
        </w:tc>
        <w:tc>
          <w:tcPr>
            <w:tcW w:type="dxa" w:w="3096"/>
          </w:tcPr>
          <w:p>
            <w:pPr>
              <w:spacing w:after="20"/>
            </w:pPr>
            <w:r>
              <w:rPr>
                <w:sz w:val="15"/>
              </w:rPr>
              <w:t>Confirm terminal location, rating, torque, creepage/clearance</w:t>
            </w:r>
          </w:p>
        </w:tc>
        <w:tc>
          <w:tcPr>
            <w:tcW w:type="dxa" w:w="864"/>
            <w:shd w:val="clear" w:fill="FBEEE4"/>
          </w:tcPr>
          <w:p>
            <w:pPr>
              <w:spacing w:after="20"/>
            </w:pPr>
            <w:r>
              <w:rPr>
                <w:b/>
                <w:sz w:val="15"/>
              </w:rPr>
              <w:t>Open</w:t>
            </w:r>
          </w:p>
        </w:tc>
      </w:tr>
      <w:tr>
        <w:trPr>
          <w:cantSplit/>
        </w:trPr>
        <w:tc>
          <w:tcPr>
            <w:tcW w:type="dxa" w:w="648"/>
          </w:tcPr>
          <w:p>
            <w:pPr>
              <w:spacing w:after="20"/>
            </w:pPr>
            <w:r>
              <w:rPr>
                <w:b/>
                <w:sz w:val="15"/>
              </w:rPr>
              <w:t>IS-06</w:t>
            </w:r>
          </w:p>
        </w:tc>
        <w:tc>
          <w:tcPr>
            <w:tcW w:type="dxa" w:w="1656"/>
          </w:tcPr>
          <w:p>
            <w:pPr>
              <w:spacing w:after="20"/>
            </w:pPr>
            <w:r>
              <w:rPr>
                <w:sz w:val="15"/>
              </w:rPr>
              <w:t>LED / audible alarm module</w:t>
            </w:r>
          </w:p>
        </w:tc>
        <w:tc>
          <w:tcPr>
            <w:tcW w:type="dxa" w:w="1440"/>
          </w:tcPr>
          <w:p>
            <w:pPr>
              <w:spacing w:after="20"/>
            </w:pPr>
            <w:r>
              <w:rPr>
                <w:sz w:val="15"/>
              </w:rPr>
              <w:t>Switching, heating, fault</w:t>
            </w:r>
          </w:p>
        </w:tc>
        <w:tc>
          <w:tcPr>
            <w:tcW w:type="dxa" w:w="1800"/>
          </w:tcPr>
          <w:p>
            <w:pPr>
              <w:spacing w:after="20"/>
            </w:pPr>
            <w:r>
              <w:rPr>
                <w:sz w:val="15"/>
              </w:rPr>
              <w:t>Separate beacon housing</w:t>
            </w:r>
          </w:p>
        </w:tc>
        <w:tc>
          <w:tcPr>
            <w:tcW w:type="dxa" w:w="3096"/>
          </w:tcPr>
          <w:p>
            <w:pPr>
              <w:spacing w:after="20"/>
            </w:pPr>
            <w:r>
              <w:rPr>
                <w:sz w:val="15"/>
              </w:rPr>
              <w:t>Obtain module construction/certification data</w:t>
            </w:r>
          </w:p>
        </w:tc>
        <w:tc>
          <w:tcPr>
            <w:tcW w:type="dxa" w:w="864"/>
            <w:shd w:val="clear" w:fill="FBEEE4"/>
          </w:tcPr>
          <w:p>
            <w:pPr>
              <w:spacing w:after="20"/>
            </w:pPr>
            <w:r>
              <w:rPr>
                <w:b/>
                <w:sz w:val="15"/>
              </w:rPr>
              <w:t>Open</w:t>
            </w:r>
          </w:p>
        </w:tc>
      </w:tr>
      <w:tr>
        <w:trPr>
          <w:cantSplit/>
        </w:trPr>
        <w:tc>
          <w:tcPr>
            <w:tcW w:type="dxa" w:w="648"/>
          </w:tcPr>
          <w:p>
            <w:pPr>
              <w:spacing w:after="20"/>
            </w:pPr>
            <w:r>
              <w:rPr>
                <w:b/>
                <w:sz w:val="15"/>
              </w:rPr>
              <w:t>IS-07</w:t>
            </w:r>
          </w:p>
        </w:tc>
        <w:tc>
          <w:tcPr>
            <w:tcW w:type="dxa" w:w="1656"/>
          </w:tcPr>
          <w:p>
            <w:pPr>
              <w:spacing w:after="20"/>
            </w:pPr>
            <w:r>
              <w:rPr>
                <w:sz w:val="15"/>
              </w:rPr>
              <w:t>ESP32-S3 / LoRa / digital electronics</w:t>
            </w:r>
          </w:p>
        </w:tc>
        <w:tc>
          <w:tcPr>
            <w:tcW w:type="dxa" w:w="1440"/>
          </w:tcPr>
          <w:p>
            <w:pPr>
              <w:spacing w:after="20"/>
            </w:pPr>
            <w:r>
              <w:rPr>
                <w:sz w:val="15"/>
              </w:rPr>
              <w:t>Overheating, electrical fault</w:t>
            </w:r>
          </w:p>
        </w:tc>
        <w:tc>
          <w:tcPr>
            <w:tcW w:type="dxa" w:w="1800"/>
          </w:tcPr>
          <w:p>
            <w:pPr>
              <w:spacing w:after="20"/>
            </w:pPr>
            <w:r>
              <w:rPr>
                <w:sz w:val="15"/>
              </w:rPr>
              <w:t>Depends on IS-03</w:t>
            </w:r>
          </w:p>
        </w:tc>
        <w:tc>
          <w:tcPr>
            <w:tcW w:type="dxa" w:w="3096"/>
          </w:tcPr>
          <w:p>
            <w:pPr>
              <w:spacing w:after="20"/>
            </w:pPr>
            <w:r>
              <w:rPr>
                <w:sz w:val="15"/>
              </w:rPr>
              <w:t>Assess maximum component temperatures</w:t>
            </w:r>
          </w:p>
        </w:tc>
        <w:tc>
          <w:tcPr>
            <w:tcW w:type="dxa" w:w="864"/>
            <w:shd w:val="clear" w:fill="FBEEE4"/>
          </w:tcPr>
          <w:p>
            <w:pPr>
              <w:spacing w:after="20"/>
            </w:pPr>
            <w:r>
              <w:rPr>
                <w:b/>
                <w:sz w:val="15"/>
              </w:rPr>
              <w:t>Open</w:t>
            </w:r>
          </w:p>
        </w:tc>
      </w:tr>
      <w:tr>
        <w:trPr>
          <w:cantSplit/>
        </w:trPr>
        <w:tc>
          <w:tcPr>
            <w:tcW w:type="dxa" w:w="648"/>
          </w:tcPr>
          <w:p>
            <w:pPr>
              <w:spacing w:after="20"/>
            </w:pPr>
            <w:r>
              <w:rPr>
                <w:b/>
                <w:sz w:val="15"/>
              </w:rPr>
              <w:t>IS-08</w:t>
            </w:r>
          </w:p>
        </w:tc>
        <w:tc>
          <w:tcPr>
            <w:tcW w:type="dxa" w:w="1656"/>
          </w:tcPr>
          <w:p>
            <w:pPr>
              <w:spacing w:after="20"/>
            </w:pPr>
            <w:r>
              <w:rPr>
                <w:sz w:val="15"/>
              </w:rPr>
              <w:t>RF transmitter / antenna</w:t>
            </w:r>
          </w:p>
        </w:tc>
        <w:tc>
          <w:tcPr>
            <w:tcW w:type="dxa" w:w="1440"/>
          </w:tcPr>
          <w:p>
            <w:pPr>
              <w:spacing w:after="20"/>
            </w:pPr>
            <w:r>
              <w:rPr>
                <w:sz w:val="15"/>
              </w:rPr>
              <w:t>RF energy</w:t>
            </w:r>
          </w:p>
        </w:tc>
        <w:tc>
          <w:tcPr>
            <w:tcW w:type="dxa" w:w="1800"/>
          </w:tcPr>
          <w:p>
            <w:pPr>
              <w:spacing w:after="20"/>
            </w:pPr>
            <w:r>
              <w:rPr>
                <w:sz w:val="15"/>
              </w:rPr>
              <w:t>External antenna</w:t>
            </w:r>
          </w:p>
        </w:tc>
        <w:tc>
          <w:tcPr>
            <w:tcW w:type="dxa" w:w="3096"/>
          </w:tcPr>
          <w:p>
            <w:pPr>
              <w:spacing w:after="20"/>
            </w:pPr>
            <w:r>
              <w:rPr>
                <w:sz w:val="15"/>
              </w:rPr>
              <w:t>Max. 22 dBm into a 3 dBi antenna; assess against IEC 60079-0 RF threshold</w:t>
            </w:r>
          </w:p>
        </w:tc>
        <w:tc>
          <w:tcPr>
            <w:tcW w:type="dxa" w:w="864"/>
            <w:shd w:val="clear" w:fill="FBEEE4"/>
          </w:tcPr>
          <w:p>
            <w:pPr>
              <w:spacing w:after="20"/>
            </w:pPr>
            <w:r>
              <w:rPr>
                <w:b/>
                <w:sz w:val="15"/>
              </w:rPr>
              <w:t>Open</w:t>
            </w:r>
          </w:p>
        </w:tc>
      </w:tr>
      <w:tr>
        <w:trPr>
          <w:cantSplit/>
        </w:trPr>
        <w:tc>
          <w:tcPr>
            <w:tcW w:type="dxa" w:w="648"/>
          </w:tcPr>
          <w:p>
            <w:pPr>
              <w:spacing w:after="20"/>
            </w:pPr>
            <w:r>
              <w:rPr>
                <w:b/>
                <w:sz w:val="15"/>
              </w:rPr>
              <w:t>IS-09</w:t>
            </w:r>
          </w:p>
        </w:tc>
        <w:tc>
          <w:tcPr>
            <w:tcW w:type="dxa" w:w="1656"/>
          </w:tcPr>
          <w:p>
            <w:pPr>
              <w:spacing w:after="20"/>
            </w:pPr>
            <w:r>
              <w:rPr>
                <w:sz w:val="15"/>
              </w:rPr>
              <w:t>Power inductors</w:t>
            </w:r>
          </w:p>
        </w:tc>
        <w:tc>
          <w:tcPr>
            <w:tcW w:type="dxa" w:w="1440"/>
          </w:tcPr>
          <w:p>
            <w:pPr>
              <w:spacing w:after="20"/>
            </w:pPr>
            <w:r>
              <w:rPr>
                <w:sz w:val="15"/>
              </w:rPr>
              <w:t>Surface heating</w:t>
            </w:r>
          </w:p>
        </w:tc>
        <w:tc>
          <w:tcPr>
            <w:tcW w:type="dxa" w:w="1800"/>
          </w:tcPr>
          <w:p>
            <w:pPr>
              <w:spacing w:after="20"/>
            </w:pPr>
            <w:r>
              <w:rPr>
                <w:sz w:val="15"/>
              </w:rPr>
              <w:t>Depends on IS-03</w:t>
            </w:r>
          </w:p>
        </w:tc>
        <w:tc>
          <w:tcPr>
            <w:tcW w:type="dxa" w:w="3096"/>
          </w:tcPr>
          <w:p>
            <w:pPr>
              <w:spacing w:after="20"/>
            </w:pPr>
            <w:r>
              <w:rPr>
                <w:sz w:val="15"/>
              </w:rPr>
              <w:t>Measure worst-case ΔT</w:t>
            </w:r>
          </w:p>
        </w:tc>
        <w:tc>
          <w:tcPr>
            <w:tcW w:type="dxa" w:w="864"/>
            <w:shd w:val="clear" w:fill="FBEEE4"/>
          </w:tcPr>
          <w:p>
            <w:pPr>
              <w:spacing w:after="20"/>
            </w:pPr>
            <w:r>
              <w:rPr>
                <w:b/>
                <w:sz w:val="15"/>
              </w:rPr>
              <w:t>Open</w:t>
            </w:r>
          </w:p>
        </w:tc>
      </w:tr>
      <w:tr>
        <w:trPr>
          <w:cantSplit/>
        </w:trPr>
        <w:tc>
          <w:tcPr>
            <w:tcW w:type="dxa" w:w="648"/>
          </w:tcPr>
          <w:p>
            <w:pPr>
              <w:spacing w:after="20"/>
            </w:pPr>
            <w:r>
              <w:rPr>
                <w:b/>
                <w:sz w:val="15"/>
              </w:rPr>
              <w:t>IS-10</w:t>
            </w:r>
          </w:p>
        </w:tc>
        <w:tc>
          <w:tcPr>
            <w:tcW w:type="dxa" w:w="1656"/>
          </w:tcPr>
          <w:p>
            <w:pPr>
              <w:spacing w:after="20"/>
            </w:pPr>
            <w:r>
              <w:rPr>
                <w:sz w:val="15"/>
              </w:rPr>
              <w:t>MOSFETs, diodes, protection devices</w:t>
            </w:r>
          </w:p>
        </w:tc>
        <w:tc>
          <w:tcPr>
            <w:tcW w:type="dxa" w:w="1440"/>
          </w:tcPr>
          <w:p>
            <w:pPr>
              <w:spacing w:after="20"/>
            </w:pPr>
            <w:r>
              <w:rPr>
                <w:sz w:val="15"/>
              </w:rPr>
              <w:t>Local overheating on overload/surge</w:t>
            </w:r>
          </w:p>
        </w:tc>
        <w:tc>
          <w:tcPr>
            <w:tcW w:type="dxa" w:w="1800"/>
          </w:tcPr>
          <w:p>
            <w:pPr>
              <w:spacing w:after="20"/>
            </w:pPr>
            <w:r>
              <w:rPr>
                <w:sz w:val="15"/>
              </w:rPr>
              <w:t>Depends on IS-03</w:t>
            </w:r>
          </w:p>
        </w:tc>
        <w:tc>
          <w:tcPr>
            <w:tcW w:type="dxa" w:w="3096"/>
          </w:tcPr>
          <w:p>
            <w:pPr>
              <w:spacing w:after="20"/>
            </w:pPr>
            <w:r>
              <w:rPr>
                <w:sz w:val="15"/>
              </w:rPr>
              <w:t>Verify ratings and protective-device coordination (F1/F2 voltage rating)</w:t>
            </w:r>
          </w:p>
        </w:tc>
        <w:tc>
          <w:tcPr>
            <w:tcW w:type="dxa" w:w="864"/>
            <w:shd w:val="clear" w:fill="FBEEE4"/>
          </w:tcPr>
          <w:p>
            <w:pPr>
              <w:spacing w:after="20"/>
            </w:pPr>
            <w:r>
              <w:rPr>
                <w:b/>
                <w:sz w:val="15"/>
              </w:rPr>
              <w:t>Open</w:t>
            </w:r>
          </w:p>
        </w:tc>
      </w:tr>
      <w:tr>
        <w:trPr>
          <w:cantSplit/>
        </w:trPr>
        <w:tc>
          <w:tcPr>
            <w:tcW w:type="dxa" w:w="648"/>
          </w:tcPr>
          <w:p>
            <w:pPr>
              <w:spacing w:after="20"/>
            </w:pPr>
            <w:r>
              <w:rPr>
                <w:b/>
                <w:sz w:val="15"/>
              </w:rPr>
              <w:t>IS-11</w:t>
            </w:r>
          </w:p>
        </w:tc>
        <w:tc>
          <w:tcPr>
            <w:tcW w:type="dxa" w:w="1656"/>
          </w:tcPr>
          <w:p>
            <w:pPr>
              <w:spacing w:after="20"/>
            </w:pPr>
            <w:r>
              <w:rPr>
                <w:sz w:val="15"/>
              </w:rPr>
              <w:t>Electrostatic charging of non-metallic parts</w:t>
            </w:r>
          </w:p>
        </w:tc>
        <w:tc>
          <w:tcPr>
            <w:tcW w:type="dxa" w:w="1440"/>
          </w:tcPr>
          <w:p>
            <w:pPr>
              <w:spacing w:after="20"/>
            </w:pPr>
            <w:r>
              <w:rPr>
                <w:sz w:val="15"/>
              </w:rPr>
              <w:t>ESD</w:t>
            </w:r>
          </w:p>
        </w:tc>
        <w:tc>
          <w:tcPr>
            <w:tcW w:type="dxa" w:w="1800"/>
          </w:tcPr>
          <w:p>
            <w:pPr>
              <w:spacing w:after="20"/>
            </w:pPr>
            <w:r>
              <w:rPr>
                <w:sz w:val="15"/>
              </w:rPr>
              <w:t>Gasket, antenna insulation, gland parts</w:t>
            </w:r>
          </w:p>
        </w:tc>
        <w:tc>
          <w:tcPr>
            <w:tcW w:type="dxa" w:w="3096"/>
          </w:tcPr>
          <w:p>
            <w:pPr>
              <w:spacing w:after="20"/>
            </w:pPr>
            <w:r>
              <w:rPr>
                <w:sz w:val="15"/>
              </w:rPr>
              <w:t>Identify exposed non-metallic parts and dimensions (MAT register)</w:t>
            </w:r>
          </w:p>
        </w:tc>
        <w:tc>
          <w:tcPr>
            <w:tcW w:type="dxa" w:w="864"/>
            <w:shd w:val="clear" w:fill="FBEEE4"/>
          </w:tcPr>
          <w:p>
            <w:pPr>
              <w:spacing w:after="20"/>
            </w:pPr>
            <w:r>
              <w:rPr>
                <w:b/>
                <w:sz w:val="15"/>
              </w:rPr>
              <w:t>Open</w:t>
            </w:r>
          </w:p>
        </w:tc>
      </w:tr>
      <w:tr>
        <w:trPr>
          <w:cantSplit/>
        </w:trPr>
        <w:tc>
          <w:tcPr>
            <w:tcW w:type="dxa" w:w="648"/>
          </w:tcPr>
          <w:p>
            <w:pPr>
              <w:spacing w:after="20"/>
            </w:pPr>
            <w:r>
              <w:rPr>
                <w:b/>
                <w:sz w:val="15"/>
              </w:rPr>
              <w:t>IS-12</w:t>
            </w:r>
          </w:p>
        </w:tc>
        <w:tc>
          <w:tcPr>
            <w:tcW w:type="dxa" w:w="1656"/>
          </w:tcPr>
          <w:p>
            <w:pPr>
              <w:spacing w:after="20"/>
            </w:pPr>
            <w:r>
              <w:rPr>
                <w:sz w:val="15"/>
              </w:rPr>
              <w:t>Metallic enclosure and joints</w:t>
            </w:r>
          </w:p>
        </w:tc>
        <w:tc>
          <w:tcPr>
            <w:tcW w:type="dxa" w:w="1440"/>
          </w:tcPr>
          <w:p>
            <w:pPr>
              <w:spacing w:after="20"/>
            </w:pPr>
            <w:r>
              <w:rPr>
                <w:sz w:val="15"/>
              </w:rPr>
              <w:t>Spark from poor bonding/impact</w:t>
            </w:r>
          </w:p>
        </w:tc>
        <w:tc>
          <w:tcPr>
            <w:tcW w:type="dxa" w:w="1800"/>
          </w:tcPr>
          <w:p>
            <w:pPr>
              <w:spacing w:after="20"/>
            </w:pPr>
            <w:r>
              <w:rPr>
                <w:sz w:val="15"/>
              </w:rPr>
              <w:t>External atmosphere</w:t>
            </w:r>
          </w:p>
        </w:tc>
        <w:tc>
          <w:tcPr>
            <w:tcW w:type="dxa" w:w="3096"/>
          </w:tcPr>
          <w:p>
            <w:pPr>
              <w:spacing w:after="20"/>
            </w:pPr>
            <w:r>
              <w:rPr>
                <w:sz w:val="15"/>
              </w:rPr>
              <w:t>Verify bonding continuity and grounding</w:t>
            </w:r>
          </w:p>
        </w:tc>
        <w:tc>
          <w:tcPr>
            <w:tcW w:type="dxa" w:w="864"/>
            <w:shd w:val="clear" w:fill="FBEEE4"/>
          </w:tcPr>
          <w:p>
            <w:pPr>
              <w:spacing w:after="20"/>
            </w:pPr>
            <w:r>
              <w:rPr>
                <w:b/>
                <w:sz w:val="15"/>
              </w:rPr>
              <w:t>Open</w:t>
            </w:r>
          </w:p>
        </w:tc>
      </w:tr>
      <w:tr>
        <w:trPr>
          <w:cantSplit/>
        </w:trPr>
        <w:tc>
          <w:tcPr>
            <w:tcW w:type="dxa" w:w="648"/>
          </w:tcPr>
          <w:p>
            <w:pPr>
              <w:spacing w:after="20"/>
            </w:pPr>
            <w:r>
              <w:rPr>
                <w:b/>
                <w:sz w:val="15"/>
              </w:rPr>
              <w:t>IS-13</w:t>
            </w:r>
          </w:p>
        </w:tc>
        <w:tc>
          <w:tcPr>
            <w:tcW w:type="dxa" w:w="1656"/>
          </w:tcPr>
          <w:p>
            <w:pPr>
              <w:spacing w:after="20"/>
            </w:pPr>
            <w:r>
              <w:rPr>
                <w:sz w:val="15"/>
              </w:rPr>
              <w:t>Cable entry / gland / blanking devices</w:t>
            </w:r>
          </w:p>
        </w:tc>
        <w:tc>
          <w:tcPr>
            <w:tcW w:type="dxa" w:w="1440"/>
          </w:tcPr>
          <w:p>
            <w:pPr>
              <w:spacing w:after="20"/>
            </w:pPr>
            <w:r>
              <w:rPr>
                <w:sz w:val="15"/>
              </w:rPr>
              <w:t>Loss of protection</w:t>
            </w:r>
          </w:p>
        </w:tc>
        <w:tc>
          <w:tcPr>
            <w:tcW w:type="dxa" w:w="1800"/>
          </w:tcPr>
          <w:p>
            <w:pPr>
              <w:spacing w:after="20"/>
            </w:pPr>
            <w:r>
              <w:rPr>
                <w:sz w:val="15"/>
              </w:rPr>
              <w:t>External atmosphere</w:t>
            </w:r>
          </w:p>
        </w:tc>
        <w:tc>
          <w:tcPr>
            <w:tcW w:type="dxa" w:w="3096"/>
          </w:tcPr>
          <w:p>
            <w:pPr>
              <w:spacing w:after="20"/>
            </w:pPr>
            <w:r>
              <w:rPr>
                <w:sz w:val="15"/>
              </w:rPr>
              <w:t>Prototype gland is a general-purpose polymer type; finalize Ex d gland/plug list (EX-07, EX-08)</w:t>
            </w:r>
          </w:p>
        </w:tc>
        <w:tc>
          <w:tcPr>
            <w:tcW w:type="dxa" w:w="864"/>
            <w:shd w:val="clear" w:fill="FBEEE4"/>
          </w:tcPr>
          <w:p>
            <w:pPr>
              <w:spacing w:after="20"/>
            </w:pPr>
            <w:r>
              <w:rPr>
                <w:b/>
                <w:sz w:val="15"/>
              </w:rPr>
              <w:t>Open</w:t>
            </w:r>
          </w:p>
        </w:tc>
      </w:tr>
      <w:tr>
        <w:trPr>
          <w:cantSplit/>
        </w:trPr>
        <w:tc>
          <w:tcPr>
            <w:tcW w:type="dxa" w:w="648"/>
          </w:tcPr>
          <w:p>
            <w:pPr>
              <w:spacing w:after="20"/>
            </w:pPr>
            <w:r>
              <w:rPr>
                <w:b/>
                <w:sz w:val="15"/>
              </w:rPr>
              <w:t>IS-14</w:t>
            </w:r>
          </w:p>
        </w:tc>
        <w:tc>
          <w:tcPr>
            <w:tcW w:type="dxa" w:w="1656"/>
          </w:tcPr>
          <w:p>
            <w:pPr>
              <w:spacing w:after="20"/>
            </w:pPr>
            <w:r>
              <w:rPr>
                <w:sz w:val="15"/>
              </w:rPr>
              <w:t>Front stainless-steel mesh</w:t>
            </w:r>
          </w:p>
        </w:tc>
        <w:tc>
          <w:tcPr>
            <w:tcW w:type="dxa" w:w="1440"/>
          </w:tcPr>
          <w:p>
            <w:pPr>
              <w:spacing w:after="20"/>
            </w:pPr>
            <w:r>
              <w:rPr>
                <w:sz w:val="15"/>
              </w:rPr>
              <w:t>Flame transmission path</w:t>
            </w:r>
          </w:p>
        </w:tc>
        <w:tc>
          <w:tcPr>
            <w:tcW w:type="dxa" w:w="1800"/>
          </w:tcPr>
          <w:p>
            <w:pPr>
              <w:spacing w:after="20"/>
            </w:pPr>
            <w:r>
              <w:rPr>
                <w:sz w:val="15"/>
              </w:rPr>
              <w:t>Direct interface</w:t>
            </w:r>
          </w:p>
        </w:tc>
        <w:tc>
          <w:tcPr>
            <w:tcW w:type="dxa" w:w="3096"/>
          </w:tcPr>
          <w:p>
            <w:pPr>
              <w:spacing w:after="20"/>
            </w:pPr>
            <w:r>
              <w:rPr>
                <w:sz w:val="15"/>
              </w:rPr>
              <w:t>Confirm construction; certificate/test if claimed as flame-arresting</w:t>
            </w:r>
          </w:p>
        </w:tc>
        <w:tc>
          <w:tcPr>
            <w:tcW w:type="dxa" w:w="864"/>
            <w:shd w:val="clear" w:fill="FBEEE4"/>
          </w:tcPr>
          <w:p>
            <w:pPr>
              <w:spacing w:after="20"/>
            </w:pPr>
            <w:r>
              <w:rPr>
                <w:b/>
                <w:sz w:val="15"/>
              </w:rPr>
              <w:t>Open</w:t>
            </w:r>
          </w:p>
        </w:tc>
      </w:tr>
      <w:tr>
        <w:trPr>
          <w:cantSplit/>
        </w:trPr>
        <w:tc>
          <w:tcPr>
            <w:tcW w:type="dxa" w:w="648"/>
          </w:tcPr>
          <w:p>
            <w:pPr>
              <w:spacing w:after="20"/>
            </w:pPr>
            <w:r>
              <w:rPr>
                <w:b/>
                <w:sz w:val="15"/>
              </w:rPr>
              <w:t>IS-15</w:t>
            </w:r>
          </w:p>
        </w:tc>
        <w:tc>
          <w:tcPr>
            <w:tcW w:type="dxa" w:w="1656"/>
          </w:tcPr>
          <w:p>
            <w:pPr>
              <w:spacing w:after="20"/>
            </w:pPr>
            <w:r>
              <w:rPr>
                <w:sz w:val="15"/>
              </w:rPr>
              <w:t>MQ sensor protective mesh</w:t>
            </w:r>
          </w:p>
        </w:tc>
        <w:tc>
          <w:tcPr>
            <w:tcW w:type="dxa" w:w="1440"/>
          </w:tcPr>
          <w:p>
            <w:pPr>
              <w:spacing w:after="20"/>
            </w:pPr>
            <w:r>
              <w:rPr>
                <w:sz w:val="15"/>
              </w:rPr>
              <w:t>Flame transmission path</w:t>
            </w:r>
          </w:p>
        </w:tc>
        <w:tc>
          <w:tcPr>
            <w:tcW w:type="dxa" w:w="1800"/>
          </w:tcPr>
          <w:p>
            <w:pPr>
              <w:spacing w:after="20"/>
            </w:pPr>
            <w:r>
              <w:rPr>
                <w:sz w:val="15"/>
              </w:rPr>
              <w:t>Around each sensing element</w:t>
            </w:r>
          </w:p>
        </w:tc>
        <w:tc>
          <w:tcPr>
            <w:tcW w:type="dxa" w:w="3096"/>
          </w:tcPr>
          <w:p>
            <w:pPr>
              <w:spacing w:after="20"/>
            </w:pPr>
            <w:r>
              <w:rPr>
                <w:sz w:val="15"/>
              </w:rPr>
              <w:t>No flame-arresting claim without manufacturer documentation</w:t>
            </w:r>
          </w:p>
        </w:tc>
        <w:tc>
          <w:tcPr>
            <w:tcW w:type="dxa" w:w="864"/>
            <w:shd w:val="clear" w:fill="FBEEE4"/>
          </w:tcPr>
          <w:p>
            <w:pPr>
              <w:spacing w:after="20"/>
            </w:pPr>
            <w:r>
              <w:rPr>
                <w:b/>
                <w:sz w:val="15"/>
              </w:rPr>
              <w:t>Open</w:t>
            </w:r>
          </w:p>
        </w:tc>
      </w:tr>
      <w:tr>
        <w:trPr>
          <w:cantSplit/>
        </w:trPr>
        <w:tc>
          <w:tcPr>
            <w:tcW w:type="dxa" w:w="648"/>
          </w:tcPr>
          <w:p>
            <w:pPr>
              <w:spacing w:after="20"/>
            </w:pPr>
            <w:r>
              <w:rPr>
                <w:b/>
                <w:sz w:val="15"/>
              </w:rPr>
              <w:t>IS-16</w:t>
            </w:r>
          </w:p>
        </w:tc>
        <w:tc>
          <w:tcPr>
            <w:tcW w:type="dxa" w:w="1656"/>
          </w:tcPr>
          <w:p>
            <w:pPr>
              <w:spacing w:after="20"/>
            </w:pPr>
            <w:r>
              <w:rPr>
                <w:sz w:val="15"/>
              </w:rPr>
              <w:t>Mechanical impact / friction</w:t>
            </w:r>
          </w:p>
        </w:tc>
        <w:tc>
          <w:tcPr>
            <w:tcW w:type="dxa" w:w="1440"/>
          </w:tcPr>
          <w:p>
            <w:pPr>
              <w:spacing w:after="20"/>
            </w:pPr>
            <w:r>
              <w:rPr>
                <w:sz w:val="15"/>
              </w:rPr>
              <w:t>Mechanical spark</w:t>
            </w:r>
          </w:p>
        </w:tc>
        <w:tc>
          <w:tcPr>
            <w:tcW w:type="dxa" w:w="1800"/>
          </w:tcPr>
          <w:p>
            <w:pPr>
              <w:spacing w:after="20"/>
            </w:pPr>
            <w:r>
              <w:rPr>
                <w:sz w:val="15"/>
              </w:rPr>
              <w:t>Fan is the only moving part</w:t>
            </w:r>
          </w:p>
        </w:tc>
        <w:tc>
          <w:tcPr>
            <w:tcW w:type="dxa" w:w="3096"/>
          </w:tcPr>
          <w:p>
            <w:pPr>
              <w:spacing w:after="20"/>
            </w:pPr>
            <w:r>
              <w:rPr>
                <w:sz w:val="15"/>
              </w:rPr>
              <w:t>Confirm fan clearance and retention</w:t>
            </w:r>
          </w:p>
        </w:tc>
        <w:tc>
          <w:tcPr>
            <w:tcW w:type="dxa" w:w="864"/>
            <w:shd w:val="clear" w:fill="FBEEE4"/>
          </w:tcPr>
          <w:p>
            <w:pPr>
              <w:spacing w:after="20"/>
            </w:pPr>
            <w:r>
              <w:rPr>
                <w:b/>
                <w:sz w:val="15"/>
              </w:rPr>
              <w:t>Open</w:t>
            </w:r>
          </w:p>
        </w:tc>
      </w:tr>
      <w:tr>
        <w:trPr>
          <w:cantSplit/>
        </w:trPr>
        <w:tc>
          <w:tcPr>
            <w:tcW w:type="dxa" w:w="648"/>
          </w:tcPr>
          <w:p>
            <w:pPr>
              <w:spacing w:after="20"/>
            </w:pPr>
            <w:r>
              <w:rPr>
                <w:b/>
                <w:sz w:val="15"/>
              </w:rPr>
              <w:t>IS-17</w:t>
            </w:r>
          </w:p>
        </w:tc>
        <w:tc>
          <w:tcPr>
            <w:tcW w:type="dxa" w:w="1656"/>
          </w:tcPr>
          <w:p>
            <w:pPr>
              <w:spacing w:after="20"/>
            </w:pPr>
            <w:r>
              <w:rPr>
                <w:sz w:val="15"/>
              </w:rPr>
              <w:t>Battery circuit</w:t>
            </w:r>
          </w:p>
        </w:tc>
        <w:tc>
          <w:tcPr>
            <w:tcW w:type="dxa" w:w="1440"/>
          </w:tcPr>
          <w:p>
            <w:pPr>
              <w:spacing w:after="20"/>
            </w:pPr>
            <w:r>
              <w:rPr>
                <w:sz w:val="15"/>
              </w:rPr>
              <w:t>High fault current, cell heating</w:t>
            </w:r>
          </w:p>
        </w:tc>
        <w:tc>
          <w:tcPr>
            <w:tcW w:type="dxa" w:w="1800"/>
          </w:tcPr>
          <w:p>
            <w:pPr>
              <w:spacing w:after="20"/>
            </w:pPr>
            <w:r>
              <w:rPr>
                <w:sz w:val="15"/>
              </w:rPr>
              <w:t>Battery path populated on main board</w:t>
            </w:r>
          </w:p>
        </w:tc>
        <w:tc>
          <w:tcPr>
            <w:tcW w:type="dxa" w:w="3096"/>
          </w:tcPr>
          <w:p>
            <w:pPr>
              <w:spacing w:after="20"/>
            </w:pPr>
            <w:r>
              <w:rPr>
                <w:sz w:val="15"/>
              </w:rPr>
              <w:t>Decide exclusion/depopulation from the certified configuration</w:t>
            </w:r>
          </w:p>
        </w:tc>
        <w:tc>
          <w:tcPr>
            <w:tcW w:type="dxa" w:w="864"/>
            <w:shd w:val="clear" w:fill="F8DADA"/>
          </w:tcPr>
          <w:p>
            <w:pPr>
              <w:spacing w:after="20"/>
            </w:pPr>
            <w:r>
              <w:rPr>
                <w:b/>
                <w:sz w:val="15"/>
              </w:rPr>
              <w:t>Decision required</w:t>
            </w:r>
          </w:p>
        </w:tc>
      </w:tr>
    </w:tbl>
    <w:p>
      <w:pPr>
        <w:spacing w:after="40"/>
      </w:pPr>
    </w:p>
    <w:p>
      <w:pPr>
        <w:keepNext/>
        <w:spacing w:after="60"/>
      </w:pPr>
      <w:r>
        <w:rPr>
          <w:b/>
          <w:i w:val="0"/>
          <w:color w:val="1B335F"/>
          <w:sz w:val="21"/>
        </w:rPr>
        <w:t>2.6.e.3 Explosion-protection concept and protective construction</w:t>
      </w:r>
    </w:p>
    <w:p>
      <w:pPr>
        <w:keepNext/>
        <w:spacing w:after="60"/>
      </w:pPr>
      <w:r>
        <w:rPr>
          <w:b/>
          <w:i w:val="0"/>
          <w:color w:val="1B335F"/>
          <w:sz w:val="21"/>
        </w:rPr>
        <w:t>e.3.1 Overall concept</w:t>
      </w:r>
    </w:p>
    <w:p>
      <w:pPr>
        <w:spacing w:after="100"/>
      </w:pPr>
      <w:r>
        <w:rPr>
          <w:b w:val="0"/>
          <w:i w:val="0"/>
          <w:color w:val="262321"/>
          <w:sz w:val="19"/>
        </w:rPr>
        <w:t>Potential ignition sources are isolated from the external atmosphere, enclosed in a protective construction, or controlled so they cannot ignite it. The applicant proposes flameproof enclosure Ex d (marking proposal II 2G Ex db IIC T4 Gb), subject to ExCB confirmation.</w:t>
      </w:r>
    </w:p>
    <w:p>
      <w:pPr>
        <w:keepNext/>
        <w:spacing w:after="60"/>
      </w:pPr>
      <w:r>
        <w:rPr>
          <w:b/>
          <w:i w:val="0"/>
          <w:color w:val="1B335F"/>
          <w:sz w:val="21"/>
        </w:rPr>
        <w:t>e.3.2 Gas-accessible and protected volumes</w:t>
      </w:r>
    </w:p>
    <w:p>
      <w:pPr>
        <w:spacing w:after="100"/>
      </w:pPr>
      <w:r>
        <w:rPr>
          <w:b w:val="0"/>
          <w:i w:val="0"/>
          <w:color w:val="262321"/>
          <w:sz w:val="19"/>
        </w:rPr>
        <w:t>The front sensing chamber is intentionally gas-accessible. Whether the main PCB is separated from it by a partition (PCB plate) or shares the same volume is still to be confirmed on the section drawing; the assessment of IS-03…IS-10 depends on this.</w:t>
      </w:r>
    </w:p>
    <w:p>
      <w:pPr>
        <w:keepNext/>
        <w:spacing w:after="60"/>
      </w:pPr>
      <w:r>
        <w:rPr>
          <w:b/>
          <w:i w:val="0"/>
          <w:color w:val="1B335F"/>
          <w:sz w:val="21"/>
        </w:rPr>
        <w:t>e.3.3 Front stainless-steel mesh</w:t>
      </w:r>
    </w:p>
    <w:p>
      <w:pPr>
        <w:spacing w:after="100"/>
      </w:pPr>
      <w:r>
        <w:rPr>
          <w:b w:val="0"/>
          <w:i w:val="0"/>
          <w:color w:val="262321"/>
          <w:sz w:val="19"/>
        </w:rPr>
        <w:t>First protective element in the gas inlet; mechanical protection and, only where supported by certification, flame arresting.</w:t>
      </w:r>
    </w:p>
    <w:p>
      <w:pPr>
        <w:keepNext/>
        <w:spacing w:after="60"/>
      </w:pPr>
      <w:r>
        <w:rPr>
          <w:b/>
          <w:i w:val="0"/>
          <w:color w:val="1B335F"/>
          <w:sz w:val="21"/>
        </w:rPr>
        <w:t>e.3.4 MQ sensor protective construction</w:t>
      </w:r>
    </w:p>
    <w:p>
      <w:pPr>
        <w:spacing w:after="100"/>
      </w:pPr>
      <w:r>
        <w:rPr>
          <w:b w:val="0"/>
          <w:i w:val="0"/>
          <w:color w:val="262321"/>
          <w:sz w:val="19"/>
        </w:rPr>
        <w:t>Each sensor's integrated stainless-steel mesh surrounds the sensing and heating structure; no Ex claim without manufacturer documentation.</w:t>
      </w:r>
    </w:p>
    <w:p>
      <w:pPr>
        <w:keepNext/>
        <w:spacing w:after="60"/>
      </w:pPr>
      <w:r>
        <w:rPr>
          <w:b/>
          <w:i w:val="0"/>
          <w:color w:val="1B335F"/>
          <w:sz w:val="21"/>
        </w:rPr>
        <w:t>e.3.5 DC fan</w:t>
      </w:r>
    </w:p>
    <w:p>
      <w:pPr>
        <w:spacing w:after="100"/>
      </w:pPr>
      <w:r>
        <w:rPr>
          <w:b w:val="0"/>
          <w:i w:val="0"/>
          <w:color w:val="262321"/>
          <w:sz w:val="19"/>
        </w:rPr>
        <w:t>Located in the gas path behind the mesh; surface temperature, winding temperature, stalled rotor and commutation to be assessed.</w:t>
      </w:r>
    </w:p>
    <w:p>
      <w:pPr>
        <w:keepNext/>
        <w:spacing w:after="60"/>
      </w:pPr>
      <w:r>
        <w:rPr>
          <w:b/>
          <w:i w:val="0"/>
          <w:color w:val="1B335F"/>
          <w:sz w:val="21"/>
        </w:rPr>
        <w:t>e.3.6 Main electronics</w:t>
      </w:r>
    </w:p>
    <w:p>
      <w:pPr>
        <w:spacing w:after="100"/>
      </w:pPr>
      <w:r>
        <w:rPr>
          <w:b w:val="0"/>
          <w:i w:val="0"/>
          <w:color w:val="262321"/>
          <w:sz w:val="19"/>
        </w:rPr>
        <w:t>Main PCB, converters, processing and RF electronics and connectors are treated as potential ignition sources; protection depends on e.3.2.</w:t>
      </w:r>
    </w:p>
    <w:p>
      <w:pPr>
        <w:keepNext/>
        <w:spacing w:after="60"/>
      </w:pPr>
      <w:r>
        <w:rPr>
          <w:b/>
          <w:i w:val="0"/>
          <w:color w:val="1B335F"/>
          <w:sz w:val="21"/>
        </w:rPr>
        <w:t>e.3.7 Flame-transmission paths</w:t>
      </w:r>
    </w:p>
    <w:p>
      <w:pPr>
        <w:spacing w:after="100"/>
      </w:pPr>
      <w:r>
        <w:rPr>
          <w:b w:val="0"/>
          <w:i w:val="0"/>
          <w:color w:val="262321"/>
          <w:sz w:val="19"/>
        </w:rPr>
        <w:t>Front gas inlet, cover joint, threaded interfaces, cable entries, antenna interface, alarm-module connection and any other wall penetration are to be identified and controlled; gap/length/volume values to be supplied by the enclosure manufacturer.</w:t>
      </w:r>
    </w:p>
    <w:p>
      <w:pPr>
        <w:keepNext/>
        <w:spacing w:after="60"/>
      </w:pPr>
      <w:r>
        <w:rPr>
          <w:b/>
          <w:i w:val="0"/>
          <w:color w:val="1B335F"/>
          <w:sz w:val="21"/>
        </w:rPr>
        <w:t>e.3.8 Cable entries, antenna, alarm module</w:t>
      </w:r>
    </w:p>
    <w:p>
      <w:pPr>
        <w:spacing w:after="100"/>
      </w:pPr>
      <w:r>
        <w:rPr>
          <w:b w:val="0"/>
          <w:i w:val="0"/>
          <w:color w:val="262321"/>
          <w:sz w:val="19"/>
        </w:rPr>
        <w:t>All penetrations use components compatible with the final concept, gas group IIC, temperature range, IP66 and the M20×1.5 thread.</w:t>
      </w:r>
    </w:p>
    <w:p>
      <w:pPr>
        <w:keepNext/>
        <w:spacing w:after="60"/>
      </w:pPr>
      <w:r>
        <w:rPr>
          <w:b/>
          <w:i w:val="0"/>
          <w:color w:val="1B335F"/>
          <w:sz w:val="21"/>
        </w:rPr>
        <w:t>e.3.9 Grounding and electrostatic protection</w:t>
      </w:r>
    </w:p>
    <w:p>
      <w:pPr>
        <w:spacing w:after="100"/>
      </w:pPr>
      <w:r>
        <w:rPr>
          <w:b w:val="0"/>
          <w:i w:val="0"/>
          <w:color w:val="262321"/>
          <w:sz w:val="19"/>
        </w:rPr>
        <w:t>The metallic enclosure is bonded to protective earth through the external grounding stud; conductive parts keep electrical continuity.</w:t>
      </w:r>
    </w:p>
    <w:p>
      <w:pPr>
        <w:keepNext/>
        <w:spacing w:after="60"/>
      </w:pPr>
      <w:r>
        <w:rPr>
          <w:b/>
          <w:i w:val="0"/>
          <w:color w:val="1B335F"/>
          <w:sz w:val="21"/>
        </w:rPr>
        <w:t>e.3.10 Temperature protection</w:t>
      </w:r>
    </w:p>
    <w:p>
      <w:pPr>
        <w:spacing w:after="100"/>
      </w:pPr>
      <w:r>
        <w:rPr>
          <w:b w:val="0"/>
          <w:i w:val="0"/>
          <w:color w:val="262321"/>
          <w:sz w:val="19"/>
        </w:rPr>
        <w:t>Surface temperatures of sensors, fan, converters, enclosure and alarm module are evaluated at maximum load and fault conditions (2.6.f); T-class assigned only after testing.</w:t>
      </w:r>
    </w:p>
    <w:p>
      <w:pPr>
        <w:keepNext/>
        <w:spacing w:after="60"/>
      </w:pPr>
      <w:r>
        <w:rPr>
          <w:b/>
          <w:i w:val="0"/>
          <w:color w:val="1B335F"/>
          <w:sz w:val="21"/>
        </w:rPr>
        <w:t>e.3.11 Fault and abnormal conditions</w:t>
      </w:r>
    </w:p>
    <w:p>
      <w:pPr>
        <w:spacing w:after="100"/>
      </w:pPr>
      <w:r>
        <w:rPr>
          <w:b w:val="0"/>
          <w:i w:val="0"/>
          <w:color w:val="262321"/>
          <w:sz w:val="19"/>
        </w:rPr>
        <w:t>Fan stall (measured), blocked airflow, heater abnormality, converter failure, short circuit, loose terminal and maximum ambient are to be covered.</w:t>
      </w:r>
    </w:p>
    <w:p>
      <w:pPr>
        <w:pStyle w:val="Heading3"/>
      </w:pPr>
      <w:r>
        <w:t>2.6.f · Temperature Group Calculation (Hottest-Point Temperature Estimation)</w:t>
      </w:r>
    </w:p>
    <w:p>
      <w:pPr>
        <w:spacing w:after="160"/>
      </w:pPr>
      <w:r>
        <w:rPr>
          <w:b w:val="0"/>
          <w:i w:val="0"/>
          <w:sz w:val="21"/>
        </w:rPr>
        <w:t>A preliminary internal surface-temperature measurement has been carried out on a GLD V2 unit (eight thermocouple channels plus ambient; normal operation, maximum load, and fan stalled; 180 minutes each at approximately 24–25°C ambient). Maximum values, extrapolated to the +60°C maximum rated ambient: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736"/>
            <w:shd w:val="clear" w:color="auto" w:fill="EFEFEF"/>
          </w:tcPr>
          <w:p>
            <w:pPr>
              <w:spacing w:after="40"/>
            </w:pPr>
            <w:r>
              <w:rPr>
                <w:b/>
                <w:color w:val="4A4A4A"/>
                <w:sz w:val="18"/>
              </w:rPr>
              <w:t>Condition</w:t>
            </w:r>
          </w:p>
        </w:tc>
        <w:tc>
          <w:tcPr>
            <w:tcW w:type="dxa" w:w="2304"/>
            <w:shd w:val="clear" w:color="auto" w:fill="EFEFEF"/>
          </w:tcPr>
          <w:p>
            <w:pPr>
              <w:spacing w:after="40"/>
            </w:pPr>
            <w:r>
              <w:rPr>
                <w:b/>
                <w:color w:val="4A4A4A"/>
                <w:sz w:val="18"/>
              </w:rPr>
              <w:t>MQ sensor body</w:t>
            </w:r>
          </w:p>
        </w:tc>
        <w:tc>
          <w:tcPr>
            <w:tcW w:type="dxa" w:w="2160"/>
            <w:shd w:val="clear" w:color="auto" w:fill="EFEFEF"/>
          </w:tcPr>
          <w:p>
            <w:pPr>
              <w:spacing w:after="40"/>
            </w:pPr>
            <w:r>
              <w:rPr>
                <w:b/>
                <w:color w:val="4A4A4A"/>
                <w:sz w:val="18"/>
              </w:rPr>
              <w:t>PCB</w:t>
            </w:r>
          </w:p>
        </w:tc>
        <w:tc>
          <w:tcPr>
            <w:tcW w:type="dxa" w:w="2448"/>
            <w:shd w:val="clear" w:color="auto" w:fill="EFEFEF"/>
          </w:tcPr>
          <w:p>
            <w:pPr>
              <w:spacing w:after="40"/>
            </w:pPr>
            <w:r>
              <w:rPr>
                <w:b/>
                <w:color w:val="4A4A4A"/>
                <w:sz w:val="18"/>
              </w:rPr>
              <w:t>External enclosure</w:t>
            </w:r>
          </w:p>
        </w:tc>
      </w:tr>
      <w:tr>
        <w:tc>
          <w:tcPr>
            <w:tcW w:type="dxa" w:w="2736"/>
          </w:tcPr>
          <w:p>
            <w:pPr>
              <w:spacing w:after="40"/>
            </w:pPr>
            <w:r>
              <w:rPr>
                <w:sz w:val="19"/>
              </w:rPr>
              <w:t>Normal operation</w:t>
            </w:r>
          </w:p>
        </w:tc>
        <w:tc>
          <w:tcPr>
            <w:tcW w:type="dxa" w:w="2304"/>
          </w:tcPr>
          <w:p>
            <w:pPr>
              <w:spacing w:after="40"/>
            </w:pPr>
            <w:r>
              <w:rPr>
                <w:sz w:val="19"/>
              </w:rPr>
              <w:t>44.2 → ≈79°C</w:t>
            </w:r>
          </w:p>
        </w:tc>
        <w:tc>
          <w:tcPr>
            <w:tcW w:type="dxa" w:w="2160"/>
          </w:tcPr>
          <w:p>
            <w:pPr>
              <w:spacing w:after="40"/>
            </w:pPr>
            <w:r>
              <w:rPr>
                <w:sz w:val="19"/>
              </w:rPr>
              <w:t>52.4 → ≈88°C</w:t>
            </w:r>
          </w:p>
        </w:tc>
        <w:tc>
          <w:tcPr>
            <w:tcW w:type="dxa" w:w="2448"/>
          </w:tcPr>
          <w:p>
            <w:pPr>
              <w:spacing w:after="40"/>
            </w:pPr>
            <w:r>
              <w:rPr>
                <w:sz w:val="19"/>
              </w:rPr>
              <w:t>32.1 → ≈67°C</w:t>
            </w:r>
          </w:p>
        </w:tc>
      </w:tr>
      <w:tr>
        <w:tc>
          <w:tcPr>
            <w:tcW w:type="dxa" w:w="2736"/>
          </w:tcPr>
          <w:p>
            <w:pPr>
              <w:spacing w:after="40"/>
            </w:pPr>
            <w:r>
              <w:rPr>
                <w:sz w:val="19"/>
              </w:rPr>
              <w:t>Maximum load</w:t>
            </w:r>
          </w:p>
        </w:tc>
        <w:tc>
          <w:tcPr>
            <w:tcW w:type="dxa" w:w="2304"/>
          </w:tcPr>
          <w:p>
            <w:pPr>
              <w:spacing w:after="40"/>
            </w:pPr>
            <w:r>
              <w:rPr>
                <w:sz w:val="19"/>
              </w:rPr>
              <w:t>55.0 → ≈91°C</w:t>
            </w:r>
          </w:p>
        </w:tc>
        <w:tc>
          <w:tcPr>
            <w:tcW w:type="dxa" w:w="2160"/>
          </w:tcPr>
          <w:p>
            <w:pPr>
              <w:spacing w:after="40"/>
            </w:pPr>
            <w:r>
              <w:rPr>
                <w:sz w:val="19"/>
              </w:rPr>
              <w:t>58.3 → ≈94°C</w:t>
            </w:r>
          </w:p>
        </w:tc>
        <w:tc>
          <w:tcPr>
            <w:tcW w:type="dxa" w:w="2448"/>
          </w:tcPr>
          <w:p>
            <w:pPr>
              <w:spacing w:after="40"/>
            </w:pPr>
            <w:r>
              <w:rPr>
                <w:sz w:val="19"/>
              </w:rPr>
              <w:t>34.8 → ≈71°C</w:t>
            </w:r>
          </w:p>
        </w:tc>
      </w:tr>
      <w:tr>
        <w:tc>
          <w:tcPr>
            <w:tcW w:type="dxa" w:w="2736"/>
          </w:tcPr>
          <w:p>
            <w:pPr>
              <w:spacing w:after="40"/>
            </w:pPr>
            <w:r>
              <w:rPr>
                <w:sz w:val="19"/>
              </w:rPr>
              <w:t>Fan stalled (malfunction)</w:t>
            </w:r>
          </w:p>
        </w:tc>
        <w:tc>
          <w:tcPr>
            <w:tcW w:type="dxa" w:w="2304"/>
          </w:tcPr>
          <w:p>
            <w:pPr>
              <w:spacing w:after="40"/>
            </w:pPr>
            <w:r>
              <w:rPr>
                <w:sz w:val="19"/>
              </w:rPr>
              <w:t>78.4 → ≈114°C</w:t>
            </w:r>
          </w:p>
        </w:tc>
        <w:tc>
          <w:tcPr>
            <w:tcW w:type="dxa" w:w="2160"/>
          </w:tcPr>
          <w:p>
            <w:pPr>
              <w:spacing w:after="40"/>
            </w:pPr>
            <w:r>
              <w:rPr>
                <w:sz w:val="19"/>
              </w:rPr>
              <w:t>63.4 → ≈99°C</w:t>
            </w:r>
          </w:p>
        </w:tc>
        <w:tc>
          <w:tcPr>
            <w:tcW w:type="dxa" w:w="2448"/>
          </w:tcPr>
          <w:p>
            <w:pPr>
              <w:spacing w:after="40"/>
            </w:pPr>
            <w:r>
              <w:rPr>
                <w:sz w:val="19"/>
              </w:rPr>
              <w:t>43.9 → ≈79°C</w:t>
            </w:r>
          </w:p>
        </w:tc>
      </w:tr>
    </w:tbl>
    <w:p>
      <w:pPr>
        <w:spacing w:after="120"/>
      </w:pPr>
    </w:p>
    <w:p>
      <w:pPr>
        <w:spacing w:after="160"/>
      </w:pPr>
      <w:r>
        <w:rPr>
          <w:b w:val="0"/>
          <w:i w:val="0"/>
          <w:sz w:val="21"/>
        </w:rPr>
        <w:t>The highest extrapolated value (≈114°C) is below the effective T4 limit of 130°C (135°C less the 5 K margin under IEC 60079-0). Under the recommended Ex d concept, the external enclosure surface (≈79°C) governs the temperature class. Open items: DC/DC converter, power inductor and MOSFET/diode not yet measured; alarm/transmit condition not measured; maximum-load PCB reading not yet at thermal equilibrium; test metadata (date, unit, thermocouple type, supply voltage) not yet recorded; confirmation at maximum ambient requires ExCB type testing. Full detail in the companion technical document.</w:t>
      </w:r>
    </w:p>
    <w:p>
      <w:pPr>
        <w:spacing w:after="200"/>
      </w:pPr>
      <w:r>
        <w:rPr>
          <w:b/>
          <w:color w:val="4A4A4A"/>
          <w:sz w:val="19"/>
        </w:rPr>
        <w:t xml:space="preserve">Status: </w:t>
      </w:r>
      <w:r>
        <w:rPr>
          <w:i/>
          <w:color w:val="4A4A4A"/>
          <w:sz w:val="19"/>
        </w:rPr>
        <w:t>Partially available — preliminary internal measurement; indicates T4 is achievable with margin.</w:t>
      </w:r>
    </w:p>
    <w:p>
      <w:pPr>
        <w:pStyle w:val="Heading4"/>
      </w:pPr>
      <w:r>
        <w:t>2.6.f.1 Temperature-class evaluation structure (revision guide f.1–f.12)</w:t>
      </w:r>
    </w:p>
    <w:p>
      <w:pPr>
        <w:keepNext/>
        <w:spacing w:after="60"/>
      </w:pPr>
      <w:r>
        <w:rPr>
          <w:b/>
          <w:i w:val="0"/>
          <w:color w:val="1B335F"/>
          <w:sz w:val="21"/>
        </w:rPr>
        <w:t>f.1 Proposed temperature class</w:t>
      </w:r>
    </w:p>
    <w:p>
      <w:pPr>
        <w:spacing w:after="100"/>
      </w:pPr>
      <w:r>
        <w:rPr>
          <w:b w:val="0"/>
          <w:i w:val="0"/>
          <w:color w:val="262321"/>
          <w:sz w:val="19"/>
        </w:rPr>
        <w:t>T4 (≤135 °C; effective limit 130 °C with the 5 K margin). Final assignment only after the hot-spot measurements, extrapolation to maximum ambient and fault conditions are complete.</w:t>
      </w:r>
    </w:p>
    <w:p>
      <w:pPr>
        <w:keepNext/>
        <w:spacing w:after="60"/>
      </w:pPr>
      <w:r>
        <w:rPr>
          <w:b/>
          <w:i w:val="0"/>
          <w:color w:val="1B335F"/>
          <w:sz w:val="21"/>
        </w:rPr>
        <w:t>f.2 Maximum ambient temperature</w:t>
      </w:r>
    </w:p>
    <w:p>
      <w:pPr>
        <w:spacing w:after="100"/>
      </w:pPr>
      <w:r>
        <w:rPr>
          <w:b w:val="0"/>
          <w:i w:val="0"/>
          <w:color w:val="262321"/>
          <w:sz w:val="19"/>
        </w:rPr>
        <w:t>+60 °C, the rated maximum of the operating range −20 °C to +60 °C. Note: an assessment at +85 °C would raise the fan-stalled sensor-body value to about 139 °C, above the T4 limit; +85 °C is therefore not the rated ambient.</w:t>
      </w:r>
    </w:p>
    <w:p>
      <w:pPr>
        <w:keepNext/>
        <w:spacing w:after="60"/>
      </w:pPr>
      <w:r>
        <w:rPr>
          <w:b/>
          <w:i w:val="0"/>
          <w:color w:val="1B335F"/>
          <w:sz w:val="21"/>
        </w:rPr>
        <w:t>f.3 Candidate hottest points</w:t>
      </w:r>
    </w:p>
    <w:tbl>
      <w:tblPr>
        <w:tblStyle w:val="TableGrid"/>
        <w:tblW w:type="auto" w:w="0"/>
        <w:jc w:val="center"/>
        <w:tblLayout w:type="fixed"/>
        <w:tblLook w:firstColumn="1" w:firstRow="1" w:lastColumn="0" w:lastRow="0" w:noHBand="0" w:noVBand="1" w:val="04A0"/>
        <w:tblLayout w:type="fixed"/>
      </w:tblPr>
      <w:tblGrid>
        <w:gridCol w:w="720"/>
        <w:gridCol w:w="2880"/>
        <w:gridCol w:w="2592"/>
        <w:gridCol w:w="3311"/>
      </w:tblGrid>
      <w:tr>
        <w:trPr>
          <w:tblHeader w:val="true"/>
        </w:trPr>
        <w:tc>
          <w:tcPr>
            <w:tcW w:type="dxa" w:w="720"/>
            <w:shd w:val="clear" w:fill="EAEFF9"/>
          </w:tcPr>
          <w:p>
            <w:pPr>
              <w:spacing w:after="20"/>
            </w:pPr>
            <w:r>
              <w:rPr>
                <w:b/>
                <w:color w:val="1B335F"/>
                <w:sz w:val="16"/>
              </w:rPr>
              <w:t>Ref.</w:t>
            </w:r>
          </w:p>
        </w:tc>
        <w:tc>
          <w:tcPr>
            <w:tcW w:type="dxa" w:w="2880"/>
            <w:shd w:val="clear" w:fill="EAEFF9"/>
          </w:tcPr>
          <w:p>
            <w:pPr>
              <w:spacing w:after="20"/>
            </w:pPr>
            <w:r>
              <w:rPr>
                <w:b/>
                <w:color w:val="1B335F"/>
                <w:sz w:val="16"/>
              </w:rPr>
              <w:t>Component / location</w:t>
            </w:r>
          </w:p>
        </w:tc>
        <w:tc>
          <w:tcPr>
            <w:tcW w:type="dxa" w:w="2592"/>
            <w:shd w:val="clear" w:fill="EAEFF9"/>
          </w:tcPr>
          <w:p>
            <w:pPr>
              <w:spacing w:after="20"/>
            </w:pPr>
            <w:r>
              <w:rPr>
                <w:b/>
                <w:color w:val="1B335F"/>
                <w:sz w:val="16"/>
              </w:rPr>
              <w:t>Reason</w:t>
            </w:r>
          </w:p>
        </w:tc>
        <w:tc>
          <w:tcPr>
            <w:tcW w:type="dxa" w:w="3312"/>
            <w:shd w:val="clear" w:fill="EAEFF9"/>
          </w:tcPr>
          <w:p>
            <w:pPr>
              <w:spacing w:after="20"/>
            </w:pPr>
            <w:r>
              <w:rPr>
                <w:b/>
                <w:color w:val="1B335F"/>
                <w:sz w:val="16"/>
              </w:rPr>
              <w:t>Measurement status</w:t>
            </w:r>
          </w:p>
        </w:tc>
      </w:tr>
      <w:tr>
        <w:trPr>
          <w:cantSplit/>
        </w:trPr>
        <w:tc>
          <w:tcPr>
            <w:tcW w:type="dxa" w:w="720"/>
          </w:tcPr>
          <w:p>
            <w:pPr>
              <w:spacing w:after="20"/>
            </w:pPr>
            <w:r>
              <w:rPr>
                <w:b/>
                <w:sz w:val="16"/>
              </w:rPr>
              <w:t>T-01</w:t>
            </w:r>
          </w:p>
        </w:tc>
        <w:tc>
          <w:tcPr>
            <w:tcW w:type="dxa" w:w="2880"/>
          </w:tcPr>
          <w:p>
            <w:pPr>
              <w:spacing w:after="20"/>
            </w:pPr>
            <w:r>
              <w:rPr>
                <w:sz w:val="16"/>
              </w:rPr>
              <w:t>MQ sensor heater / sensor head</w:t>
            </w:r>
          </w:p>
        </w:tc>
        <w:tc>
          <w:tcPr>
            <w:tcW w:type="dxa" w:w="2592"/>
          </w:tcPr>
          <w:p>
            <w:pPr>
              <w:spacing w:after="20"/>
            </w:pPr>
            <w:r>
              <w:rPr>
                <w:sz w:val="16"/>
              </w:rPr>
              <w:t>Heater active during operation</w:t>
            </w:r>
          </w:p>
        </w:tc>
        <w:tc>
          <w:tcPr>
            <w:tcW w:type="dxa" w:w="3312"/>
            <w:shd w:val="clear" w:fill="E3F1E6"/>
          </w:tcPr>
          <w:p>
            <w:pPr>
              <w:spacing w:after="20"/>
            </w:pPr>
            <w:r>
              <w:rPr>
                <w:b/>
                <w:sz w:val="16"/>
              </w:rPr>
              <w:t>Measured (TC-1)</w:t>
            </w:r>
          </w:p>
        </w:tc>
      </w:tr>
      <w:tr>
        <w:trPr>
          <w:cantSplit/>
        </w:trPr>
        <w:tc>
          <w:tcPr>
            <w:tcW w:type="dxa" w:w="720"/>
          </w:tcPr>
          <w:p>
            <w:pPr>
              <w:spacing w:after="20"/>
            </w:pPr>
            <w:r>
              <w:rPr>
                <w:b/>
                <w:sz w:val="16"/>
              </w:rPr>
              <w:t>T-02</w:t>
            </w:r>
          </w:p>
        </w:tc>
        <w:tc>
          <w:tcPr>
            <w:tcW w:type="dxa" w:w="2880"/>
          </w:tcPr>
          <w:p>
            <w:pPr>
              <w:spacing w:after="20"/>
            </w:pPr>
            <w:r>
              <w:rPr>
                <w:sz w:val="16"/>
              </w:rPr>
              <w:t>DC fan motor/electronics</w:t>
            </w:r>
          </w:p>
        </w:tc>
        <w:tc>
          <w:tcPr>
            <w:tcW w:type="dxa" w:w="2592"/>
          </w:tcPr>
          <w:p>
            <w:pPr>
              <w:spacing w:after="20"/>
            </w:pPr>
            <w:r>
              <w:rPr>
                <w:sz w:val="16"/>
              </w:rPr>
              <w:t>Sampling and stalled condition</w:t>
            </w:r>
          </w:p>
        </w:tc>
        <w:tc>
          <w:tcPr>
            <w:tcW w:type="dxa" w:w="3312"/>
            <w:shd w:val="clear" w:fill="E3F1E6"/>
          </w:tcPr>
          <w:p>
            <w:pPr>
              <w:spacing w:after="20"/>
            </w:pPr>
            <w:r>
              <w:rPr>
                <w:b/>
                <w:sz w:val="16"/>
              </w:rPr>
              <w:t>Measured (TC-2)</w:t>
            </w:r>
          </w:p>
        </w:tc>
      </w:tr>
      <w:tr>
        <w:trPr>
          <w:cantSplit/>
        </w:trPr>
        <w:tc>
          <w:tcPr>
            <w:tcW w:type="dxa" w:w="720"/>
          </w:tcPr>
          <w:p>
            <w:pPr>
              <w:spacing w:after="20"/>
            </w:pPr>
            <w:r>
              <w:rPr>
                <w:b/>
                <w:sz w:val="16"/>
              </w:rPr>
              <w:t>T-03</w:t>
            </w:r>
          </w:p>
        </w:tc>
        <w:tc>
          <w:tcPr>
            <w:tcW w:type="dxa" w:w="2880"/>
          </w:tcPr>
          <w:p>
            <w:pPr>
              <w:spacing w:after="20"/>
            </w:pPr>
            <w:r>
              <w:rPr>
                <w:sz w:val="16"/>
              </w:rPr>
              <w:t>5 V converter (U36 LMR51450)</w:t>
            </w:r>
          </w:p>
        </w:tc>
        <w:tc>
          <w:tcPr>
            <w:tcW w:type="dxa" w:w="2592"/>
          </w:tcPr>
          <w:p>
            <w:pPr>
              <w:spacing w:after="20"/>
            </w:pPr>
            <w:r>
              <w:rPr>
                <w:sz w:val="16"/>
              </w:rPr>
              <w:t>Supplies MQ heaters</w:t>
            </w:r>
          </w:p>
        </w:tc>
        <w:tc>
          <w:tcPr>
            <w:tcW w:type="dxa" w:w="3312"/>
            <w:shd w:val="clear" w:fill="FBEEE4"/>
          </w:tcPr>
          <w:p>
            <w:pPr>
              <w:spacing w:after="20"/>
            </w:pPr>
            <w:r>
              <w:rPr>
                <w:b/>
                <w:sz w:val="16"/>
              </w:rPr>
              <w:t>Not measured (TC-3 planned)</w:t>
            </w:r>
          </w:p>
        </w:tc>
      </w:tr>
      <w:tr>
        <w:trPr>
          <w:cantSplit/>
        </w:trPr>
        <w:tc>
          <w:tcPr>
            <w:tcW w:type="dxa" w:w="720"/>
          </w:tcPr>
          <w:p>
            <w:pPr>
              <w:spacing w:after="20"/>
            </w:pPr>
            <w:r>
              <w:rPr>
                <w:b/>
                <w:sz w:val="16"/>
              </w:rPr>
              <w:t>T-04</w:t>
            </w:r>
          </w:p>
        </w:tc>
        <w:tc>
          <w:tcPr>
            <w:tcW w:type="dxa" w:w="2880"/>
          </w:tcPr>
          <w:p>
            <w:pPr>
              <w:spacing w:after="20"/>
            </w:pPr>
            <w:r>
              <w:rPr>
                <w:sz w:val="16"/>
              </w:rPr>
              <w:t>3.3 V regulator (U43/U42)</w:t>
            </w:r>
          </w:p>
        </w:tc>
        <w:tc>
          <w:tcPr>
            <w:tcW w:type="dxa" w:w="2592"/>
          </w:tcPr>
          <w:p>
            <w:pPr>
              <w:spacing w:after="20"/>
            </w:pPr>
            <w:r>
              <w:rPr>
                <w:sz w:val="16"/>
              </w:rPr>
              <w:t>MCU supply</w:t>
            </w:r>
          </w:p>
        </w:tc>
        <w:tc>
          <w:tcPr>
            <w:tcW w:type="dxa" w:w="3312"/>
            <w:shd w:val="clear" w:fill="FBEEE4"/>
          </w:tcPr>
          <w:p>
            <w:pPr>
              <w:spacing w:after="20"/>
            </w:pPr>
            <w:r>
              <w:rPr>
                <w:b/>
                <w:sz w:val="16"/>
              </w:rPr>
              <w:t>Not measured</w:t>
            </w:r>
          </w:p>
        </w:tc>
      </w:tr>
      <w:tr>
        <w:trPr>
          <w:cantSplit/>
        </w:trPr>
        <w:tc>
          <w:tcPr>
            <w:tcW w:type="dxa" w:w="720"/>
          </w:tcPr>
          <w:p>
            <w:pPr>
              <w:spacing w:after="20"/>
            </w:pPr>
            <w:r>
              <w:rPr>
                <w:b/>
                <w:sz w:val="16"/>
              </w:rPr>
              <w:t>T-05</w:t>
            </w:r>
          </w:p>
        </w:tc>
        <w:tc>
          <w:tcPr>
            <w:tcW w:type="dxa" w:w="2880"/>
          </w:tcPr>
          <w:p>
            <w:pPr>
              <w:spacing w:after="20"/>
            </w:pPr>
            <w:r>
              <w:rPr>
                <w:sz w:val="16"/>
              </w:rPr>
              <w:t>Boost/buck converter ICs</w:t>
            </w:r>
          </w:p>
        </w:tc>
        <w:tc>
          <w:tcPr>
            <w:tcW w:type="dxa" w:w="2592"/>
          </w:tcPr>
          <w:p>
            <w:pPr>
              <w:spacing w:after="20"/>
            </w:pPr>
            <w:r>
              <w:rPr>
                <w:sz w:val="16"/>
              </w:rPr>
              <w:t>Switching losses</w:t>
            </w:r>
          </w:p>
        </w:tc>
        <w:tc>
          <w:tcPr>
            <w:tcW w:type="dxa" w:w="3312"/>
            <w:shd w:val="clear" w:fill="FBEEE4"/>
          </w:tcPr>
          <w:p>
            <w:pPr>
              <w:spacing w:after="20"/>
            </w:pPr>
            <w:r>
              <w:rPr>
                <w:b/>
                <w:sz w:val="16"/>
              </w:rPr>
              <w:t>Not measured (TC-3 planned)</w:t>
            </w:r>
          </w:p>
        </w:tc>
      </w:tr>
      <w:tr>
        <w:trPr>
          <w:cantSplit/>
        </w:trPr>
        <w:tc>
          <w:tcPr>
            <w:tcW w:type="dxa" w:w="720"/>
          </w:tcPr>
          <w:p>
            <w:pPr>
              <w:spacing w:after="20"/>
            </w:pPr>
            <w:r>
              <w:rPr>
                <w:b/>
                <w:sz w:val="16"/>
              </w:rPr>
              <w:t>T-06</w:t>
            </w:r>
          </w:p>
        </w:tc>
        <w:tc>
          <w:tcPr>
            <w:tcW w:type="dxa" w:w="2880"/>
          </w:tcPr>
          <w:p>
            <w:pPr>
              <w:spacing w:after="20"/>
            </w:pPr>
            <w:r>
              <w:rPr>
                <w:sz w:val="16"/>
              </w:rPr>
              <w:t>Power inductors</w:t>
            </w:r>
          </w:p>
        </w:tc>
        <w:tc>
          <w:tcPr>
            <w:tcW w:type="dxa" w:w="2592"/>
          </w:tcPr>
          <w:p>
            <w:pPr>
              <w:spacing w:after="20"/>
            </w:pPr>
            <w:r>
              <w:rPr>
                <w:sz w:val="16"/>
              </w:rPr>
              <w:t>Copper/core losses</w:t>
            </w:r>
          </w:p>
        </w:tc>
        <w:tc>
          <w:tcPr>
            <w:tcW w:type="dxa" w:w="3312"/>
            <w:shd w:val="clear" w:fill="FBEEE4"/>
          </w:tcPr>
          <w:p>
            <w:pPr>
              <w:spacing w:after="20"/>
            </w:pPr>
            <w:r>
              <w:rPr>
                <w:b/>
                <w:sz w:val="16"/>
              </w:rPr>
              <w:t>Not measured (TC-4 planned)</w:t>
            </w:r>
          </w:p>
        </w:tc>
      </w:tr>
      <w:tr>
        <w:trPr>
          <w:cantSplit/>
        </w:trPr>
        <w:tc>
          <w:tcPr>
            <w:tcW w:type="dxa" w:w="720"/>
          </w:tcPr>
          <w:p>
            <w:pPr>
              <w:spacing w:after="20"/>
            </w:pPr>
            <w:r>
              <w:rPr>
                <w:b/>
                <w:sz w:val="16"/>
              </w:rPr>
              <w:t>T-07</w:t>
            </w:r>
          </w:p>
        </w:tc>
        <w:tc>
          <w:tcPr>
            <w:tcW w:type="dxa" w:w="2880"/>
          </w:tcPr>
          <w:p>
            <w:pPr>
              <w:spacing w:after="20"/>
            </w:pPr>
            <w:r>
              <w:rPr>
                <w:sz w:val="16"/>
              </w:rPr>
              <w:t>Input MOSFET / protection devices</w:t>
            </w:r>
          </w:p>
        </w:tc>
        <w:tc>
          <w:tcPr>
            <w:tcW w:type="dxa" w:w="2592"/>
          </w:tcPr>
          <w:p>
            <w:pPr>
              <w:spacing w:after="20"/>
            </w:pPr>
            <w:r>
              <w:rPr>
                <w:sz w:val="16"/>
              </w:rPr>
              <w:t>Conduction/fault heating</w:t>
            </w:r>
          </w:p>
        </w:tc>
        <w:tc>
          <w:tcPr>
            <w:tcW w:type="dxa" w:w="3312"/>
            <w:shd w:val="clear" w:fill="FBEEE4"/>
          </w:tcPr>
          <w:p>
            <w:pPr>
              <w:spacing w:after="20"/>
            </w:pPr>
            <w:r>
              <w:rPr>
                <w:b/>
                <w:sz w:val="16"/>
              </w:rPr>
              <w:t>Not measured (TC-5 planned)</w:t>
            </w:r>
          </w:p>
        </w:tc>
      </w:tr>
      <w:tr>
        <w:trPr>
          <w:cantSplit/>
        </w:trPr>
        <w:tc>
          <w:tcPr>
            <w:tcW w:type="dxa" w:w="720"/>
          </w:tcPr>
          <w:p>
            <w:pPr>
              <w:spacing w:after="20"/>
            </w:pPr>
            <w:r>
              <w:rPr>
                <w:b/>
                <w:sz w:val="16"/>
              </w:rPr>
              <w:t>T-08</w:t>
            </w:r>
          </w:p>
        </w:tc>
        <w:tc>
          <w:tcPr>
            <w:tcW w:type="dxa" w:w="2880"/>
          </w:tcPr>
          <w:p>
            <w:pPr>
              <w:spacing w:after="20"/>
            </w:pPr>
            <w:r>
              <w:rPr>
                <w:sz w:val="16"/>
              </w:rPr>
              <w:t>ESP32-S3</w:t>
            </w:r>
          </w:p>
        </w:tc>
        <w:tc>
          <w:tcPr>
            <w:tcW w:type="dxa" w:w="2592"/>
          </w:tcPr>
          <w:p>
            <w:pPr>
              <w:spacing w:after="20"/>
            </w:pPr>
            <w:r>
              <w:rPr>
                <w:sz w:val="16"/>
              </w:rPr>
              <w:t>Processing / AI inference</w:t>
            </w:r>
          </w:p>
        </w:tc>
        <w:tc>
          <w:tcPr>
            <w:tcW w:type="dxa" w:w="3312"/>
          </w:tcPr>
          <w:p>
            <w:pPr>
              <w:spacing w:after="20"/>
            </w:pPr>
            <w:r>
              <w:rPr>
                <w:b/>
                <w:sz w:val="16"/>
              </w:rPr>
              <w:t>Covered by PCB hottest area (TC-6)</w:t>
            </w:r>
          </w:p>
        </w:tc>
      </w:tr>
      <w:tr>
        <w:trPr>
          <w:cantSplit/>
        </w:trPr>
        <w:tc>
          <w:tcPr>
            <w:tcW w:type="dxa" w:w="720"/>
          </w:tcPr>
          <w:p>
            <w:pPr>
              <w:spacing w:after="20"/>
            </w:pPr>
            <w:r>
              <w:rPr>
                <w:b/>
                <w:sz w:val="16"/>
              </w:rPr>
              <w:t>T-09</w:t>
            </w:r>
          </w:p>
        </w:tc>
        <w:tc>
          <w:tcPr>
            <w:tcW w:type="dxa" w:w="2880"/>
          </w:tcPr>
          <w:p>
            <w:pPr>
              <w:spacing w:after="20"/>
            </w:pPr>
            <w:r>
              <w:rPr>
                <w:sz w:val="16"/>
              </w:rPr>
              <w:t>LoRa module</w:t>
            </w:r>
          </w:p>
        </w:tc>
        <w:tc>
          <w:tcPr>
            <w:tcW w:type="dxa" w:w="2592"/>
          </w:tcPr>
          <w:p>
            <w:pPr>
              <w:spacing w:after="20"/>
            </w:pPr>
            <w:r>
              <w:rPr>
                <w:sz w:val="16"/>
              </w:rPr>
              <w:t>RF transmission</w:t>
            </w:r>
          </w:p>
        </w:tc>
        <w:tc>
          <w:tcPr>
            <w:tcW w:type="dxa" w:w="3312"/>
            <w:shd w:val="clear" w:fill="FBEEE4"/>
          </w:tcPr>
          <w:p>
            <w:pPr>
              <w:spacing w:after="20"/>
            </w:pPr>
            <w:r>
              <w:rPr>
                <w:b/>
                <w:sz w:val="16"/>
              </w:rPr>
              <w:t>Not measured at maximum TX</w:t>
            </w:r>
          </w:p>
        </w:tc>
      </w:tr>
      <w:tr>
        <w:trPr>
          <w:cantSplit/>
        </w:trPr>
        <w:tc>
          <w:tcPr>
            <w:tcW w:type="dxa" w:w="720"/>
          </w:tcPr>
          <w:p>
            <w:pPr>
              <w:spacing w:after="20"/>
            </w:pPr>
            <w:r>
              <w:rPr>
                <w:b/>
                <w:sz w:val="16"/>
              </w:rPr>
              <w:t>T-10</w:t>
            </w:r>
          </w:p>
        </w:tc>
        <w:tc>
          <w:tcPr>
            <w:tcW w:type="dxa" w:w="2880"/>
          </w:tcPr>
          <w:p>
            <w:pPr>
              <w:spacing w:after="20"/>
            </w:pPr>
            <w:r>
              <w:rPr>
                <w:sz w:val="16"/>
              </w:rPr>
              <w:t>LED/buzzer alarm module</w:t>
            </w:r>
          </w:p>
        </w:tc>
        <w:tc>
          <w:tcPr>
            <w:tcW w:type="dxa" w:w="2592"/>
          </w:tcPr>
          <w:p>
            <w:pPr>
              <w:spacing w:after="20"/>
            </w:pPr>
            <w:r>
              <w:rPr>
                <w:sz w:val="16"/>
              </w:rPr>
              <w:t>Alarm active</w:t>
            </w:r>
          </w:p>
        </w:tc>
        <w:tc>
          <w:tcPr>
            <w:tcW w:type="dxa" w:w="3312"/>
            <w:shd w:val="clear" w:fill="FBEEE4"/>
          </w:tcPr>
          <w:p>
            <w:pPr>
              <w:spacing w:after="20"/>
            </w:pPr>
            <w:r>
              <w:rPr>
                <w:b/>
                <w:sz w:val="16"/>
              </w:rPr>
              <w:t>Not measured</w:t>
            </w:r>
          </w:p>
        </w:tc>
      </w:tr>
      <w:tr>
        <w:trPr>
          <w:cantSplit/>
        </w:trPr>
        <w:tc>
          <w:tcPr>
            <w:tcW w:type="dxa" w:w="720"/>
          </w:tcPr>
          <w:p>
            <w:pPr>
              <w:spacing w:after="20"/>
            </w:pPr>
            <w:r>
              <w:rPr>
                <w:b/>
                <w:sz w:val="16"/>
              </w:rPr>
              <w:t>T-11</w:t>
            </w:r>
          </w:p>
        </w:tc>
        <w:tc>
          <w:tcPr>
            <w:tcW w:type="dxa" w:w="2880"/>
          </w:tcPr>
          <w:p>
            <w:pPr>
              <w:spacing w:after="20"/>
            </w:pPr>
            <w:r>
              <w:rPr>
                <w:sz w:val="16"/>
              </w:rPr>
              <w:t>Main enclosure external surface</w:t>
            </w:r>
          </w:p>
        </w:tc>
        <w:tc>
          <w:tcPr>
            <w:tcW w:type="dxa" w:w="2592"/>
          </w:tcPr>
          <w:p>
            <w:pPr>
              <w:spacing w:after="20"/>
            </w:pPr>
            <w:r>
              <w:rPr>
                <w:sz w:val="16"/>
              </w:rPr>
              <w:t>Governs T-class under Ex d</w:t>
            </w:r>
          </w:p>
        </w:tc>
        <w:tc>
          <w:tcPr>
            <w:tcW w:type="dxa" w:w="3312"/>
            <w:shd w:val="clear" w:fill="E3F1E6"/>
          </w:tcPr>
          <w:p>
            <w:pPr>
              <w:spacing w:after="20"/>
            </w:pPr>
            <w:r>
              <w:rPr>
                <w:b/>
                <w:sz w:val="16"/>
              </w:rPr>
              <w:t>Measured (TC-7/TC-8)</w:t>
            </w:r>
          </w:p>
        </w:tc>
      </w:tr>
      <w:tr>
        <w:trPr>
          <w:cantSplit/>
        </w:trPr>
        <w:tc>
          <w:tcPr>
            <w:tcW w:type="dxa" w:w="720"/>
          </w:tcPr>
          <w:p>
            <w:pPr>
              <w:spacing w:after="20"/>
            </w:pPr>
            <w:r>
              <w:rPr>
                <w:b/>
                <w:sz w:val="16"/>
              </w:rPr>
              <w:t>T-12</w:t>
            </w:r>
          </w:p>
        </w:tc>
        <w:tc>
          <w:tcPr>
            <w:tcW w:type="dxa" w:w="2880"/>
          </w:tcPr>
          <w:p>
            <w:pPr>
              <w:spacing w:after="20"/>
            </w:pPr>
            <w:r>
              <w:rPr>
                <w:sz w:val="16"/>
              </w:rPr>
              <w:t>Front mesh / cover near sensor chamber</w:t>
            </w:r>
          </w:p>
        </w:tc>
        <w:tc>
          <w:tcPr>
            <w:tcW w:type="dxa" w:w="2592"/>
          </w:tcPr>
          <w:p>
            <w:pPr>
              <w:spacing w:after="20"/>
            </w:pPr>
            <w:r>
              <w:rPr>
                <w:sz w:val="16"/>
              </w:rPr>
              <w:t>Heater and airflow</w:t>
            </w:r>
          </w:p>
        </w:tc>
        <w:tc>
          <w:tcPr>
            <w:tcW w:type="dxa" w:w="3312"/>
            <w:shd w:val="clear" w:fill="FBEEE4"/>
          </w:tcPr>
          <w:p>
            <w:pPr>
              <w:spacing w:after="20"/>
            </w:pPr>
            <w:r>
              <w:rPr>
                <w:b/>
                <w:sz w:val="16"/>
              </w:rPr>
              <w:t>Not measured</w:t>
            </w:r>
          </w:p>
        </w:tc>
      </w:tr>
    </w:tbl>
    <w:p>
      <w:pPr>
        <w:spacing w:after="40"/>
      </w:pPr>
    </w:p>
    <w:p>
      <w:pPr>
        <w:keepNext/>
        <w:spacing w:after="60"/>
      </w:pPr>
      <w:r>
        <w:rPr>
          <w:b/>
          <w:i w:val="0"/>
          <w:color w:val="1B335F"/>
          <w:sz w:val="21"/>
        </w:rPr>
        <w:t>f.4 Worst-case operating condition</w:t>
      </w:r>
    </w:p>
    <w:p>
      <w:pPr>
        <w:pStyle w:val="ListBullet"/>
        <w:spacing w:after="20"/>
      </w:pPr>
      <w:r>
        <w:rPr>
          <w:b w:val="0"/>
          <w:i w:val="0"/>
          <w:color w:val="262321"/>
          <w:sz w:val="19"/>
        </w:rPr>
        <w:t>maximum permitted input supply voltage</w:t>
      </w:r>
    </w:p>
    <w:p>
      <w:pPr>
        <w:pStyle w:val="ListBullet"/>
        <w:spacing w:after="20"/>
      </w:pPr>
      <w:r>
        <w:rPr>
          <w:b w:val="0"/>
          <w:i w:val="0"/>
          <w:color w:val="262321"/>
          <w:sz w:val="19"/>
        </w:rPr>
        <w:t>maximum ambient temperature (+60 °C)</w:t>
      </w:r>
    </w:p>
    <w:p>
      <w:pPr>
        <w:pStyle w:val="ListBullet"/>
        <w:spacing w:after="20"/>
      </w:pPr>
      <w:r>
        <w:rPr>
          <w:b w:val="0"/>
          <w:i w:val="0"/>
          <w:color w:val="262321"/>
          <w:sz w:val="19"/>
        </w:rPr>
        <w:t>all eight MQ heaters energized</w:t>
      </w:r>
    </w:p>
    <w:p>
      <w:pPr>
        <w:pStyle w:val="ListBullet"/>
        <w:spacing w:after="20"/>
      </w:pPr>
      <w:r>
        <w:rPr>
          <w:b w:val="0"/>
          <w:i w:val="0"/>
          <w:color w:val="262321"/>
          <w:sz w:val="19"/>
        </w:rPr>
        <w:t>ESP32-S3 performing AI inference</w:t>
      </w:r>
    </w:p>
    <w:p>
      <w:pPr>
        <w:pStyle w:val="ListBullet"/>
        <w:spacing w:after="20"/>
      </w:pPr>
      <w:r>
        <w:rPr>
          <w:b w:val="0"/>
          <w:i w:val="0"/>
          <w:color w:val="262321"/>
          <w:sz w:val="19"/>
        </w:rPr>
        <w:t>LoRa transmitting at the maximum approved power (22 dBm)</w:t>
      </w:r>
    </w:p>
    <w:p>
      <w:pPr>
        <w:pStyle w:val="ListBullet"/>
        <w:spacing w:after="20"/>
      </w:pPr>
      <w:r>
        <w:rPr>
          <w:b w:val="0"/>
          <w:i w:val="0"/>
          <w:color w:val="262321"/>
          <w:sz w:val="19"/>
        </w:rPr>
        <w:t>local alarm active</w:t>
      </w:r>
    </w:p>
    <w:p>
      <w:pPr>
        <w:pStyle w:val="ListBullet"/>
        <w:spacing w:after="20"/>
      </w:pPr>
      <w:r>
        <w:rPr>
          <w:b w:val="0"/>
          <w:i w:val="0"/>
          <w:color w:val="262321"/>
          <w:sz w:val="19"/>
        </w:rPr>
        <w:t>DC fan operating according to the production sampling cycle</w:t>
      </w:r>
    </w:p>
    <w:p>
      <w:pPr>
        <w:keepNext/>
        <w:spacing w:after="60"/>
      </w:pPr>
      <w:r>
        <w:rPr>
          <w:b/>
          <w:i w:val="0"/>
          <w:color w:val="1B335F"/>
          <w:sz w:val="21"/>
        </w:rPr>
        <w:t>f.5 Fan failure / airflow loss</w:t>
      </w:r>
    </w:p>
    <w:p>
      <w:pPr>
        <w:spacing w:after="100"/>
      </w:pPr>
      <w:r>
        <w:rPr>
          <w:b w:val="0"/>
          <w:i w:val="0"/>
          <w:color w:val="262321"/>
          <w:sz w:val="19"/>
        </w:rPr>
        <w:t>Measured: fan-stalled run of 180 min. Sensor body rose from 44.2 °C (normal) to 78.4 °C, PCB from 52.4 °C to 63.4 °C, external enclosure from 32.1 °C to 43.9 °C — the fan-stalled condition is the governing case so far.</w:t>
      </w:r>
    </w:p>
    <w:p>
      <w:pPr>
        <w:keepNext/>
        <w:spacing w:after="60"/>
      </w:pPr>
      <w:r>
        <w:rPr>
          <w:b/>
          <w:i w:val="0"/>
          <w:color w:val="1B335F"/>
          <w:sz w:val="21"/>
        </w:rPr>
        <w:t>f.6 Blocked or restricted mesh</w:t>
      </w:r>
    </w:p>
    <w:p>
      <w:pPr>
        <w:spacing w:after="100"/>
      </w:pPr>
      <w:r>
        <w:rPr>
          <w:b w:val="0"/>
          <w:i w:val="0"/>
          <w:color w:val="262321"/>
          <w:sz w:val="19"/>
        </w:rPr>
        <w:t>Not tested. To be included where it affects internal cooling.</w:t>
      </w:r>
    </w:p>
    <w:p>
      <w:pPr>
        <w:keepNext/>
        <w:spacing w:after="60"/>
      </w:pPr>
      <w:r>
        <w:rPr>
          <w:b/>
          <w:i w:val="0"/>
          <w:color w:val="1B335F"/>
          <w:sz w:val="21"/>
        </w:rPr>
        <w:t>f.7 Electrical fault conditions</w:t>
      </w:r>
    </w:p>
    <w:p>
      <w:pPr>
        <w:spacing w:after="100"/>
      </w:pPr>
      <w:r>
        <w:rPr>
          <w:b w:val="0"/>
          <w:i w:val="0"/>
          <w:color w:val="262321"/>
          <w:sz w:val="19"/>
        </w:rPr>
        <w:t>Regulator fault, heater overvoltage, shorted load, abnormal high current and component overload: not tested; to be assessed by test or by circuit-protection analysis (EL-01…EL-07).</w:t>
      </w:r>
    </w:p>
    <w:p>
      <w:pPr>
        <w:keepNext/>
        <w:spacing w:after="60"/>
      </w:pPr>
      <w:r>
        <w:rPr>
          <w:b/>
          <w:i w:val="0"/>
          <w:color w:val="1B335F"/>
          <w:sz w:val="21"/>
        </w:rPr>
        <w:t>f.8 Measurement method</w:t>
      </w:r>
    </w:p>
    <w:p>
      <w:pPr>
        <w:spacing w:after="100"/>
      </w:pPr>
      <w:r>
        <w:rPr>
          <w:b w:val="0"/>
          <w:i w:val="0"/>
          <w:color w:val="262321"/>
          <w:sz w:val="19"/>
        </w:rPr>
        <w:t>Thermocouples at eight points plus ambient reference, logged for 180 minutes per condition. To be recorded for each point: ambient, input voltage, current, operating mode, fan/alarm/RF state, stabilization time and temperature. Thermocouple type and calibration: not yet recorded.</w:t>
      </w:r>
    </w:p>
    <w:p>
      <w:pPr>
        <w:keepNext/>
        <w:spacing w:after="60"/>
      </w:pPr>
      <w:r>
        <w:rPr>
          <w:b/>
          <w:i w:val="0"/>
          <w:color w:val="1B335F"/>
          <w:sz w:val="21"/>
        </w:rPr>
        <w:t>f.9 Thermal stabilization</w:t>
      </w:r>
    </w:p>
    <w:p>
      <w:pPr>
        <w:spacing w:after="100"/>
      </w:pPr>
      <w:r>
        <w:rPr>
          <w:b w:val="0"/>
          <w:i w:val="0"/>
          <w:color w:val="262321"/>
          <w:sz w:val="19"/>
        </w:rPr>
        <w:t>Criterion ≤2 K/h. The PCB reading under maximum load was still rising in the final hour (46.4 → 55.8 → 58.3 °C) and must be repeated until stable.</w:t>
      </w:r>
    </w:p>
    <w:p>
      <w:pPr>
        <w:keepNext/>
        <w:spacing w:after="60"/>
      </w:pPr>
      <w:r>
        <w:rPr>
          <w:b/>
          <w:i w:val="0"/>
          <w:color w:val="1B335F"/>
          <w:sz w:val="21"/>
        </w:rPr>
        <w:t>f.10 Temperature correction / extrapolation</w:t>
      </w:r>
    </w:p>
    <w:p>
      <w:pPr>
        <w:spacing w:after="100"/>
      </w:pPr>
      <w:r>
        <w:rPr>
          <w:b w:val="0"/>
          <w:i w:val="0"/>
          <w:color w:val="262321"/>
          <w:sz w:val="19"/>
        </w:rPr>
        <w:t>T(Ta,max) = Ta,max + (T,measured − T,amb,test). Example from the fan-stalled run: 60 + (78.4 − 24.8) ≈ 114 °C. Use of this method is subject to ExCB acceptance; confirmation at maximum ambient is part of type testing.</w:t>
      </w:r>
    </w:p>
    <w:p>
      <w:pPr>
        <w:keepNext/>
        <w:spacing w:after="60"/>
      </w:pPr>
      <w:r>
        <w:rPr>
          <w:b/>
          <w:i w:val="0"/>
          <w:color w:val="1B335F"/>
          <w:sz w:val="21"/>
        </w:rPr>
        <w:t>f.11 Results table</w:t>
      </w:r>
    </w:p>
    <w:tbl>
      <w:tblPr>
        <w:tblStyle w:val="TableGrid"/>
        <w:tblW w:type="auto" w:w="0"/>
        <w:jc w:val="center"/>
        <w:tblLayout w:type="fixed"/>
        <w:tblLook w:firstColumn="1" w:firstRow="1" w:lastColumn="0" w:lastRow="0" w:noHBand="0" w:noVBand="1" w:val="04A0"/>
        <w:tblLayout w:type="fixed"/>
      </w:tblPr>
      <w:tblGrid>
        <w:gridCol w:w="648"/>
        <w:gridCol w:w="1944"/>
        <w:gridCol w:w="1296"/>
        <w:gridCol w:w="1080"/>
        <w:gridCol w:w="936"/>
        <w:gridCol w:w="936"/>
        <w:gridCol w:w="1080"/>
        <w:gridCol w:w="1584"/>
      </w:tblGrid>
      <w:tr>
        <w:trPr>
          <w:tblHeader w:val="true"/>
        </w:trPr>
        <w:tc>
          <w:tcPr>
            <w:tcW w:type="dxa" w:w="648"/>
            <w:shd w:val="clear" w:fill="EAEFF9"/>
          </w:tcPr>
          <w:p>
            <w:pPr>
              <w:spacing w:after="20"/>
            </w:pPr>
            <w:r>
              <w:rPr>
                <w:b/>
                <w:color w:val="1B335F"/>
                <w:sz w:val="15"/>
              </w:rPr>
              <w:t>Ref.</w:t>
            </w:r>
          </w:p>
        </w:tc>
        <w:tc>
          <w:tcPr>
            <w:tcW w:type="dxa" w:w="1944"/>
            <w:shd w:val="clear" w:fill="EAEFF9"/>
          </w:tcPr>
          <w:p>
            <w:pPr>
              <w:spacing w:after="20"/>
            </w:pPr>
            <w:r>
              <w:rPr>
                <w:b/>
                <w:color w:val="1B335F"/>
                <w:sz w:val="15"/>
              </w:rPr>
              <w:t>Point</w:t>
            </w:r>
          </w:p>
        </w:tc>
        <w:tc>
          <w:tcPr>
            <w:tcW w:type="dxa" w:w="1296"/>
            <w:shd w:val="clear" w:fill="EAEFF9"/>
          </w:tcPr>
          <w:p>
            <w:pPr>
              <w:spacing w:after="20"/>
            </w:pPr>
            <w:r>
              <w:rPr>
                <w:b/>
                <w:color w:val="1B335F"/>
                <w:sz w:val="15"/>
              </w:rPr>
              <w:t>Condition</w:t>
            </w:r>
          </w:p>
        </w:tc>
        <w:tc>
          <w:tcPr>
            <w:tcW w:type="dxa" w:w="1080"/>
            <w:shd w:val="clear" w:fill="EAEFF9"/>
          </w:tcPr>
          <w:p>
            <w:pPr>
              <w:spacing w:after="20"/>
            </w:pPr>
            <w:r>
              <w:rPr>
                <w:b/>
                <w:color w:val="1B335F"/>
                <w:sz w:val="15"/>
              </w:rPr>
              <w:t>Test ambient</w:t>
            </w:r>
          </w:p>
        </w:tc>
        <w:tc>
          <w:tcPr>
            <w:tcW w:type="dxa" w:w="936"/>
            <w:shd w:val="clear" w:fill="EAEFF9"/>
          </w:tcPr>
          <w:p>
            <w:pPr>
              <w:spacing w:after="20"/>
            </w:pPr>
            <w:r>
              <w:rPr>
                <w:b/>
                <w:color w:val="1B335F"/>
                <w:sz w:val="15"/>
              </w:rPr>
              <w:t>Measured</w:t>
            </w:r>
          </w:p>
        </w:tc>
        <w:tc>
          <w:tcPr>
            <w:tcW w:type="dxa" w:w="936"/>
            <w:shd w:val="clear" w:fill="EAEFF9"/>
          </w:tcPr>
          <w:p>
            <w:pPr>
              <w:spacing w:after="20"/>
            </w:pPr>
            <w:r>
              <w:rPr>
                <w:b/>
                <w:color w:val="1B335F"/>
                <w:sz w:val="15"/>
              </w:rPr>
              <w:t>Rise</w:t>
            </w:r>
          </w:p>
        </w:tc>
        <w:tc>
          <w:tcPr>
            <w:tcW w:type="dxa" w:w="1080"/>
            <w:shd w:val="clear" w:fill="EAEFF9"/>
          </w:tcPr>
          <w:p>
            <w:pPr>
              <w:spacing w:after="20"/>
            </w:pPr>
            <w:r>
              <w:rPr>
                <w:b/>
                <w:color w:val="1B335F"/>
                <w:sz w:val="15"/>
              </w:rPr>
              <w:t>Est. at +60 °C</w:t>
            </w:r>
          </w:p>
        </w:tc>
        <w:tc>
          <w:tcPr>
            <w:tcW w:type="dxa" w:w="1584"/>
            <w:shd w:val="clear" w:fill="EAEFF9"/>
          </w:tcPr>
          <w:p>
            <w:pPr>
              <w:spacing w:after="20"/>
            </w:pPr>
            <w:r>
              <w:rPr>
                <w:b/>
                <w:color w:val="1B335F"/>
                <w:sz w:val="15"/>
              </w:rPr>
              <w:t>Status</w:t>
            </w:r>
          </w:p>
        </w:tc>
      </w:tr>
      <w:tr>
        <w:trPr>
          <w:cantSplit/>
        </w:trPr>
        <w:tc>
          <w:tcPr>
            <w:tcW w:type="dxa" w:w="648"/>
          </w:tcPr>
          <w:p>
            <w:pPr>
              <w:spacing w:after="20"/>
            </w:pPr>
            <w:r>
              <w:rPr>
                <w:b/>
                <w:sz w:val="15"/>
              </w:rPr>
              <w:t>T-01</w:t>
            </w:r>
          </w:p>
        </w:tc>
        <w:tc>
          <w:tcPr>
            <w:tcW w:type="dxa" w:w="1944"/>
          </w:tcPr>
          <w:p>
            <w:pPr>
              <w:spacing w:after="20"/>
            </w:pPr>
            <w:r>
              <w:rPr>
                <w:sz w:val="15"/>
              </w:rPr>
              <w:t>MQ sensor body</w:t>
            </w:r>
          </w:p>
        </w:tc>
        <w:tc>
          <w:tcPr>
            <w:tcW w:type="dxa" w:w="1296"/>
          </w:tcPr>
          <w:p>
            <w:pPr>
              <w:spacing w:after="20"/>
            </w:pPr>
            <w:r>
              <w:rPr>
                <w:sz w:val="15"/>
              </w:rPr>
              <w:t>Normal</w:t>
            </w:r>
          </w:p>
        </w:tc>
        <w:tc>
          <w:tcPr>
            <w:tcW w:type="dxa" w:w="1080"/>
          </w:tcPr>
          <w:p>
            <w:pPr>
              <w:spacing w:after="20"/>
            </w:pPr>
            <w:r>
              <w:rPr>
                <w:sz w:val="15"/>
              </w:rPr>
              <w:t>24.9 °C</w:t>
            </w:r>
          </w:p>
        </w:tc>
        <w:tc>
          <w:tcPr>
            <w:tcW w:type="dxa" w:w="936"/>
          </w:tcPr>
          <w:p>
            <w:pPr>
              <w:spacing w:after="20"/>
            </w:pPr>
            <w:r>
              <w:rPr>
                <w:sz w:val="15"/>
              </w:rPr>
              <w:t>44.2 °C</w:t>
            </w:r>
          </w:p>
        </w:tc>
        <w:tc>
          <w:tcPr>
            <w:tcW w:type="dxa" w:w="936"/>
          </w:tcPr>
          <w:p>
            <w:pPr>
              <w:spacing w:after="20"/>
            </w:pPr>
            <w:r>
              <w:rPr>
                <w:sz w:val="15"/>
              </w:rPr>
              <w:t>19.3 K</w:t>
            </w:r>
          </w:p>
        </w:tc>
        <w:tc>
          <w:tcPr>
            <w:tcW w:type="dxa" w:w="1080"/>
          </w:tcPr>
          <w:p>
            <w:pPr>
              <w:spacing w:after="20"/>
            </w:pPr>
            <w:r>
              <w:rPr>
                <w:sz w:val="15"/>
              </w:rPr>
              <w:t>≈79 °C</w:t>
            </w:r>
          </w:p>
        </w:tc>
        <w:tc>
          <w:tcPr>
            <w:tcW w:type="dxa" w:w="1584"/>
            <w:shd w:val="clear" w:fill="E3F1E6"/>
          </w:tcPr>
          <w:p>
            <w:pPr>
              <w:spacing w:after="20"/>
            </w:pPr>
            <w:r>
              <w:rPr>
                <w:b/>
                <w:sz w:val="15"/>
              </w:rPr>
              <w:t>Measured</w:t>
            </w:r>
          </w:p>
        </w:tc>
      </w:tr>
      <w:tr>
        <w:trPr>
          <w:cantSplit/>
        </w:trPr>
        <w:tc>
          <w:tcPr>
            <w:tcW w:type="dxa" w:w="648"/>
          </w:tcPr>
          <w:p>
            <w:pPr>
              <w:spacing w:after="20"/>
            </w:pPr>
            <w:r>
              <w:rPr>
                <w:b/>
                <w:sz w:val="15"/>
              </w:rPr>
              <w:t>T-01</w:t>
            </w:r>
          </w:p>
        </w:tc>
        <w:tc>
          <w:tcPr>
            <w:tcW w:type="dxa" w:w="1944"/>
          </w:tcPr>
          <w:p>
            <w:pPr>
              <w:spacing w:after="20"/>
            </w:pPr>
            <w:r>
              <w:rPr>
                <w:sz w:val="15"/>
              </w:rPr>
              <w:t>MQ sensor body</w:t>
            </w:r>
          </w:p>
        </w:tc>
        <w:tc>
          <w:tcPr>
            <w:tcW w:type="dxa" w:w="1296"/>
          </w:tcPr>
          <w:p>
            <w:pPr>
              <w:spacing w:after="20"/>
            </w:pPr>
            <w:r>
              <w:rPr>
                <w:sz w:val="15"/>
              </w:rPr>
              <w:t>Maximum load</w:t>
            </w:r>
          </w:p>
        </w:tc>
        <w:tc>
          <w:tcPr>
            <w:tcW w:type="dxa" w:w="1080"/>
          </w:tcPr>
          <w:p>
            <w:pPr>
              <w:spacing w:after="20"/>
            </w:pPr>
            <w:r>
              <w:rPr>
                <w:sz w:val="15"/>
              </w:rPr>
              <w:t>24.2 °C</w:t>
            </w:r>
          </w:p>
        </w:tc>
        <w:tc>
          <w:tcPr>
            <w:tcW w:type="dxa" w:w="936"/>
          </w:tcPr>
          <w:p>
            <w:pPr>
              <w:spacing w:after="20"/>
            </w:pPr>
            <w:r>
              <w:rPr>
                <w:sz w:val="15"/>
              </w:rPr>
              <w:t>55.0 °C</w:t>
            </w:r>
          </w:p>
        </w:tc>
        <w:tc>
          <w:tcPr>
            <w:tcW w:type="dxa" w:w="936"/>
          </w:tcPr>
          <w:p>
            <w:pPr>
              <w:spacing w:after="20"/>
            </w:pPr>
            <w:r>
              <w:rPr>
                <w:sz w:val="15"/>
              </w:rPr>
              <w:t>30.8 K</w:t>
            </w:r>
          </w:p>
        </w:tc>
        <w:tc>
          <w:tcPr>
            <w:tcW w:type="dxa" w:w="1080"/>
          </w:tcPr>
          <w:p>
            <w:pPr>
              <w:spacing w:after="20"/>
            </w:pPr>
            <w:r>
              <w:rPr>
                <w:sz w:val="15"/>
              </w:rPr>
              <w:t>≈91 °C</w:t>
            </w:r>
          </w:p>
        </w:tc>
        <w:tc>
          <w:tcPr>
            <w:tcW w:type="dxa" w:w="1584"/>
            <w:shd w:val="clear" w:fill="E3F1E6"/>
          </w:tcPr>
          <w:p>
            <w:pPr>
              <w:spacing w:after="20"/>
            </w:pPr>
            <w:r>
              <w:rPr>
                <w:b/>
                <w:sz w:val="15"/>
              </w:rPr>
              <w:t>Measured</w:t>
            </w:r>
          </w:p>
        </w:tc>
      </w:tr>
      <w:tr>
        <w:trPr>
          <w:cantSplit/>
        </w:trPr>
        <w:tc>
          <w:tcPr>
            <w:tcW w:type="dxa" w:w="648"/>
          </w:tcPr>
          <w:p>
            <w:pPr>
              <w:spacing w:after="20"/>
            </w:pPr>
            <w:r>
              <w:rPr>
                <w:b/>
                <w:sz w:val="15"/>
              </w:rPr>
              <w:t>T-01</w:t>
            </w:r>
          </w:p>
        </w:tc>
        <w:tc>
          <w:tcPr>
            <w:tcW w:type="dxa" w:w="1944"/>
          </w:tcPr>
          <w:p>
            <w:pPr>
              <w:spacing w:after="20"/>
            </w:pPr>
            <w:r>
              <w:rPr>
                <w:sz w:val="15"/>
              </w:rPr>
              <w:t>MQ sensor body</w:t>
            </w:r>
          </w:p>
        </w:tc>
        <w:tc>
          <w:tcPr>
            <w:tcW w:type="dxa" w:w="1296"/>
          </w:tcPr>
          <w:p>
            <w:pPr>
              <w:spacing w:after="20"/>
            </w:pPr>
            <w:r>
              <w:rPr>
                <w:sz w:val="15"/>
              </w:rPr>
              <w:t>Fan stalled</w:t>
            </w:r>
          </w:p>
        </w:tc>
        <w:tc>
          <w:tcPr>
            <w:tcW w:type="dxa" w:w="1080"/>
          </w:tcPr>
          <w:p>
            <w:pPr>
              <w:spacing w:after="20"/>
            </w:pPr>
            <w:r>
              <w:rPr>
                <w:sz w:val="15"/>
              </w:rPr>
              <w:t>24.8 °C</w:t>
            </w:r>
          </w:p>
        </w:tc>
        <w:tc>
          <w:tcPr>
            <w:tcW w:type="dxa" w:w="936"/>
          </w:tcPr>
          <w:p>
            <w:pPr>
              <w:spacing w:after="20"/>
            </w:pPr>
            <w:r>
              <w:rPr>
                <w:sz w:val="15"/>
              </w:rPr>
              <w:t>78.4 °C</w:t>
            </w:r>
          </w:p>
        </w:tc>
        <w:tc>
          <w:tcPr>
            <w:tcW w:type="dxa" w:w="936"/>
          </w:tcPr>
          <w:p>
            <w:pPr>
              <w:spacing w:after="20"/>
            </w:pPr>
            <w:r>
              <w:rPr>
                <w:sz w:val="15"/>
              </w:rPr>
              <w:t>53.6 K</w:t>
            </w:r>
          </w:p>
        </w:tc>
        <w:tc>
          <w:tcPr>
            <w:tcW w:type="dxa" w:w="1080"/>
          </w:tcPr>
          <w:p>
            <w:pPr>
              <w:spacing w:after="20"/>
            </w:pPr>
            <w:r>
              <w:rPr>
                <w:sz w:val="15"/>
              </w:rPr>
              <w:t>≈114 °C</w:t>
            </w:r>
          </w:p>
        </w:tc>
        <w:tc>
          <w:tcPr>
            <w:tcW w:type="dxa" w:w="1584"/>
            <w:shd w:val="clear" w:fill="E3F1E6"/>
          </w:tcPr>
          <w:p>
            <w:pPr>
              <w:spacing w:after="20"/>
            </w:pPr>
            <w:r>
              <w:rPr>
                <w:b/>
                <w:sz w:val="15"/>
              </w:rPr>
              <w:t>Measured</w:t>
            </w:r>
          </w:p>
        </w:tc>
      </w:tr>
      <w:tr>
        <w:trPr>
          <w:cantSplit/>
        </w:trPr>
        <w:tc>
          <w:tcPr>
            <w:tcW w:type="dxa" w:w="648"/>
          </w:tcPr>
          <w:p>
            <w:pPr>
              <w:spacing w:after="20"/>
            </w:pPr>
            <w:r>
              <w:rPr>
                <w:b/>
                <w:sz w:val="15"/>
              </w:rPr>
              <w:t>T-02</w:t>
            </w:r>
          </w:p>
        </w:tc>
        <w:tc>
          <w:tcPr>
            <w:tcW w:type="dxa" w:w="1944"/>
          </w:tcPr>
          <w:p>
            <w:pPr>
              <w:spacing w:after="20"/>
            </w:pPr>
            <w:r>
              <w:rPr>
                <w:sz w:val="15"/>
              </w:rPr>
              <w:t>Fan motor</w:t>
            </w:r>
          </w:p>
        </w:tc>
        <w:tc>
          <w:tcPr>
            <w:tcW w:type="dxa" w:w="1296"/>
          </w:tcPr>
          <w:p>
            <w:pPr>
              <w:spacing w:after="20"/>
            </w:pPr>
            <w:r>
              <w:rPr>
                <w:sz w:val="15"/>
              </w:rPr>
              <w:t>Normal / stalled</w:t>
            </w:r>
          </w:p>
        </w:tc>
        <w:tc>
          <w:tcPr>
            <w:tcW w:type="dxa" w:w="1080"/>
          </w:tcPr>
          <w:p>
            <w:pPr>
              <w:spacing w:after="20"/>
            </w:pPr>
            <w:r>
              <w:rPr>
                <w:sz w:val="15"/>
              </w:rPr>
              <w:t>24.9 / 24.8 °C</w:t>
            </w:r>
          </w:p>
        </w:tc>
        <w:tc>
          <w:tcPr>
            <w:tcW w:type="dxa" w:w="936"/>
          </w:tcPr>
          <w:p>
            <w:pPr>
              <w:spacing w:after="20"/>
            </w:pPr>
            <w:r>
              <w:rPr>
                <w:sz w:val="15"/>
              </w:rPr>
              <w:t>36.3 °C</w:t>
            </w:r>
          </w:p>
        </w:tc>
        <w:tc>
          <w:tcPr>
            <w:tcW w:type="dxa" w:w="936"/>
          </w:tcPr>
          <w:p>
            <w:pPr>
              <w:spacing w:after="20"/>
            </w:pPr>
            <w:r>
              <w:rPr>
                <w:sz w:val="15"/>
              </w:rPr>
              <w:t>11.4 / 11.5 K</w:t>
            </w:r>
          </w:p>
        </w:tc>
        <w:tc>
          <w:tcPr>
            <w:tcW w:type="dxa" w:w="1080"/>
          </w:tcPr>
          <w:p>
            <w:pPr>
              <w:spacing w:after="20"/>
            </w:pPr>
            <w:r>
              <w:rPr>
                <w:sz w:val="15"/>
              </w:rPr>
              <w:t>≈71 °C</w:t>
            </w:r>
          </w:p>
        </w:tc>
        <w:tc>
          <w:tcPr>
            <w:tcW w:type="dxa" w:w="1584"/>
            <w:shd w:val="clear" w:fill="E3F1E6"/>
          </w:tcPr>
          <w:p>
            <w:pPr>
              <w:spacing w:after="20"/>
            </w:pPr>
            <w:r>
              <w:rPr>
                <w:b/>
                <w:sz w:val="15"/>
              </w:rPr>
              <w:t>Measured</w:t>
            </w:r>
          </w:p>
        </w:tc>
      </w:tr>
      <w:tr>
        <w:trPr>
          <w:cantSplit/>
        </w:trPr>
        <w:tc>
          <w:tcPr>
            <w:tcW w:type="dxa" w:w="648"/>
          </w:tcPr>
          <w:p>
            <w:pPr>
              <w:spacing w:after="20"/>
            </w:pPr>
            <w:r>
              <w:rPr>
                <w:b/>
                <w:sz w:val="15"/>
              </w:rPr>
              <w:t>T-03</w:t>
            </w:r>
          </w:p>
        </w:tc>
        <w:tc>
          <w:tcPr>
            <w:tcW w:type="dxa" w:w="1944"/>
          </w:tcPr>
          <w:p>
            <w:pPr>
              <w:spacing w:after="20"/>
            </w:pPr>
            <w:r>
              <w:rPr>
                <w:sz w:val="15"/>
              </w:rPr>
              <w:t>5 V converter IC</w:t>
            </w:r>
          </w:p>
        </w:tc>
        <w:tc>
          <w:tcPr>
            <w:tcW w:type="dxa" w:w="1296"/>
          </w:tcPr>
          <w:p>
            <w:pPr>
              <w:spacing w:after="20"/>
            </w:pPr>
            <w:r>
              <w:rPr>
                <w:sz w:val="15"/>
              </w:rPr>
              <w:t>Maximum load</w:t>
            </w:r>
          </w:p>
        </w:tc>
        <w:tc>
          <w:tcPr>
            <w:tcW w:type="dxa" w:w="1080"/>
          </w:tcPr>
          <w:p>
            <w:pPr>
              <w:spacing w:after="20"/>
            </w:pPr>
            <w:r>
              <w:rPr>
                <w:sz w:val="15"/>
              </w:rPr>
              <w:t>—</w:t>
            </w:r>
          </w:p>
        </w:tc>
        <w:tc>
          <w:tcPr>
            <w:tcW w:type="dxa" w:w="936"/>
          </w:tcPr>
          <w:p>
            <w:pPr>
              <w:spacing w:after="20"/>
            </w:pPr>
            <w:r>
              <w:rPr>
                <w:sz w:val="15"/>
              </w:rPr>
              <w:t>—</w:t>
            </w:r>
          </w:p>
        </w:tc>
        <w:tc>
          <w:tcPr>
            <w:tcW w:type="dxa" w:w="936"/>
          </w:tcPr>
          <w:p>
            <w:pPr>
              <w:spacing w:after="20"/>
            </w:pPr>
            <w:r>
              <w:rPr>
                <w:sz w:val="15"/>
              </w:rPr>
              <w:t>—</w:t>
            </w:r>
          </w:p>
        </w:tc>
        <w:tc>
          <w:tcPr>
            <w:tcW w:type="dxa" w:w="1080"/>
          </w:tcPr>
          <w:p>
            <w:pPr>
              <w:spacing w:after="20"/>
            </w:pPr>
            <w:r>
              <w:rPr>
                <w:sz w:val="15"/>
              </w:rPr>
              <w:t>—</w:t>
            </w:r>
          </w:p>
        </w:tc>
        <w:tc>
          <w:tcPr>
            <w:tcW w:type="dxa" w:w="1584"/>
            <w:shd w:val="clear" w:fill="FBEEE4"/>
          </w:tcPr>
          <w:p>
            <w:pPr>
              <w:spacing w:after="20"/>
            </w:pPr>
            <w:r>
              <w:rPr>
                <w:b/>
                <w:sz w:val="15"/>
              </w:rPr>
              <w:t>Not measured</w:t>
            </w:r>
          </w:p>
        </w:tc>
      </w:tr>
      <w:tr>
        <w:trPr>
          <w:cantSplit/>
        </w:trPr>
        <w:tc>
          <w:tcPr>
            <w:tcW w:type="dxa" w:w="648"/>
          </w:tcPr>
          <w:p>
            <w:pPr>
              <w:spacing w:after="20"/>
            </w:pPr>
            <w:r>
              <w:rPr>
                <w:b/>
                <w:sz w:val="15"/>
              </w:rPr>
              <w:t>T-04</w:t>
            </w:r>
          </w:p>
        </w:tc>
        <w:tc>
          <w:tcPr>
            <w:tcW w:type="dxa" w:w="1944"/>
          </w:tcPr>
          <w:p>
            <w:pPr>
              <w:spacing w:after="20"/>
            </w:pPr>
            <w:r>
              <w:rPr>
                <w:sz w:val="15"/>
              </w:rPr>
              <w:t>Power inductor</w:t>
            </w:r>
          </w:p>
        </w:tc>
        <w:tc>
          <w:tcPr>
            <w:tcW w:type="dxa" w:w="1296"/>
          </w:tcPr>
          <w:p>
            <w:pPr>
              <w:spacing w:after="20"/>
            </w:pPr>
            <w:r>
              <w:rPr>
                <w:sz w:val="15"/>
              </w:rPr>
              <w:t>Maximum load</w:t>
            </w:r>
          </w:p>
        </w:tc>
        <w:tc>
          <w:tcPr>
            <w:tcW w:type="dxa" w:w="1080"/>
          </w:tcPr>
          <w:p>
            <w:pPr>
              <w:spacing w:after="20"/>
            </w:pPr>
            <w:r>
              <w:rPr>
                <w:sz w:val="15"/>
              </w:rPr>
              <w:t>—</w:t>
            </w:r>
          </w:p>
        </w:tc>
        <w:tc>
          <w:tcPr>
            <w:tcW w:type="dxa" w:w="936"/>
          </w:tcPr>
          <w:p>
            <w:pPr>
              <w:spacing w:after="20"/>
            </w:pPr>
            <w:r>
              <w:rPr>
                <w:sz w:val="15"/>
              </w:rPr>
              <w:t>—</w:t>
            </w:r>
          </w:p>
        </w:tc>
        <w:tc>
          <w:tcPr>
            <w:tcW w:type="dxa" w:w="936"/>
          </w:tcPr>
          <w:p>
            <w:pPr>
              <w:spacing w:after="20"/>
            </w:pPr>
            <w:r>
              <w:rPr>
                <w:sz w:val="15"/>
              </w:rPr>
              <w:t>—</w:t>
            </w:r>
          </w:p>
        </w:tc>
        <w:tc>
          <w:tcPr>
            <w:tcW w:type="dxa" w:w="1080"/>
          </w:tcPr>
          <w:p>
            <w:pPr>
              <w:spacing w:after="20"/>
            </w:pPr>
            <w:r>
              <w:rPr>
                <w:sz w:val="15"/>
              </w:rPr>
              <w:t>—</w:t>
            </w:r>
          </w:p>
        </w:tc>
        <w:tc>
          <w:tcPr>
            <w:tcW w:type="dxa" w:w="1584"/>
            <w:shd w:val="clear" w:fill="FBEEE4"/>
          </w:tcPr>
          <w:p>
            <w:pPr>
              <w:spacing w:after="20"/>
            </w:pPr>
            <w:r>
              <w:rPr>
                <w:b/>
                <w:sz w:val="15"/>
              </w:rPr>
              <w:t>Not measured</w:t>
            </w:r>
          </w:p>
        </w:tc>
      </w:tr>
      <w:tr>
        <w:trPr>
          <w:cantSplit/>
        </w:trPr>
        <w:tc>
          <w:tcPr>
            <w:tcW w:type="dxa" w:w="648"/>
          </w:tcPr>
          <w:p>
            <w:pPr>
              <w:spacing w:after="20"/>
            </w:pPr>
            <w:r>
              <w:rPr>
                <w:b/>
                <w:sz w:val="15"/>
              </w:rPr>
              <w:t>T-05</w:t>
            </w:r>
          </w:p>
        </w:tc>
        <w:tc>
          <w:tcPr>
            <w:tcW w:type="dxa" w:w="1944"/>
          </w:tcPr>
          <w:p>
            <w:pPr>
              <w:spacing w:after="20"/>
            </w:pPr>
            <w:r>
              <w:rPr>
                <w:sz w:val="15"/>
              </w:rPr>
              <w:t>PCB hottest area (incl. ESP32-S3)</w:t>
            </w:r>
          </w:p>
        </w:tc>
        <w:tc>
          <w:tcPr>
            <w:tcW w:type="dxa" w:w="1296"/>
          </w:tcPr>
          <w:p>
            <w:pPr>
              <w:spacing w:after="20"/>
            </w:pPr>
            <w:r>
              <w:rPr>
                <w:sz w:val="15"/>
              </w:rPr>
              <w:t>Fan stalled</w:t>
            </w:r>
          </w:p>
        </w:tc>
        <w:tc>
          <w:tcPr>
            <w:tcW w:type="dxa" w:w="1080"/>
          </w:tcPr>
          <w:p>
            <w:pPr>
              <w:spacing w:after="20"/>
            </w:pPr>
            <w:r>
              <w:rPr>
                <w:sz w:val="15"/>
              </w:rPr>
              <w:t>24.8 °C</w:t>
            </w:r>
          </w:p>
        </w:tc>
        <w:tc>
          <w:tcPr>
            <w:tcW w:type="dxa" w:w="936"/>
          </w:tcPr>
          <w:p>
            <w:pPr>
              <w:spacing w:after="20"/>
            </w:pPr>
            <w:r>
              <w:rPr>
                <w:sz w:val="15"/>
              </w:rPr>
              <w:t>63.4 °C</w:t>
            </w:r>
          </w:p>
        </w:tc>
        <w:tc>
          <w:tcPr>
            <w:tcW w:type="dxa" w:w="936"/>
          </w:tcPr>
          <w:p>
            <w:pPr>
              <w:spacing w:after="20"/>
            </w:pPr>
            <w:r>
              <w:rPr>
                <w:sz w:val="15"/>
              </w:rPr>
              <w:t>38.6 K</w:t>
            </w:r>
          </w:p>
        </w:tc>
        <w:tc>
          <w:tcPr>
            <w:tcW w:type="dxa" w:w="1080"/>
          </w:tcPr>
          <w:p>
            <w:pPr>
              <w:spacing w:after="20"/>
            </w:pPr>
            <w:r>
              <w:rPr>
                <w:sz w:val="15"/>
              </w:rPr>
              <w:t>≈99 °C</w:t>
            </w:r>
          </w:p>
        </w:tc>
        <w:tc>
          <w:tcPr>
            <w:tcW w:type="dxa" w:w="1584"/>
            <w:shd w:val="clear" w:fill="E3F1E6"/>
          </w:tcPr>
          <w:p>
            <w:pPr>
              <w:spacing w:after="20"/>
            </w:pPr>
            <w:r>
              <w:rPr>
                <w:b/>
                <w:sz w:val="15"/>
              </w:rPr>
              <w:t>Measured</w:t>
            </w:r>
          </w:p>
        </w:tc>
      </w:tr>
      <w:tr>
        <w:trPr>
          <w:cantSplit/>
        </w:trPr>
        <w:tc>
          <w:tcPr>
            <w:tcW w:type="dxa" w:w="648"/>
          </w:tcPr>
          <w:p>
            <w:pPr>
              <w:spacing w:after="20"/>
            </w:pPr>
            <w:r>
              <w:rPr>
                <w:b/>
                <w:sz w:val="15"/>
              </w:rPr>
              <w:t>T-05</w:t>
            </w:r>
          </w:p>
        </w:tc>
        <w:tc>
          <w:tcPr>
            <w:tcW w:type="dxa" w:w="1944"/>
          </w:tcPr>
          <w:p>
            <w:pPr>
              <w:spacing w:after="20"/>
            </w:pPr>
            <w:r>
              <w:rPr>
                <w:sz w:val="15"/>
              </w:rPr>
              <w:t>PCB hottest area</w:t>
            </w:r>
          </w:p>
        </w:tc>
        <w:tc>
          <w:tcPr>
            <w:tcW w:type="dxa" w:w="1296"/>
          </w:tcPr>
          <w:p>
            <w:pPr>
              <w:spacing w:after="20"/>
            </w:pPr>
            <w:r>
              <w:rPr>
                <w:sz w:val="15"/>
              </w:rPr>
              <w:t>Maximum load</w:t>
            </w:r>
          </w:p>
        </w:tc>
        <w:tc>
          <w:tcPr>
            <w:tcW w:type="dxa" w:w="1080"/>
          </w:tcPr>
          <w:p>
            <w:pPr>
              <w:spacing w:after="20"/>
            </w:pPr>
            <w:r>
              <w:rPr>
                <w:sz w:val="15"/>
              </w:rPr>
              <w:t>24.2 °C</w:t>
            </w:r>
          </w:p>
        </w:tc>
        <w:tc>
          <w:tcPr>
            <w:tcW w:type="dxa" w:w="936"/>
          </w:tcPr>
          <w:p>
            <w:pPr>
              <w:spacing w:after="20"/>
            </w:pPr>
            <w:r>
              <w:rPr>
                <w:sz w:val="15"/>
              </w:rPr>
              <w:t>58.3 °C</w:t>
            </w:r>
          </w:p>
        </w:tc>
        <w:tc>
          <w:tcPr>
            <w:tcW w:type="dxa" w:w="936"/>
          </w:tcPr>
          <w:p>
            <w:pPr>
              <w:spacing w:after="20"/>
            </w:pPr>
            <w:r>
              <w:rPr>
                <w:sz w:val="15"/>
              </w:rPr>
              <w:t>34.1 K</w:t>
            </w:r>
          </w:p>
        </w:tc>
        <w:tc>
          <w:tcPr>
            <w:tcW w:type="dxa" w:w="1080"/>
          </w:tcPr>
          <w:p>
            <w:pPr>
              <w:spacing w:after="20"/>
            </w:pPr>
            <w:r>
              <w:rPr>
                <w:sz w:val="15"/>
              </w:rPr>
              <w:t>≈94 °C</w:t>
            </w:r>
          </w:p>
        </w:tc>
        <w:tc>
          <w:tcPr>
            <w:tcW w:type="dxa" w:w="1584"/>
            <w:shd w:val="clear" w:fill="FFF4D6"/>
          </w:tcPr>
          <w:p>
            <w:pPr>
              <w:spacing w:after="20"/>
            </w:pPr>
            <w:r>
              <w:rPr>
                <w:b/>
                <w:sz w:val="15"/>
              </w:rPr>
              <w:t>Preliminary — not stable</w:t>
            </w:r>
          </w:p>
        </w:tc>
      </w:tr>
      <w:tr>
        <w:trPr>
          <w:cantSplit/>
        </w:trPr>
        <w:tc>
          <w:tcPr>
            <w:tcW w:type="dxa" w:w="648"/>
          </w:tcPr>
          <w:p>
            <w:pPr>
              <w:spacing w:after="20"/>
            </w:pPr>
            <w:r>
              <w:rPr>
                <w:b/>
                <w:sz w:val="15"/>
              </w:rPr>
              <w:t>T-06</w:t>
            </w:r>
          </w:p>
        </w:tc>
        <w:tc>
          <w:tcPr>
            <w:tcW w:type="dxa" w:w="1944"/>
          </w:tcPr>
          <w:p>
            <w:pPr>
              <w:spacing w:after="20"/>
            </w:pPr>
            <w:r>
              <w:rPr>
                <w:sz w:val="15"/>
              </w:rPr>
              <w:t>LoRa module</w:t>
            </w:r>
          </w:p>
        </w:tc>
        <w:tc>
          <w:tcPr>
            <w:tcW w:type="dxa" w:w="1296"/>
          </w:tcPr>
          <w:p>
            <w:pPr>
              <w:spacing w:after="20"/>
            </w:pPr>
            <w:r>
              <w:rPr>
                <w:sz w:val="15"/>
              </w:rPr>
              <w:t>Maximum TX</w:t>
            </w:r>
          </w:p>
        </w:tc>
        <w:tc>
          <w:tcPr>
            <w:tcW w:type="dxa" w:w="1080"/>
          </w:tcPr>
          <w:p>
            <w:pPr>
              <w:spacing w:after="20"/>
            </w:pPr>
            <w:r>
              <w:rPr>
                <w:sz w:val="15"/>
              </w:rPr>
              <w:t>—</w:t>
            </w:r>
          </w:p>
        </w:tc>
        <w:tc>
          <w:tcPr>
            <w:tcW w:type="dxa" w:w="936"/>
          </w:tcPr>
          <w:p>
            <w:pPr>
              <w:spacing w:after="20"/>
            </w:pPr>
            <w:r>
              <w:rPr>
                <w:sz w:val="15"/>
              </w:rPr>
              <w:t>—</w:t>
            </w:r>
          </w:p>
        </w:tc>
        <w:tc>
          <w:tcPr>
            <w:tcW w:type="dxa" w:w="936"/>
          </w:tcPr>
          <w:p>
            <w:pPr>
              <w:spacing w:after="20"/>
            </w:pPr>
            <w:r>
              <w:rPr>
                <w:sz w:val="15"/>
              </w:rPr>
              <w:t>—</w:t>
            </w:r>
          </w:p>
        </w:tc>
        <w:tc>
          <w:tcPr>
            <w:tcW w:type="dxa" w:w="1080"/>
          </w:tcPr>
          <w:p>
            <w:pPr>
              <w:spacing w:after="20"/>
            </w:pPr>
            <w:r>
              <w:rPr>
                <w:sz w:val="15"/>
              </w:rPr>
              <w:t>—</w:t>
            </w:r>
          </w:p>
        </w:tc>
        <w:tc>
          <w:tcPr>
            <w:tcW w:type="dxa" w:w="1584"/>
            <w:shd w:val="clear" w:fill="FBEEE4"/>
          </w:tcPr>
          <w:p>
            <w:pPr>
              <w:spacing w:after="20"/>
            </w:pPr>
            <w:r>
              <w:rPr>
                <w:b/>
                <w:sz w:val="15"/>
              </w:rPr>
              <w:t>Not measured</w:t>
            </w:r>
          </w:p>
        </w:tc>
      </w:tr>
      <w:tr>
        <w:trPr>
          <w:cantSplit/>
        </w:trPr>
        <w:tc>
          <w:tcPr>
            <w:tcW w:type="dxa" w:w="648"/>
          </w:tcPr>
          <w:p>
            <w:pPr>
              <w:spacing w:after="20"/>
            </w:pPr>
            <w:r>
              <w:rPr>
                <w:b/>
                <w:sz w:val="15"/>
              </w:rPr>
              <w:t>T-07</w:t>
            </w:r>
          </w:p>
        </w:tc>
        <w:tc>
          <w:tcPr>
            <w:tcW w:type="dxa" w:w="1944"/>
          </w:tcPr>
          <w:p>
            <w:pPr>
              <w:spacing w:after="20"/>
            </w:pPr>
            <w:r>
              <w:rPr>
                <w:sz w:val="15"/>
              </w:rPr>
              <w:t>Alarm module</w:t>
            </w:r>
          </w:p>
        </w:tc>
        <w:tc>
          <w:tcPr>
            <w:tcW w:type="dxa" w:w="1296"/>
          </w:tcPr>
          <w:p>
            <w:pPr>
              <w:spacing w:after="20"/>
            </w:pPr>
            <w:r>
              <w:rPr>
                <w:sz w:val="15"/>
              </w:rPr>
              <w:t>Alarm active</w:t>
            </w:r>
          </w:p>
        </w:tc>
        <w:tc>
          <w:tcPr>
            <w:tcW w:type="dxa" w:w="1080"/>
          </w:tcPr>
          <w:p>
            <w:pPr>
              <w:spacing w:after="20"/>
            </w:pPr>
            <w:r>
              <w:rPr>
                <w:sz w:val="15"/>
              </w:rPr>
              <w:t>—</w:t>
            </w:r>
          </w:p>
        </w:tc>
        <w:tc>
          <w:tcPr>
            <w:tcW w:type="dxa" w:w="936"/>
          </w:tcPr>
          <w:p>
            <w:pPr>
              <w:spacing w:after="20"/>
            </w:pPr>
            <w:r>
              <w:rPr>
                <w:sz w:val="15"/>
              </w:rPr>
              <w:t>—</w:t>
            </w:r>
          </w:p>
        </w:tc>
        <w:tc>
          <w:tcPr>
            <w:tcW w:type="dxa" w:w="936"/>
          </w:tcPr>
          <w:p>
            <w:pPr>
              <w:spacing w:after="20"/>
            </w:pPr>
            <w:r>
              <w:rPr>
                <w:sz w:val="15"/>
              </w:rPr>
              <w:t>—</w:t>
            </w:r>
          </w:p>
        </w:tc>
        <w:tc>
          <w:tcPr>
            <w:tcW w:type="dxa" w:w="1080"/>
          </w:tcPr>
          <w:p>
            <w:pPr>
              <w:spacing w:after="20"/>
            </w:pPr>
            <w:r>
              <w:rPr>
                <w:sz w:val="15"/>
              </w:rPr>
              <w:t>—</w:t>
            </w:r>
          </w:p>
        </w:tc>
        <w:tc>
          <w:tcPr>
            <w:tcW w:type="dxa" w:w="1584"/>
            <w:shd w:val="clear" w:fill="FBEEE4"/>
          </w:tcPr>
          <w:p>
            <w:pPr>
              <w:spacing w:after="20"/>
            </w:pPr>
            <w:r>
              <w:rPr>
                <w:b/>
                <w:sz w:val="15"/>
              </w:rPr>
              <w:t>Not measured</w:t>
            </w:r>
          </w:p>
        </w:tc>
      </w:tr>
      <w:tr>
        <w:trPr>
          <w:cantSplit/>
        </w:trPr>
        <w:tc>
          <w:tcPr>
            <w:tcW w:type="dxa" w:w="648"/>
          </w:tcPr>
          <w:p>
            <w:pPr>
              <w:spacing w:after="20"/>
            </w:pPr>
            <w:r>
              <w:rPr>
                <w:b/>
                <w:sz w:val="15"/>
              </w:rPr>
              <w:t>T-08</w:t>
            </w:r>
          </w:p>
        </w:tc>
        <w:tc>
          <w:tcPr>
            <w:tcW w:type="dxa" w:w="1944"/>
          </w:tcPr>
          <w:p>
            <w:pPr>
              <w:spacing w:after="20"/>
            </w:pPr>
            <w:r>
              <w:rPr>
                <w:sz w:val="15"/>
              </w:rPr>
              <w:t>External enclosure</w:t>
            </w:r>
          </w:p>
        </w:tc>
        <w:tc>
          <w:tcPr>
            <w:tcW w:type="dxa" w:w="1296"/>
          </w:tcPr>
          <w:p>
            <w:pPr>
              <w:spacing w:after="20"/>
            </w:pPr>
            <w:r>
              <w:rPr>
                <w:sz w:val="15"/>
              </w:rPr>
              <w:t>Fan stalled</w:t>
            </w:r>
          </w:p>
        </w:tc>
        <w:tc>
          <w:tcPr>
            <w:tcW w:type="dxa" w:w="1080"/>
          </w:tcPr>
          <w:p>
            <w:pPr>
              <w:spacing w:after="20"/>
            </w:pPr>
            <w:r>
              <w:rPr>
                <w:sz w:val="15"/>
              </w:rPr>
              <w:t>24.8 °C</w:t>
            </w:r>
          </w:p>
        </w:tc>
        <w:tc>
          <w:tcPr>
            <w:tcW w:type="dxa" w:w="936"/>
          </w:tcPr>
          <w:p>
            <w:pPr>
              <w:spacing w:after="20"/>
            </w:pPr>
            <w:r>
              <w:rPr>
                <w:sz w:val="15"/>
              </w:rPr>
              <w:t>43.9 °C</w:t>
            </w:r>
          </w:p>
        </w:tc>
        <w:tc>
          <w:tcPr>
            <w:tcW w:type="dxa" w:w="936"/>
          </w:tcPr>
          <w:p>
            <w:pPr>
              <w:spacing w:after="20"/>
            </w:pPr>
            <w:r>
              <w:rPr>
                <w:sz w:val="15"/>
              </w:rPr>
              <w:t>19.1 K</w:t>
            </w:r>
          </w:p>
        </w:tc>
        <w:tc>
          <w:tcPr>
            <w:tcW w:type="dxa" w:w="1080"/>
          </w:tcPr>
          <w:p>
            <w:pPr>
              <w:spacing w:after="20"/>
            </w:pPr>
            <w:r>
              <w:rPr>
                <w:sz w:val="15"/>
              </w:rPr>
              <w:t>≈79 °C</w:t>
            </w:r>
          </w:p>
        </w:tc>
        <w:tc>
          <w:tcPr>
            <w:tcW w:type="dxa" w:w="1584"/>
            <w:shd w:val="clear" w:fill="FFF4D6"/>
          </w:tcPr>
          <w:p>
            <w:pPr>
              <w:spacing w:after="20"/>
            </w:pPr>
            <w:r>
              <w:rPr>
                <w:b/>
                <w:sz w:val="15"/>
              </w:rPr>
              <w:t>Preliminary — check TC-7 contact</w:t>
            </w:r>
          </w:p>
        </w:tc>
      </w:tr>
    </w:tbl>
    <w:p>
      <w:pPr>
        <w:spacing w:after="40"/>
      </w:pPr>
    </w:p>
    <w:p>
      <w:pPr>
        <w:keepNext/>
        <w:spacing w:after="60"/>
      </w:pPr>
      <w:r>
        <w:rPr>
          <w:b/>
          <w:i w:val="0"/>
          <w:color w:val="1B335F"/>
          <w:sz w:val="21"/>
        </w:rPr>
        <w:t>f.12 Preliminary temperature-class statement</w:t>
      </w:r>
    </w:p>
    <w:p>
      <w:pPr>
        <w:spacing w:after="100"/>
      </w:pPr>
      <w:r>
        <w:rPr>
          <w:b w:val="0"/>
          <w:i w:val="0"/>
          <w:color w:val="262321"/>
          <w:sz w:val="19"/>
        </w:rPr>
        <w:t>The GLD is proposed for temperature class T4. The final classification remains open pending the remaining hot-spot measurements (T-03, T-04, T-06, T-07, T-09, T-10, T-12), thermal stabilization at maximum load, maximum-ambient confirmation and the relevant fault conditions. The highest extrapolated value so far, ≈114 °C, is below the effective T4 limit of 130 °C.</w:t>
      </w:r>
    </w:p>
    <w:p>
      <w:pPr>
        <w:pStyle w:val="Heading3"/>
      </w:pPr>
      <w:r>
        <w:t>2.6.g · Usage and Installation Instructions (Draft)</w:t>
      </w:r>
    </w:p>
    <w:p>
      <w:pPr>
        <w:spacing w:after="60"/>
      </w:pPr>
      <w:r>
        <w:rPr>
          <w:b/>
          <w:i w:val="0"/>
          <w:sz w:val="21"/>
        </w:rPr>
        <w:t>Safety warnings:</w:t>
      </w:r>
    </w:p>
    <w:p>
      <w:pPr>
        <w:pStyle w:val="ListBullet"/>
        <w:spacing w:after="40"/>
      </w:pPr>
      <w:r>
        <w:rPr>
          <w:sz w:val="20"/>
        </w:rPr>
        <w:t>Only trained and authorized personnel may install, commission, operate, inspect, or maintain the detector.</w:t>
      </w:r>
    </w:p>
    <w:p>
      <w:pPr>
        <w:pStyle w:val="ListBullet"/>
        <w:spacing w:after="40"/>
      </w:pPr>
      <w:r>
        <w:rPr>
          <w:sz w:val="20"/>
        </w:rPr>
        <w:t>Isolate and verify the 24 VDC supply before opening the enclosure or changing wiring. Apply the site lockout/tagout procedure.</w:t>
      </w:r>
    </w:p>
    <w:p>
      <w:pPr>
        <w:pStyle w:val="ListBullet"/>
        <w:spacing w:after="40"/>
      </w:pPr>
      <w:r>
        <w:rPr>
          <w:sz w:val="20"/>
        </w:rPr>
        <w:t>Use only the approved production power arrangement: 24 VDC.</w:t>
      </w:r>
    </w:p>
    <w:p>
      <w:pPr>
        <w:pStyle w:val="ListBullet"/>
        <w:spacing w:after="40"/>
      </w:pPr>
      <w:r>
        <w:rPr>
          <w:sz w:val="20"/>
        </w:rPr>
        <w:t>Perform alarm tests with appropriate site controls and hearing protection where audible devices are connected.</w:t>
      </w:r>
    </w:p>
    <w:p>
      <w:pPr>
        <w:pStyle w:val="ListBullet"/>
        <w:spacing w:after="40"/>
      </w:pPr>
      <w:r>
        <w:rPr>
          <w:sz w:val="20"/>
        </w:rPr>
        <w:t>Perform sensor nulling only in confirmed clean air. Accept the operation only when all eight sensors report a complete 8/8 result; otherwise correct the cause and repeat.</w:t>
      </w:r>
    </w:p>
    <w:p>
      <w:pPr>
        <w:pStyle w:val="ListBullet"/>
        <w:spacing w:after="40"/>
      </w:pPr>
      <w:r>
        <w:rPr>
          <w:sz w:val="20"/>
        </w:rPr>
        <w:t>Do not drill, weld, enlarge cable entries, bypass protective devices, or modify the enclosure without written engineering and Ex approval.</w:t>
      </w:r>
    </w:p>
    <w:p>
      <w:pPr>
        <w:pStyle w:val="ListBullet"/>
        <w:spacing w:after="40"/>
      </w:pPr>
      <w:r>
        <w:rPr>
          <w:sz w:val="20"/>
        </w:rPr>
        <w:t>Remove the unit from service if there is visible damage, water ingress, an unresolved sensor fault, failed alarm proof, or a loss of protective-earth continuity.</w:t>
      </w:r>
    </w:p>
    <w:p>
      <w:pPr>
        <w:spacing w:after="60"/>
      </w:pPr>
      <w:r>
        <w:rPr>
          <w:b/>
          <w:i w:val="0"/>
          <w:sz w:val="21"/>
        </w:rPr>
        <w:t>Detailed installation requirements:</w:t>
      </w:r>
    </w:p>
    <w:p>
      <w:pPr>
        <w:spacing w:after="160"/>
      </w:pPr>
      <w:r>
        <w:rPr>
          <w:b w:val="0"/>
          <w:i w:val="0"/>
          <w:sz w:val="20"/>
        </w:rPr>
        <w:t>Cable entry method: use only cable glands, adaptors, blanking elements, and seals approved for the final protection concept, certificate, thread form, IP rating, cable outer diameter, and installation temperature. Do not create new entries, enlarge an entry, leave unused entries open, or substitute a general-purpose gland. Maintain the manufacturer sealing/clamping sequence and record the installed component part number and certificate reference.</w:t>
      </w:r>
    </w:p>
    <w:p>
      <w:pPr>
        <w:spacing w:after="160"/>
      </w:pPr>
      <w:r>
        <w:rPr>
          <w:b w:val="0"/>
          <w:i w:val="0"/>
          <w:sz w:val="20"/>
        </w:rPr>
        <w:t>Torque requirements: torque values shall comply with the approved enclosure, terminal, cable-gland, and blanking-plug manufacturer instructions (specific torque figures not yet available, dependent on final hardware selection).</w:t>
      </w:r>
    </w:p>
    <w:p>
      <w:pPr>
        <w:spacing w:after="160"/>
      </w:pPr>
      <w:r>
        <w:rPr>
          <w:b w:val="0"/>
          <w:i w:val="0"/>
          <w:sz w:val="20"/>
        </w:rPr>
        <w:t>Grounding requirements: connect the enclosure to the approved protective-earth system using the designated grounding terminal; verify continuity before energization.</w:t>
      </w:r>
    </w:p>
    <w:p>
      <w:pPr>
        <w:spacing w:after="160"/>
      </w:pPr>
      <w:r>
        <w:rPr>
          <w:b w:val="0"/>
          <w:i w:val="0"/>
          <w:sz w:val="20"/>
        </w:rPr>
        <w:t>Cleaning requirements: isolate the equipment per site procedure and use a soft lint-free cloth lightly dampened with clean water or an approved mild cleaner; do not use abrasives, aggressive solvents, dry compressed air, high-pressure spray, or tools that can damage the enclosure, gasket, label, antenna, or cable entries; keep liquid out of all openings.</w:t>
      </w:r>
    </w:p>
    <w:p>
      <w:pPr>
        <w:spacing w:after="60"/>
      </w:pPr>
      <w:r>
        <w:rPr>
          <w:b/>
          <w:i w:val="0"/>
          <w:sz w:val="21"/>
        </w:rPr>
        <w:t>Operating instructions and maintenance requirements:</w:t>
      </w:r>
    </w:p>
    <w:p>
      <w:pPr>
        <w:spacing w:after="160"/>
      </w:pPr>
      <w:r>
        <w:rPr>
          <w:b w:val="0"/>
          <w:i w:val="0"/>
          <w:sz w:val="20"/>
        </w:rPr>
        <w:t>Before each operating period, check power, enclosure condition, diagnostic status, communication status, and the absence of active faults. Treat an alarm as a real process-safety event until the site response procedure establishes otherwise. Do not change firmware, model files, alarm thresholds, or calibration parameters from the field without controlled approval and a documented rollback path.</w:t>
      </w:r>
    </w:p>
    <w:p>
      <w:pPr>
        <w:spacing w:after="200"/>
      </w:pPr>
      <w:r>
        <w:rPr>
          <w:b/>
          <w:color w:val="4A4A4A"/>
          <w:sz w:val="19"/>
        </w:rPr>
        <w:t xml:space="preserve">Status: </w:t>
      </w:r>
      <w:r>
        <w:rPr>
          <w:i/>
          <w:color w:val="4A4A4A"/>
          <w:sz w:val="19"/>
        </w:rPr>
        <w:t>Partially available (draft) — not yet consolidated into an Ex-specific installation and operation manual for ExCB review; also feeds the standalone Instruction_Manual_GLD deliverable.</w:t>
      </w:r>
    </w:p>
    <w:p>
      <w:pPr>
        <w:pStyle w:val="Heading4"/>
      </w:pPr>
      <w:r>
        <w:t>2.6.g.1 Usage and installation instructions — complete structure (g.2 … g.20)</w:t>
      </w:r>
    </w:p>
    <w:p>
      <w:pPr>
        <w:spacing w:after="100"/>
      </w:pPr>
      <w:r>
        <w:rPr>
          <w:b w:val="0"/>
          <w:i w:val="0"/>
          <w:color w:val="262321"/>
          <w:sz w:val="19"/>
        </w:rPr>
        <w:t>The following sections complete the draft instructions above in the structure of the revision guide (g.1 Safety warnings is given in 2.6.g.a). Values not yet defined are stated as such in the notes of each section.</w:t>
      </w:r>
    </w:p>
    <w:p>
      <w:pPr>
        <w:keepNext/>
        <w:spacing w:after="60"/>
      </w:pPr>
      <w:r>
        <w:rPr>
          <w:b/>
          <w:i w:val="0"/>
          <w:color w:val="1B335F"/>
          <w:sz w:val="21"/>
        </w:rPr>
        <w:t>g.2 Permitted installation environment</w:t>
      </w:r>
    </w:p>
    <w:p>
      <w:pPr>
        <w:spacing w:after="100"/>
      </w:pPr>
      <w:r>
        <w:rPr>
          <w:b w:val="0"/>
          <w:i w:val="0"/>
          <w:color w:val="262321"/>
          <w:sz w:val="19"/>
        </w:rPr>
        <w:t>The Gas Leak Detector (GLD) is intended for fixed installation in hazardous areas associated with oil and gas refinery facilities, including process units, tank farms, pipe racks, and storage/loading-unloading areas in which flammable gas atmospheres may be present.</w:t>
      </w:r>
    </w:p>
    <w:p>
      <w:pPr>
        <w:spacing w:after="100"/>
      </w:pPr>
      <w:r>
        <w:rPr>
          <w:b w:val="0"/>
          <w:i w:val="0"/>
          <w:color w:val="262321"/>
          <w:sz w:val="19"/>
        </w:rPr>
        <w:t>The current certification target is Equipment Group II, Category 2G / EPL Gb, for installation in Zone 1 gas hazardous areas, subject to confirmation by the ExCB. The proposed gas group is IIC, and the proposed temperature class is T4. Final confirmation of the gas group and temperature class shall be based on the completed explosion-protection assessment, applicable component documentation, and the results of the required temperature evaluation and testing.</w:t>
      </w:r>
    </w:p>
    <w:p>
      <w:pPr>
        <w:spacing w:after="100"/>
      </w:pPr>
      <w:r>
        <w:rPr>
          <w:b w:val="0"/>
          <w:i w:val="0"/>
          <w:color w:val="262321"/>
          <w:sz w:val="19"/>
        </w:rPr>
        <w:t>The GLD is intended to operate within an ambient temperature range of −20 °C to +60 °C and an operating relative-humidity range of 5–95% RH, non-condensing, as defined in the current product specification.</w:t>
      </w:r>
    </w:p>
    <w:p>
      <w:pPr>
        <w:spacing w:after="100"/>
      </w:pPr>
      <w:r>
        <w:rPr>
          <w:b w:val="0"/>
          <w:i w:val="0"/>
          <w:color w:val="262321"/>
          <w:sz w:val="19"/>
        </w:rPr>
        <w:t>Installation shall be limited to locations and environmental conditions that are within the certified equipment marking and the conditions of use stated in the final certificate and approved instruction manual. The equipment shall not be installed in a hazardous area having a more severe gas group, temperature classification, ambient-temperature range, or other environmental condition than those covered by the final certification.</w:t>
      </w:r>
    </w:p>
    <w:p>
      <w:pPr>
        <w:spacing w:after="100"/>
      </w:pPr>
      <w:r>
        <w:rPr>
          <w:b w:val="0"/>
          <w:i w:val="0"/>
          <w:color w:val="262321"/>
          <w:sz w:val="19"/>
        </w:rPr>
        <w:t>The GLD is intended for gas hazardous-area service only within the current certification scope. Installation in combustible-dust hazardous areas is excluded unless such use is separately assessed, tested, and approved as part of the certification scope.</w:t>
      </w:r>
    </w:p>
    <w:p>
      <w:pPr>
        <w:spacing w:after="100"/>
      </w:pPr>
      <w:r>
        <w:rPr>
          <w:b w:val="0"/>
          <w:i w:val="0"/>
          <w:color w:val="262321"/>
          <w:sz w:val="19"/>
        </w:rPr>
        <w:t>The detector shall be installed in a position that permits free access of the surrounding atmosphere to the front gas-sampling inlet. The stainless-steel gas-entry mesh and the associated sampling path shall not be obstructed, covered, sealed, painted, or otherwise modified in a manner that could impair gas access to the sensing section.</w:t>
      </w:r>
    </w:p>
    <w:p>
      <w:pPr>
        <w:spacing w:after="100"/>
      </w:pPr>
      <w:r>
        <w:rPr>
          <w:b w:val="0"/>
          <w:i w:val="0"/>
          <w:color w:val="262321"/>
          <w:sz w:val="19"/>
        </w:rPr>
        <w:t>The unit shall be mounted as a fixed installation using the approved mounting arrangement and in accordance with the orientation and mechanical details specified in the controlled drawings. Adequate clearance shall be maintained around the gas-sampling inlet, cable entries, antenna interface, and enclosure joints to permit correct operation, inspection, and maintenance.</w:t>
      </w:r>
    </w:p>
    <w:p>
      <w:pPr>
        <w:spacing w:after="100"/>
      </w:pPr>
      <w:r>
        <w:rPr>
          <w:b w:val="0"/>
          <w:i w:val="0"/>
          <w:color w:val="262321"/>
          <w:sz w:val="19"/>
        </w:rPr>
        <w:t>The installation location shall protect the equipment from mechanical damage, unauthorized modification, excessive contamination, and environmental conditions beyond the approved operating limits. Cable entries, grounding connections, antenna interfaces, and other enclosure penetrations shall be installed only in accordance with the approved product configuration and the applicable installation instructions.</w:t>
      </w:r>
    </w:p>
    <w:p>
      <w:pPr>
        <w:keepNext/>
        <w:spacing w:after="60"/>
      </w:pPr>
      <w:r>
        <w:rPr>
          <w:b/>
          <w:i w:val="0"/>
          <w:color w:val="1B335F"/>
          <w:sz w:val="21"/>
        </w:rPr>
        <w:t>g.3 Mechanical mounting</w:t>
      </w:r>
    </w:p>
    <w:p>
      <w:pPr>
        <w:spacing w:after="100"/>
      </w:pPr>
      <w:r>
        <w:rPr>
          <w:b w:val="0"/>
          <w:i w:val="0"/>
          <w:color w:val="262321"/>
          <w:sz w:val="19"/>
        </w:rPr>
        <w:t>The Gas Leak Detector (GLD) shall be installed as a fixed-mounted device using the approved mechanical mounting bracket provided for the product. The mounting arrangement shall correspond to the configuration defined in the controlled mechanical drawings and shall not be modified without engineering review and approval.</w:t>
      </w:r>
    </w:p>
    <w:p>
      <w:pPr>
        <w:spacing w:after="100"/>
      </w:pPr>
      <w:r>
        <w:rPr>
          <w:b w:val="0"/>
          <w:i w:val="0"/>
          <w:color w:val="262321"/>
          <w:sz w:val="19"/>
        </w:rPr>
        <w:t>The GLD is intended to be attached to existing plant structures by means of the approved bracket arrangement. Installation shall not require drilling, welding, machining, or other permanent modification of the supporting plant structure unless such modification is separately approved by the site owner and is outside the certified GLD construction.</w:t>
      </w:r>
    </w:p>
    <w:p>
      <w:pPr>
        <w:spacing w:after="100"/>
      </w:pPr>
      <w:r>
        <w:rPr>
          <w:b w:val="0"/>
          <w:i w:val="0"/>
          <w:color w:val="262321"/>
          <w:sz w:val="19"/>
        </w:rPr>
        <w:t>The mounting bracket, fasteners, clamps, and associated hardware shall be of the specified type, material, size, and mechanical strength defined in the approved production drawings and bill of materials. Substitution of mounting components that may affect the mechanical integrity or certified configuration of the equipment shall not be permitted without controlled engineering approval.</w:t>
      </w:r>
    </w:p>
    <w:p>
      <w:pPr>
        <w:spacing w:after="100"/>
      </w:pPr>
      <w:r>
        <w:rPr>
          <w:b w:val="0"/>
          <w:i w:val="0"/>
          <w:color w:val="262321"/>
          <w:sz w:val="19"/>
        </w:rPr>
        <w:t>The detector shall be mounted securely so that it cannot become loose, rotate unintentionally, or move under normal service conditions, vibration, maintenance activity, or foreseeable external mechanical loading. All mounting fasteners shall be tightened in accordance with the torque values specified in the approved assembly or installation documentation.</w:t>
      </w:r>
    </w:p>
    <w:p>
      <w:pPr>
        <w:spacing w:after="100"/>
      </w:pPr>
      <w:r>
        <w:rPr>
          <w:b w:val="0"/>
          <w:i w:val="0"/>
          <w:color w:val="262321"/>
          <w:sz w:val="19"/>
        </w:rPr>
        <w:t>The installed orientation shall conform to the orientation specified in the controlled mechanical drawings. The installation shall maintain unobstructed access to the gas-sampling inlet, front stainless-steel mesh, antenna interface, cable-entry points, grounding connection, and enclosure joints required for normal operation, inspection, and maintenance.</w:t>
      </w:r>
    </w:p>
    <w:p>
      <w:pPr>
        <w:spacing w:after="100"/>
      </w:pPr>
      <w:r>
        <w:rPr>
          <w:b w:val="0"/>
          <w:i w:val="0"/>
          <w:color w:val="262321"/>
          <w:sz w:val="19"/>
        </w:rPr>
        <w:t>The gas-sampling inlet shall not be positioned directly against a wall, pipe, mounting plate, structural member, or other obstruction that could restrict the flow of ambient gas into the sensing area. Adequate clearance around the sampling inlet shall be maintained in accordance with the approved installation drawing.</w:t>
      </w:r>
    </w:p>
    <w:p>
      <w:pPr>
        <w:spacing w:after="100"/>
      </w:pPr>
      <w:r>
        <w:rPr>
          <w:b w:val="0"/>
          <w:i w:val="0"/>
          <w:color w:val="262321"/>
          <w:sz w:val="19"/>
        </w:rPr>
        <w:t>The mounting location shall be selected so that the enclosure and its associated components are protected from foreseeable mechanical impact, excessive vibration, deformation, and other mechanical stresses that could impair the integrity of the enclosure, gas-entry assembly, cable entry, antenna interface, alarm module, or grounding connection.</w:t>
      </w:r>
    </w:p>
    <w:p>
      <w:pPr>
        <w:spacing w:after="100"/>
      </w:pPr>
      <w:r>
        <w:rPr>
          <w:b w:val="0"/>
          <w:i w:val="0"/>
          <w:color w:val="262321"/>
          <w:sz w:val="19"/>
        </w:rPr>
        <w:t>After installation, the mounting assembly shall be visually inspected to confirm correct orientation, secure fastening, absence of enclosure deformation, and unobstructed access to the sensing inlet and service interfaces.</w:t>
      </w:r>
    </w:p>
    <w:p>
      <w:pPr>
        <w:keepNext/>
        <w:spacing w:after="60"/>
      </w:pPr>
      <w:r>
        <w:rPr>
          <w:b/>
          <w:i w:val="0"/>
          <w:color w:val="1B335F"/>
          <w:sz w:val="21"/>
        </w:rPr>
        <w:t>g.4 Gas inlet / sensing-area requirements</w:t>
      </w:r>
    </w:p>
    <w:p>
      <w:pPr>
        <w:spacing w:after="100"/>
      </w:pPr>
      <w:r>
        <w:rPr>
          <w:b w:val="0"/>
          <w:i w:val="0"/>
          <w:color w:val="262321"/>
          <w:sz w:val="19"/>
        </w:rPr>
        <w:t>The Gas Leak Detector (GLD) shall be installed and maintained so that the gas-sampling inlet and sensing area remain continuously accessible to the surrounding atmosphere during normal operation.</w:t>
      </w:r>
    </w:p>
    <w:p>
      <w:pPr>
        <w:spacing w:after="100"/>
      </w:pPr>
      <w:r>
        <w:rPr>
          <w:b w:val="0"/>
          <w:i w:val="0"/>
          <w:color w:val="262321"/>
          <w:sz w:val="19"/>
        </w:rPr>
        <w:t>Ambient gas enters the detector through the stainless-steel mesh located at the front of the enclosure. During the sampling cycle, the internal DC fan assists the movement of ambient gas through the front mesh and into the sensing area. Eight MQ-series gas sensors are installed within this sensing area. Each MQ sensor incorporates an additional stainless-steel protective mesh surrounding its sensing element.</w:t>
      </w:r>
    </w:p>
    <w:p>
      <w:pPr>
        <w:spacing w:after="100"/>
      </w:pPr>
      <w:r>
        <w:rPr>
          <w:b w:val="0"/>
          <w:i w:val="0"/>
          <w:color w:val="262321"/>
          <w:sz w:val="19"/>
        </w:rPr>
        <w:t>The front gas-entry mesh, sampling opening, and associated airflow path shall remain unobstructed. The gas inlet shall not be covered, sealed, painted, taped, coated, or otherwise modified in a manner that could restrict or alter the intended gas flow to the sensing area. No additional filter, membrane, screen, protective cover, or other material shall be installed over the gas inlet unless specifically approved as part of the certified product configuration.</w:t>
      </w:r>
    </w:p>
    <w:p>
      <w:pPr>
        <w:spacing w:after="100"/>
      </w:pPr>
      <w:r>
        <w:rPr>
          <w:b w:val="0"/>
          <w:i w:val="0"/>
          <w:color w:val="262321"/>
          <w:sz w:val="19"/>
        </w:rPr>
        <w:t>The detector shall be installed with sufficient clearance around the gas-sampling inlet to allow free circulation of the surrounding atmosphere. The front sensing inlet shall not be positioned directly against a wall, pipe, mounting plate, structural member, insulation, or other object that could restrict gas entry or interfere with the intended sampling airflow. The required minimum clearance, where applicable, shall be defined in the controlled installation drawing.</w:t>
      </w:r>
    </w:p>
    <w:p>
      <w:pPr>
        <w:spacing w:after="100"/>
      </w:pPr>
      <w:r>
        <w:rPr>
          <w:b w:val="0"/>
          <w:i w:val="0"/>
          <w:color w:val="262321"/>
          <w:sz w:val="19"/>
        </w:rPr>
        <w:t>The stainless-steel front mesh shall be maintained in its approved production configuration. It shall not be removed, replaced, drilled, enlarged, reshaped, or substituted with a different mesh or protective element unless the change has been evaluated and approved through the applicable engineering and Ex certification change-control process.</w:t>
      </w:r>
    </w:p>
    <w:p>
      <w:pPr>
        <w:spacing w:after="100"/>
      </w:pPr>
      <w:r>
        <w:rPr>
          <w:b w:val="0"/>
          <w:i w:val="0"/>
          <w:color w:val="262321"/>
          <w:sz w:val="19"/>
        </w:rPr>
        <w:t>The integrated protective mesh of each MQ sensor shall also remain intact and free from mechanical damage, deformation, contamination, or blockage. MQ sensors with damaged or missing protective mesh shall not be used.</w:t>
      </w:r>
    </w:p>
    <w:p>
      <w:pPr>
        <w:spacing w:after="100"/>
      </w:pPr>
      <w:r>
        <w:rPr>
          <w:b w:val="0"/>
          <w:i w:val="0"/>
          <w:color w:val="262321"/>
          <w:sz w:val="19"/>
        </w:rPr>
        <w:t>The sensing area shall be kept free from excessive dust, deposits, oil, paint, corrosion products, insects, or other contamination that could obstruct the front mesh, fan, individual sensor meshes, or the intended gas-sampling path. Cleaning shall be performed only in accordance with the approved maintenance instructions and shall not damage the mesh, fan, sensor surfaces, enclosure sealing features, or other Ex-critical components.</w:t>
      </w:r>
    </w:p>
    <w:p>
      <w:pPr>
        <w:spacing w:after="100"/>
      </w:pPr>
      <w:r>
        <w:rPr>
          <w:b w:val="0"/>
          <w:i w:val="0"/>
          <w:color w:val="262321"/>
          <w:sz w:val="19"/>
        </w:rPr>
        <w:t>The DC sampling fan shall be installed in the approved position and orientation behind the front stainless-steel mesh. The airflow direction, fan mounting, electrical connection, and mechanical clearance shall conform to the controlled assembly drawing. The fan shall not be substituted with a different model without controlled engineering review and approval.</w:t>
      </w:r>
    </w:p>
    <w:p>
      <w:pPr>
        <w:spacing w:after="100"/>
      </w:pPr>
      <w:r>
        <w:rPr>
          <w:b w:val="0"/>
          <w:i w:val="0"/>
          <w:color w:val="262321"/>
          <w:sz w:val="19"/>
        </w:rPr>
        <w:t>The gas-sampling path shall be considered part of the controlled product construction. Any modification that changes the geometry, mesh arrangement, fan position, airflow path, sensing-chamber volume, or position of the MQ sensors shall require evaluation before implementation.</w:t>
      </w:r>
    </w:p>
    <w:p>
      <w:pPr>
        <w:spacing w:after="100"/>
      </w:pPr>
      <w:r>
        <w:rPr>
          <w:b w:val="0"/>
          <w:i w:val="0"/>
          <w:color w:val="262321"/>
          <w:sz w:val="19"/>
        </w:rPr>
        <w:t>During inspection and maintenance, the front mesh, fan, sensing area, and individual MQ sensor meshes shall be checked for blockage, damage, contamination, corrosion, or other conditions that could affect gas access or the approved protection concept. If any such condition is detected, the detector shall be removed from normal service until the condition has been corrected and the unit has been verified as suitable for operation.</w:t>
      </w:r>
    </w:p>
    <w:p>
      <w:pPr>
        <w:spacing w:after="100"/>
      </w:pPr>
      <w:r>
        <w:rPr>
          <w:b w:val="0"/>
          <w:i w:val="0"/>
          <w:color w:val="262321"/>
          <w:sz w:val="19"/>
        </w:rPr>
        <w:t>Note: The minimum clearance in front of the gas inlet, the approved fan orientation, and any dimensional requirements of the sensing chamber shall be specified in the controlled mechanical and installation drawings.</w:t>
      </w:r>
    </w:p>
    <w:p>
      <w:pPr>
        <w:keepNext/>
        <w:spacing w:after="60"/>
      </w:pPr>
      <w:r>
        <w:rPr>
          <w:b/>
          <w:i w:val="0"/>
          <w:color w:val="1B335F"/>
          <w:sz w:val="21"/>
        </w:rPr>
        <w:t>g.5 Electrical supply</w:t>
      </w:r>
    </w:p>
    <w:p>
      <w:pPr>
        <w:spacing w:after="100"/>
      </w:pPr>
      <w:r>
        <w:rPr>
          <w:b w:val="0"/>
          <w:i w:val="0"/>
          <w:color w:val="262321"/>
          <w:sz w:val="19"/>
        </w:rPr>
        <w:t>The Gas Leak Detector (GLD) shall be supplied from a 24 VDC power source in accordance with the approved product configuration. The current production configuration is intended for continuous operation from a 24 VDC supply. The product documentation presently identifies the 24 VDC supply as being derived from an AC/DC adapter connected to the site electrical supply.</w:t>
      </w:r>
    </w:p>
    <w:p>
      <w:pPr>
        <w:spacing w:after="100"/>
      </w:pPr>
      <w:r>
        <w:rPr>
          <w:b w:val="0"/>
          <w:i w:val="0"/>
          <w:color w:val="262321"/>
          <w:sz w:val="19"/>
        </w:rPr>
        <w:t>The GLD internal power system converts the 24 VDC input to the required internal operating voltages. A 5 VDC rail is used for the MQ sensor/heater circuitry, while a 3.3 VDC rail is used for the ESP32-S3 logic and other applicable low-voltage electronics.</w:t>
      </w:r>
    </w:p>
    <w:p>
      <w:pPr>
        <w:spacing w:after="100"/>
      </w:pPr>
      <w:r>
        <w:rPr>
          <w:b w:val="0"/>
          <w:i w:val="0"/>
          <w:color w:val="262321"/>
          <w:sz w:val="19"/>
        </w:rPr>
        <w:t>The currently documented maximum power consumption is 8 W at 24 VDC. The corresponding calculated input current at this operating point is approximately 0.33 A. This value is derived from the measured maximum power consumption divided by the nominal 24 VDC input voltage.</w:t>
      </w:r>
    </w:p>
    <w:p>
      <w:pPr>
        <w:spacing w:after="100"/>
      </w:pPr>
      <w:r>
        <w:rPr>
          <w:b w:val="0"/>
          <w:i w:val="0"/>
          <w:color w:val="262321"/>
          <w:sz w:val="19"/>
        </w:rPr>
        <w:t>The 24 VDC input incorporates electrical protection features including resettable PTC devices, a 33 V TVS device on the 24 V input, and P-channel MOSFET input stages. These circuits are intended to provide protection against overcurrent, transient overvoltage, and reverse-polarity or other abnormal input conditions as defined by the final approved electrical design.</w:t>
      </w:r>
    </w:p>
    <w:p>
      <w:pPr>
        <w:spacing w:after="100"/>
      </w:pPr>
      <w:r>
        <w:rPr>
          <w:b w:val="0"/>
          <w:i w:val="0"/>
          <w:color w:val="262321"/>
          <w:sz w:val="19"/>
        </w:rPr>
        <w:t>The polarity of the 24 VDC supply shall be verified before energizing the equipment. Power shall be connected only through the designated power-input terminals or connector defined in the approved wiring and terminal drawings. The power-input connection shall not be modified, bypassed, or connected to an alternative supply arrangement that is not included in the approved product configuration.</w:t>
      </w:r>
    </w:p>
    <w:p>
      <w:pPr>
        <w:spacing w:after="100"/>
      </w:pPr>
      <w:r>
        <w:rPr>
          <w:b w:val="0"/>
          <w:i w:val="0"/>
          <w:color w:val="262321"/>
          <w:sz w:val="19"/>
        </w:rPr>
        <w:t>The equipment shall be de-energized before opening the enclosure, connecting or disconnecting field wiring, or carrying out maintenance activities that require access to the internal electrical system. The applicable site isolation and lockout/tagout procedures shall be followed before such work is performed.</w:t>
      </w:r>
    </w:p>
    <w:p>
      <w:pPr>
        <w:spacing w:after="100"/>
      </w:pPr>
      <w:r>
        <w:rPr>
          <w:b w:val="0"/>
          <w:i w:val="0"/>
          <w:color w:val="262321"/>
          <w:sz w:val="19"/>
        </w:rPr>
        <w:t>The 24 VDC supply, associated field wiring, cable entry, terminals, protective-earth connection, and upstream protective devices shall be installed in accordance with the approved product documentation and applicable site electrical requirements.</w:t>
      </w:r>
    </w:p>
    <w:p>
      <w:pPr>
        <w:spacing w:after="100"/>
      </w:pPr>
      <w:r>
        <w:rPr>
          <w:b w:val="0"/>
          <w:i w:val="0"/>
          <w:color w:val="262321"/>
          <w:sz w:val="19"/>
        </w:rPr>
        <w:t>Any alternative power source, power-conversion arrangement, battery supply, or other electrical configuration that is not included in the approved production configuration shall not be used unless it has been separately evaluated and approved through the applicable engineering and Ex certification change-control process.</w:t>
      </w:r>
    </w:p>
    <w:p>
      <w:pPr>
        <w:spacing w:after="100"/>
      </w:pPr>
      <w:r>
        <w:rPr>
          <w:b w:val="0"/>
          <w:i w:val="0"/>
          <w:color w:val="262321"/>
          <w:sz w:val="19"/>
        </w:rPr>
        <w:t>Note: The permitted 24 VDC input-voltage tolerance, maximum startup/inrush current, required upstream fuse or circuit-breaker rating, and detailed terminal/wire-size requirements shall be defined in the final approved electrical specification and installation drawing.</w:t>
      </w:r>
    </w:p>
    <w:p>
      <w:pPr>
        <w:keepNext/>
        <w:spacing w:after="60"/>
      </w:pPr>
      <w:r>
        <w:rPr>
          <w:b/>
          <w:i w:val="0"/>
          <w:color w:val="1B335F"/>
          <w:sz w:val="21"/>
        </w:rPr>
        <w:t>g.6 Cable entry</w:t>
      </w:r>
    </w:p>
    <w:p>
      <w:pPr>
        <w:spacing w:after="100"/>
      </w:pPr>
      <w:r>
        <w:rPr>
          <w:b w:val="0"/>
          <w:i w:val="0"/>
          <w:color w:val="262321"/>
          <w:sz w:val="19"/>
        </w:rPr>
        <w:t>The Gas Leak Detector (GLD) shall use only cable-entry devices that are approved for the final certified product configuration. Cable glands, adaptors, blanking elements, seals, and associated entry components shall be compatible with the final explosion-protection concept, certificate requirements, thread form, ingress-protection rating, cable outer diameter, and permitted installation temperature range.</w:t>
      </w:r>
    </w:p>
    <w:p>
      <w:pPr>
        <w:spacing w:after="100"/>
      </w:pPr>
      <w:r>
        <w:rPr>
          <w:b w:val="0"/>
          <w:i w:val="0"/>
          <w:color w:val="262321"/>
          <w:sz w:val="19"/>
        </w:rPr>
        <w:t>The cable-entry arrangement shall be installed exactly as defined in the approved mechanical drawings and installation instructions. No cable-entry opening shall be drilled, enlarged, re-machined, re-threaded, or otherwise modified in the field. Unused entries shall not be left open and shall be closed using the approved blanking element specified for the certified configuration.</w:t>
      </w:r>
    </w:p>
    <w:p>
      <w:pPr>
        <w:spacing w:after="100"/>
      </w:pPr>
      <w:r>
        <w:rPr>
          <w:b w:val="0"/>
          <w:i w:val="0"/>
          <w:color w:val="262321"/>
          <w:sz w:val="19"/>
        </w:rPr>
        <w:t>The cable gland or entry device shall be selected for the actual cable type and cable outer diameter used in the installation. The manufacturer’s specified sealing, clamping, and assembly sequence shall be maintained. The installed cable shall be properly retained so that mechanical loading is not transferred to the internal electrical terminals.</w:t>
      </w:r>
    </w:p>
    <w:p>
      <w:pPr>
        <w:spacing w:after="100"/>
      </w:pPr>
      <w:r>
        <w:rPr>
          <w:b w:val="0"/>
          <w:i w:val="0"/>
          <w:color w:val="262321"/>
          <w:sz w:val="19"/>
        </w:rPr>
        <w:t>All threaded cable-entry components shall be fully engaged in accordance with the minimum thread-engagement requirements defined by the approved enclosure and cable-entry configuration. Where a locking element is specified, it shall be applied only after the required thread engagement has been achieved.</w:t>
      </w:r>
    </w:p>
    <w:p>
      <w:pPr>
        <w:spacing w:after="100"/>
      </w:pPr>
      <w:r>
        <w:rPr>
          <w:b w:val="0"/>
          <w:i w:val="0"/>
          <w:color w:val="262321"/>
          <w:sz w:val="19"/>
        </w:rPr>
        <w:t>Tightening of cable glands, adaptors, blanking elements, and related fittings shall comply with the torque values specified by the approved component manufacturer and the controlled installation documentation. Excessive tightening that could damage threads, seals, or enclosure parts shall be avoided, and insufficient tightening that could compromise sealing or mechanical retention shall not be permitted.</w:t>
      </w:r>
    </w:p>
    <w:p>
      <w:pPr>
        <w:spacing w:after="100"/>
      </w:pPr>
      <w:r>
        <w:rPr>
          <w:b w:val="0"/>
          <w:i w:val="0"/>
          <w:color w:val="262321"/>
          <w:sz w:val="19"/>
        </w:rPr>
        <w:t>During installation and maintenance, the cable-entry components shall be inspected for correct part number, thread compatibility, sealing-element condition, proper cable clamping, complete thread engagement, and absence of mechanical damage, corrosion, cracking, or deformation. Components showing damage or deterioration shall not be reused unless specifically permitted by the approved component instructions.</w:t>
      </w:r>
    </w:p>
    <w:p>
      <w:pPr>
        <w:spacing w:after="100"/>
      </w:pPr>
      <w:r>
        <w:rPr>
          <w:b w:val="0"/>
          <w:i w:val="0"/>
          <w:color w:val="262321"/>
          <w:sz w:val="19"/>
        </w:rPr>
        <w:t>The installed cable-entry component shall be traceable to the approved product configuration. The manufacturer, model or part number, thread type, applicable certificate reference, and installation details shall be recorded where required by the production or installation documentation. The current draft already requires recording the installed component part number and certificate reference.</w:t>
      </w:r>
    </w:p>
    <w:p>
      <w:pPr>
        <w:spacing w:after="100"/>
      </w:pPr>
      <w:r>
        <w:rPr>
          <w:b w:val="0"/>
          <w:i w:val="0"/>
          <w:color w:val="262321"/>
          <w:sz w:val="19"/>
        </w:rPr>
        <w:t>Any substitution of a cable gland, adaptor, blanking plug, sealing element, or other cable-entry component shall be subject to controlled engineering review before implementation. A general-purpose cable gland or an entry component not covered by the approved product configuration shall not be used.</w:t>
      </w:r>
    </w:p>
    <w:p>
      <w:pPr>
        <w:spacing w:after="100"/>
      </w:pPr>
      <w:r>
        <w:rPr>
          <w:b w:val="0"/>
          <w:i w:val="0"/>
          <w:color w:val="262321"/>
          <w:sz w:val="19"/>
        </w:rPr>
        <w:t>Note: The final cable-entry device manufacturer, model, thread designation, cable-diameter range, temperature range, ingress-protection rating, applicable Ex marking, certificate reference, and installation torque shall be confirmed in the controlled BOM and installation drawing before certification documentation is finalized.</w:t>
      </w:r>
    </w:p>
    <w:p>
      <w:pPr>
        <w:keepNext/>
        <w:spacing w:after="60"/>
      </w:pPr>
      <w:r>
        <w:rPr>
          <w:b/>
          <w:i w:val="0"/>
          <w:color w:val="1B335F"/>
          <w:sz w:val="21"/>
        </w:rPr>
        <w:t>g.7 Grounding and bonding</w:t>
      </w:r>
    </w:p>
    <w:p>
      <w:pPr>
        <w:spacing w:after="100"/>
      </w:pPr>
      <w:r>
        <w:rPr>
          <w:b w:val="0"/>
          <w:i w:val="0"/>
          <w:color w:val="262321"/>
          <w:sz w:val="19"/>
        </w:rPr>
        <w:t>The metallic enclosure of the Gas Leak Detector (GLD) shall be connected to the site protective-earth system using the designated external grounding stud provided on the enclosure. The grounding point shall be clearly identified by the protective-earth symbol and shall remain accessible for installation, inspection, and maintenance.</w:t>
      </w:r>
    </w:p>
    <w:p>
      <w:pPr>
        <w:spacing w:after="100"/>
      </w:pPr>
      <w:r>
        <w:rPr>
          <w:b w:val="0"/>
          <w:i w:val="0"/>
          <w:color w:val="262321"/>
          <w:sz w:val="19"/>
        </w:rPr>
        <w:t>The protective-earth connection shall be installed using the approved grounding hardware, including the specified grounding stud, terminal lug, washers, fasteners, and other associated components defined in the controlled mechanical drawing and bill of materials.</w:t>
      </w:r>
    </w:p>
    <w:p>
      <w:pPr>
        <w:spacing w:after="100"/>
      </w:pPr>
      <w:r>
        <w:rPr>
          <w:b w:val="0"/>
          <w:i w:val="0"/>
          <w:color w:val="262321"/>
          <w:sz w:val="19"/>
        </w:rPr>
        <w:t>All conductive enclosure parts that are required to be electrically bonded shall maintain reliable electrical continuity so that hazardous potential differences and electrostatic charge accumulation are minimized. The bonding arrangement between enclosure parts shall not be modified, insulated, painted over at the contact interface, or otherwise altered in a manner that could impair electrical continuity.</w:t>
      </w:r>
    </w:p>
    <w:p>
      <w:pPr>
        <w:spacing w:after="100"/>
      </w:pPr>
      <w:r>
        <w:rPr>
          <w:b w:val="0"/>
          <w:i w:val="0"/>
          <w:color w:val="262321"/>
          <w:sz w:val="19"/>
        </w:rPr>
        <w:t>Before the GLD is energized, the protective-earth connection and bonding continuity shall be verified. The continuity check shall confirm that the external grounding stud is electrically connected to the applicable conductive enclosure parts in accordance with the approved design.</w:t>
      </w:r>
    </w:p>
    <w:p>
      <w:pPr>
        <w:spacing w:after="100"/>
      </w:pPr>
      <w:r>
        <w:rPr>
          <w:b w:val="0"/>
          <w:i w:val="0"/>
          <w:color w:val="262321"/>
          <w:sz w:val="19"/>
        </w:rPr>
        <w:t>The grounding conductor, terminal lug, and grounding hardware shall be mechanically secure and protected against loosening, corrosion, and accidental disconnection. Tightening shall be carried out in accordance with the torque values specified in the approved assembly and installation documentation.</w:t>
      </w:r>
    </w:p>
    <w:p>
      <w:pPr>
        <w:spacing w:after="100"/>
      </w:pPr>
      <w:r>
        <w:rPr>
          <w:b w:val="0"/>
          <w:i w:val="0"/>
          <w:color w:val="262321"/>
          <w:sz w:val="19"/>
        </w:rPr>
        <w:t>Where surface coatings, anodizing, paint, oxidation, or other insulating layers are present, the grounding and bonding contact surfaces shall be prepared or constructed so that the required electrical continuity is maintained. No unapproved coating, sealant, adhesive, or insulating material shall be introduced between designated bonding surfaces.</w:t>
      </w:r>
    </w:p>
    <w:p>
      <w:pPr>
        <w:spacing w:after="100"/>
      </w:pPr>
      <w:r>
        <w:rPr>
          <w:b w:val="0"/>
          <w:i w:val="0"/>
          <w:color w:val="262321"/>
          <w:sz w:val="19"/>
        </w:rPr>
        <w:t>The protective-earth connection shall not be used as a mechanical support point for unrelated cables or equipment. The grounding arrangement shall be reserved for the intended protective-earth and bonding function defined by the approved product design.</w:t>
      </w:r>
    </w:p>
    <w:p>
      <w:pPr>
        <w:spacing w:after="100"/>
      </w:pPr>
      <w:r>
        <w:rPr>
          <w:b w:val="0"/>
          <w:i w:val="0"/>
          <w:color w:val="262321"/>
          <w:sz w:val="19"/>
        </w:rPr>
        <w:t>During periodic inspection and maintenance, the grounding stud, lug, fasteners, bonding points, and accessible conductive connections shall be checked for looseness, corrosion, contamination, mechanical damage, or any other condition that could impair electrical continuity. Any defective grounding or bonding connection shall be corrected before the equipment is returned to service.</w:t>
      </w:r>
    </w:p>
    <w:p>
      <w:pPr>
        <w:spacing w:after="100"/>
      </w:pPr>
      <w:r>
        <w:rPr>
          <w:b w:val="0"/>
          <w:i w:val="0"/>
          <w:color w:val="262321"/>
          <w:sz w:val="19"/>
        </w:rPr>
        <w:t>Any modification to the grounding stud, bonding arrangement, enclosure contact surfaces, grounding conductor arrangement, or associated hardware shall be subject to controlled engineering review before implementation.</w:t>
      </w:r>
    </w:p>
    <w:p>
      <w:pPr>
        <w:spacing w:after="100"/>
      </w:pPr>
      <w:r>
        <w:rPr>
          <w:b w:val="0"/>
          <w:i w:val="0"/>
          <w:color w:val="262321"/>
          <w:sz w:val="19"/>
        </w:rPr>
        <w:t>Note: The grounding-conductor size, terminal-lug type, fastening torque, bonding arrangement, and continuity acceptance criteria shall be defined in the final controlled grounding drawing and installation documentation.</w:t>
      </w:r>
    </w:p>
    <w:p>
      <w:pPr>
        <w:pStyle w:val="ListBullet"/>
        <w:spacing w:after="20"/>
      </w:pPr>
      <w:r>
        <w:rPr>
          <w:b w:val="0"/>
          <w:i w:val="0"/>
          <w:color w:val="262321"/>
          <w:sz w:val="19"/>
        </w:rPr>
        <w:t>posisi grounding stud,</w:t>
      </w:r>
    </w:p>
    <w:p>
      <w:pPr>
        <w:pStyle w:val="ListBullet"/>
        <w:spacing w:after="20"/>
      </w:pPr>
      <w:r>
        <w:rPr>
          <w:b w:val="0"/>
          <w:i w:val="0"/>
          <w:color w:val="262321"/>
          <w:sz w:val="19"/>
        </w:rPr>
        <w:t>diameter/ukuran stud,</w:t>
      </w:r>
    </w:p>
    <w:p>
      <w:pPr>
        <w:pStyle w:val="ListBullet"/>
        <w:spacing w:after="20"/>
      </w:pPr>
      <w:r>
        <w:rPr>
          <w:b w:val="0"/>
          <w:i w:val="0"/>
          <w:color w:val="262321"/>
          <w:sz w:val="19"/>
        </w:rPr>
        <w:t>urutan washer–lug–nut,</w:t>
      </w:r>
    </w:p>
    <w:p>
      <w:pPr>
        <w:pStyle w:val="ListBullet"/>
        <w:spacing w:after="20"/>
      </w:pPr>
      <w:r>
        <w:rPr>
          <w:b w:val="0"/>
          <w:i w:val="0"/>
          <w:color w:val="262321"/>
          <w:sz w:val="19"/>
        </w:rPr>
        <w:t>material hardware,</w:t>
      </w:r>
    </w:p>
    <w:p>
      <w:pPr>
        <w:pStyle w:val="ListBullet"/>
        <w:spacing w:after="20"/>
      </w:pPr>
      <w:r>
        <w:rPr>
          <w:b w:val="0"/>
          <w:i w:val="0"/>
          <w:color w:val="262321"/>
          <w:sz w:val="19"/>
        </w:rPr>
        <w:t>simbol PE,</w:t>
      </w:r>
    </w:p>
    <w:p>
      <w:pPr>
        <w:pStyle w:val="ListBullet"/>
        <w:spacing w:after="20"/>
      </w:pPr>
      <w:r>
        <w:rPr>
          <w:b w:val="0"/>
          <w:i w:val="0"/>
          <w:color w:val="262321"/>
          <w:sz w:val="19"/>
        </w:rPr>
        <w:t>nilai torque,</w:t>
      </w:r>
    </w:p>
    <w:p>
      <w:pPr>
        <w:pStyle w:val="ListBullet"/>
        <w:spacing w:after="20"/>
      </w:pPr>
      <w:r>
        <w:rPr>
          <w:b w:val="0"/>
          <w:i w:val="0"/>
          <w:color w:val="262321"/>
          <w:sz w:val="19"/>
        </w:rPr>
        <w:t>acceptance limit continuity.</w:t>
      </w:r>
    </w:p>
    <w:p>
      <w:pPr>
        <w:keepNext/>
        <w:spacing w:after="60"/>
      </w:pPr>
      <w:r>
        <w:rPr>
          <w:b/>
          <w:i w:val="0"/>
          <w:color w:val="1B335F"/>
          <w:sz w:val="21"/>
        </w:rPr>
        <w:t>g.8 Antenna installation</w:t>
      </w:r>
    </w:p>
    <w:p>
      <w:pPr>
        <w:spacing w:after="100"/>
      </w:pPr>
      <w:r>
        <w:rPr>
          <w:b w:val="0"/>
          <w:i w:val="0"/>
          <w:color w:val="262321"/>
          <w:sz w:val="19"/>
        </w:rPr>
        <w:t>The Gas Leak Detector (GLD) uses an external omnidirectional antenna connected to the internal LoRa communication module through the approved RF interface. The production configuration specified in this documentation uses a 3 dBi external antenna with an SMA interface</w:t>
      </w:r>
    </w:p>
    <w:p>
      <w:pPr>
        <w:spacing w:after="100"/>
      </w:pPr>
      <w:r>
        <w:rPr>
          <w:b w:val="0"/>
          <w:i w:val="0"/>
          <w:color w:val="262321"/>
          <w:sz w:val="19"/>
        </w:rPr>
        <w:t>The antenna shall be installed only in the position and orientation defined in the approved mechanical and assembly drawings. For the current production configuration, the antenna interface is located at the upper part of the base enclosure. Earlier side-mounted antenna arrangements shown in superseded photographs or drawings shall not be used for the certified production configuration.</w:t>
      </w:r>
    </w:p>
    <w:p>
      <w:pPr>
        <w:spacing w:after="100"/>
      </w:pPr>
      <w:r>
        <w:rPr>
          <w:b w:val="0"/>
          <w:i w:val="0"/>
          <w:color w:val="262321"/>
          <w:sz w:val="19"/>
        </w:rPr>
        <w:t>The antenna, SMA connector, internal RF cable, U.FL connection where applicable, mounting hardware, sealing elements, and enclosure penetration shall correspond to the approved production configuration. Substitution of the antenna, connector, RF cable, bulkhead fitting, or associated mounting parts shall not be permitted without controlled engineering review and approval.</w:t>
      </w:r>
    </w:p>
    <w:p>
      <w:pPr>
        <w:spacing w:after="100"/>
      </w:pPr>
      <w:r>
        <w:rPr>
          <w:b w:val="0"/>
          <w:i w:val="0"/>
          <w:color w:val="262321"/>
          <w:sz w:val="19"/>
        </w:rPr>
        <w:t>The antenna shall be mounted securely so that vibration, accidental movement, or handling does not loosen the RF connector or compromise the enclosure interface. The SMA connection shall be fully engaged and tightened in accordance with the approved component and assembly instructions. Excessive torque that could damage the connector, enclosure, sealing element, or internal RF cable shall be avoided.</w:t>
      </w:r>
    </w:p>
    <w:p>
      <w:pPr>
        <w:spacing w:after="100"/>
      </w:pPr>
      <w:r>
        <w:rPr>
          <w:b w:val="0"/>
          <w:i w:val="0"/>
          <w:color w:val="262321"/>
          <w:sz w:val="19"/>
        </w:rPr>
        <w:t>The antenna mounting arrangement shall maintain the required enclosure sealing and mechanical integrity. Any gasket, O-ring, sealing washer, bulkhead fitting, or other sealing component associated with the antenna penetration shall be installed in the correct sequence and orientation defined in the controlled drawing.</w:t>
      </w:r>
    </w:p>
    <w:p>
      <w:pPr>
        <w:spacing w:after="100"/>
      </w:pPr>
      <w:r>
        <w:rPr>
          <w:b w:val="0"/>
          <w:i w:val="0"/>
          <w:color w:val="262321"/>
          <w:sz w:val="19"/>
        </w:rPr>
        <w:t>The antenna installation shall not introduce any unapproved opening, gap, modification, drilling, or additional penetration through the enclosure wall. The antenna interface shall not be enlarged, re-machined, re-threaded, or otherwise modified in the field.</w:t>
      </w:r>
    </w:p>
    <w:p>
      <w:pPr>
        <w:spacing w:after="100"/>
      </w:pPr>
      <w:r>
        <w:rPr>
          <w:b w:val="0"/>
          <w:i w:val="0"/>
          <w:color w:val="262321"/>
          <w:sz w:val="19"/>
        </w:rPr>
        <w:t>The external antenna shall be positioned so that it is not mechanically obstructed or excessively loaded by nearby plant structures, piping, cable trays, or other equipment. The installation arrangement shall minimize the risk of mechanical impact, bending, loosening, or damage to the antenna and its enclosure interface.</w:t>
      </w:r>
    </w:p>
    <w:p>
      <w:pPr>
        <w:spacing w:after="100"/>
      </w:pPr>
      <w:r>
        <w:rPr>
          <w:b w:val="0"/>
          <w:i w:val="0"/>
          <w:color w:val="262321"/>
          <w:sz w:val="19"/>
        </w:rPr>
        <w:t>The antenna shall not be used as a lifting point, support point, handle, or attachment point for other equipment or cables.</w:t>
      </w:r>
    </w:p>
    <w:p>
      <w:pPr>
        <w:spacing w:after="100"/>
      </w:pPr>
      <w:r>
        <w:rPr>
          <w:b w:val="0"/>
          <w:i w:val="0"/>
          <w:color w:val="262321"/>
          <w:sz w:val="19"/>
        </w:rPr>
        <w:t>During installation and periodic inspection, the antenna and RF interface shall be checked for secure fastening, corrosion, cracking, deformation, damaged insulation, loose connectors, damaged sealing components, and other conditions that could affect RF performance, enclosure integrity, or the approved Ex configuration. Any damaged component shall be replaced only with an approved equivalent specified in the controlled BOM.</w:t>
      </w:r>
    </w:p>
    <w:p>
      <w:pPr>
        <w:spacing w:after="100"/>
      </w:pPr>
      <w:r>
        <w:rPr>
          <w:b w:val="0"/>
          <w:i w:val="0"/>
          <w:color w:val="262321"/>
          <w:sz w:val="19"/>
        </w:rPr>
        <w:t>The antenna type, gain, RF connector, cable assembly, and mounting arrangement shall remain consistent with the approved radio configuration. Any change in antenna type, antenna gain, cable length, RF connector arrangement, or mounting position shall be subject to engineering review to determine whether it affects the approved RF and explosion-protection configuration.</w:t>
      </w:r>
    </w:p>
    <w:p>
      <w:pPr>
        <w:spacing w:after="100"/>
      </w:pPr>
      <w:r>
        <w:rPr>
          <w:b w:val="0"/>
          <w:i w:val="0"/>
          <w:color w:val="262321"/>
          <w:sz w:val="19"/>
        </w:rPr>
        <w:t>Note: The approved antenna manufacturer, model, maximum antenna gain, SMA connector part number, RF cable type and length, mounting torque, sealing arrangement, and final installation position shall be specified in the controlled BOM and mechanical drawing.</w:t>
      </w:r>
    </w:p>
    <w:p>
      <w:pPr>
        <w:keepNext/>
        <w:spacing w:after="60"/>
      </w:pPr>
      <w:r>
        <w:rPr>
          <w:b/>
          <w:i w:val="0"/>
          <w:color w:val="1B335F"/>
          <w:sz w:val="21"/>
        </w:rPr>
        <w:t>g.9 Commissioning</w:t>
      </w:r>
    </w:p>
    <w:p>
      <w:pPr>
        <w:spacing w:after="100"/>
      </w:pPr>
      <w:r>
        <w:rPr>
          <w:b w:val="0"/>
          <w:i w:val="0"/>
          <w:color w:val="262321"/>
          <w:sz w:val="19"/>
        </w:rPr>
        <w:t>Commissioning of the Gas Leak Detector (GLD) shall be performed only after the mechanical installation, electrical connection, cable-entry installation, grounding/bonding connection, antenna installation, and enclosure assembly have been completed in accordance with the approved installation documentation.</w:t>
      </w:r>
    </w:p>
    <w:p>
      <w:pPr>
        <w:spacing w:after="100"/>
      </w:pPr>
      <w:r>
        <w:rPr>
          <w:b w:val="0"/>
          <w:i w:val="0"/>
          <w:color w:val="262321"/>
          <w:sz w:val="19"/>
        </w:rPr>
        <w:t>Commissioning shall be carried out only by trained and authorized personnel. Before energizing the equipment, the installer shall verify that the GLD is installed in the permitted hazardous-area environment and that the installation corresponds to the approved product configuration.</w:t>
      </w:r>
    </w:p>
    <w:p>
      <w:pPr>
        <w:spacing w:after="100"/>
      </w:pPr>
      <w:r>
        <w:rPr>
          <w:b w:val="0"/>
          <w:i w:val="0"/>
          <w:color w:val="262321"/>
          <w:sz w:val="19"/>
        </w:rPr>
        <w:t>Prior to initial energization, the following items shall be verified:</w:t>
      </w:r>
    </w:p>
    <w:p>
      <w:pPr>
        <w:pStyle w:val="ListBullet"/>
        <w:spacing w:after="20"/>
      </w:pPr>
      <w:r>
        <w:rPr>
          <w:b w:val="0"/>
          <w:i w:val="0"/>
          <w:color w:val="262321"/>
          <w:sz w:val="19"/>
        </w:rPr>
        <w:t>the enclosure is correctly assembled and free from visible mechanical damage, corrosion, deformation, or contamination;</w:t>
      </w:r>
    </w:p>
    <w:p>
      <w:pPr>
        <w:pStyle w:val="ListBullet"/>
        <w:spacing w:after="20"/>
      </w:pPr>
      <w:r>
        <w:rPr>
          <w:b w:val="0"/>
          <w:i w:val="0"/>
          <w:color w:val="262321"/>
          <w:sz w:val="19"/>
        </w:rPr>
        <w:t>the front stainless-steel gas-entry mesh is clean, intact, correctly installed, and unobstructed;</w:t>
      </w:r>
    </w:p>
    <w:p>
      <w:pPr>
        <w:pStyle w:val="ListBullet"/>
        <w:spacing w:after="20"/>
      </w:pPr>
      <w:r>
        <w:rPr>
          <w:b w:val="0"/>
          <w:i w:val="0"/>
          <w:color w:val="262321"/>
          <w:sz w:val="19"/>
        </w:rPr>
        <w:t>the gas-sampling inlet has adequate clearance from surrounding structures;</w:t>
      </w:r>
    </w:p>
    <w:p>
      <w:pPr>
        <w:pStyle w:val="ListBullet"/>
        <w:spacing w:after="20"/>
      </w:pPr>
      <w:r>
        <w:rPr>
          <w:b w:val="0"/>
          <w:i w:val="0"/>
          <w:color w:val="262321"/>
          <w:sz w:val="19"/>
        </w:rPr>
        <w:t>the DC sampling fan is correctly installed and mechanically unobstructed;</w:t>
      </w:r>
    </w:p>
    <w:p>
      <w:pPr>
        <w:pStyle w:val="ListBullet"/>
        <w:spacing w:after="20"/>
      </w:pPr>
      <w:r>
        <w:rPr>
          <w:b w:val="0"/>
          <w:i w:val="0"/>
          <w:color w:val="262321"/>
          <w:sz w:val="19"/>
        </w:rPr>
        <w:t>all cable-entry devices, adaptors, blanking elements, and seals are correctly installed and securely tightened;</w:t>
      </w:r>
    </w:p>
    <w:p>
      <w:pPr>
        <w:pStyle w:val="ListBullet"/>
        <w:spacing w:after="20"/>
      </w:pPr>
      <w:r>
        <w:rPr>
          <w:b w:val="0"/>
          <w:i w:val="0"/>
          <w:color w:val="262321"/>
          <w:sz w:val="19"/>
        </w:rPr>
        <w:t>the 24 VDC input wiring is connected with the correct polarity;</w:t>
      </w:r>
    </w:p>
    <w:p>
      <w:pPr>
        <w:pStyle w:val="ListBullet"/>
        <w:spacing w:after="20"/>
      </w:pPr>
      <w:r>
        <w:rPr>
          <w:b w:val="0"/>
          <w:i w:val="0"/>
          <w:color w:val="262321"/>
          <w:sz w:val="19"/>
        </w:rPr>
        <w:t>the protective-earth and bonding connections are securely installed and electrical continuity has been verified;</w:t>
      </w:r>
    </w:p>
    <w:p>
      <w:pPr>
        <w:pStyle w:val="ListBullet"/>
        <w:spacing w:after="20"/>
      </w:pPr>
      <w:r>
        <w:rPr>
          <w:b w:val="0"/>
          <w:i w:val="0"/>
          <w:color w:val="262321"/>
          <w:sz w:val="19"/>
        </w:rPr>
        <w:t>the antenna and RF interface are correctly installed and securely fastened; and</w:t>
      </w:r>
    </w:p>
    <w:p>
      <w:pPr>
        <w:pStyle w:val="ListBullet"/>
        <w:spacing w:after="20"/>
      </w:pPr>
      <w:r>
        <w:rPr>
          <w:b w:val="0"/>
          <w:i w:val="0"/>
          <w:color w:val="262321"/>
          <w:sz w:val="19"/>
        </w:rPr>
        <w:t>all enclosure covers, threaded joints, fasteners, and locking features are correctly engaged in accordance with the approved assembly instructions.</w:t>
      </w:r>
    </w:p>
    <w:p>
      <w:pPr>
        <w:spacing w:after="100"/>
      </w:pPr>
      <w:r>
        <w:rPr>
          <w:b w:val="0"/>
          <w:i w:val="0"/>
          <w:color w:val="262321"/>
          <w:sz w:val="19"/>
        </w:rPr>
        <w:t>After completion of the pre-energization inspection, the GLD may be energized from the approved 24 VDC supply. The supply voltage, polarity, and equipment current consumption shall be checked for conformity with the approved electrical specification. The current production configuration identified in the draft is based on continuous 24 VDC operation.</w:t>
      </w:r>
    </w:p>
    <w:p>
      <w:pPr>
        <w:spacing w:after="100"/>
      </w:pPr>
      <w:r>
        <w:rPr>
          <w:b w:val="0"/>
          <w:i w:val="0"/>
          <w:color w:val="262321"/>
          <w:sz w:val="19"/>
        </w:rPr>
        <w:t>Following power-up, the GLD shall be allowed to complete its normal start-up and sensor stabilization sequence in accordance with the approved operating procedure. The operator shall verify that the processing unit, sensor-acquisition system, sampling fan, alarm module, and communication functions initialize without an active fault condition.</w:t>
      </w:r>
    </w:p>
    <w:p>
      <w:pPr>
        <w:spacing w:after="100"/>
      </w:pPr>
      <w:r>
        <w:rPr>
          <w:b w:val="0"/>
          <w:i w:val="0"/>
          <w:color w:val="262321"/>
          <w:sz w:val="19"/>
        </w:rPr>
        <w:t>A sensor baseline or nulling procedure shall be performed only in confirmed clean air. The nulling procedure shall be considered acceptable only when all eight MQ sensor channels report a complete 8/8 successful result. If the nulling sequence is incomplete or any sensor channel reports a fault, the cause shall be investigated and corrected before the detector is placed into normal service.</w:t>
      </w:r>
    </w:p>
    <w:p>
      <w:pPr>
        <w:spacing w:after="100"/>
      </w:pPr>
      <w:r>
        <w:rPr>
          <w:b w:val="0"/>
          <w:i w:val="0"/>
          <w:color w:val="262321"/>
          <w:sz w:val="19"/>
        </w:rPr>
        <w:t>The sampling function shall be verified by confirming that the internal DC fan operates during the applicable sampling cycle and that no physical obstruction exists in the gas-inlet or sensing path.</w:t>
      </w:r>
    </w:p>
    <w:p>
      <w:pPr>
        <w:spacing w:after="100"/>
      </w:pPr>
      <w:r>
        <w:rPr>
          <w:b w:val="0"/>
          <w:i w:val="0"/>
          <w:color w:val="262321"/>
          <w:sz w:val="19"/>
        </w:rPr>
        <w:t>The local alarm function shall be tested to confirm correct operation of the integrated visual and audible alarm. Where a controlled gas test is used, the test shall be performed in accordance with the approved site procedure and with appropriate safety precautions.</w:t>
      </w:r>
    </w:p>
    <w:p>
      <w:pPr>
        <w:spacing w:after="100"/>
      </w:pPr>
      <w:r>
        <w:rPr>
          <w:b w:val="0"/>
          <w:i w:val="0"/>
          <w:color w:val="262321"/>
          <w:sz w:val="19"/>
        </w:rPr>
        <w:t>The LoRa communication function shall be verified by confirming successful transmission of status and/or alarm information from the GLD to the designated cluster head or gateway. Any required wired diagnostic or Modbus communication interface may also be verified as part of the commissioning procedure where applicable.</w:t>
      </w:r>
    </w:p>
    <w:p>
      <w:pPr>
        <w:spacing w:after="100"/>
      </w:pPr>
      <w:r>
        <w:rPr>
          <w:b w:val="0"/>
          <w:i w:val="0"/>
          <w:color w:val="262321"/>
          <w:sz w:val="19"/>
        </w:rPr>
        <w:t>Before the GLD is released for normal operation, the operator shall confirm that:</w:t>
      </w:r>
    </w:p>
    <w:p>
      <w:pPr>
        <w:pStyle w:val="ListBullet"/>
        <w:spacing w:after="20"/>
      </w:pPr>
      <w:r>
        <w:rPr>
          <w:b w:val="0"/>
          <w:i w:val="0"/>
          <w:color w:val="262321"/>
          <w:sz w:val="19"/>
        </w:rPr>
        <w:t>no unresolved sensor or system fault is present;</w:t>
      </w:r>
    </w:p>
    <w:p>
      <w:pPr>
        <w:pStyle w:val="ListBullet"/>
        <w:spacing w:after="20"/>
      </w:pPr>
      <w:r>
        <w:rPr>
          <w:b w:val="0"/>
          <w:i w:val="0"/>
          <w:color w:val="262321"/>
          <w:sz w:val="19"/>
        </w:rPr>
        <w:t>all eight sensor channels are operational;</w:t>
      </w:r>
    </w:p>
    <w:p>
      <w:pPr>
        <w:pStyle w:val="ListBullet"/>
        <w:spacing w:after="20"/>
      </w:pPr>
      <w:r>
        <w:rPr>
          <w:b w:val="0"/>
          <w:i w:val="0"/>
          <w:color w:val="262321"/>
          <w:sz w:val="19"/>
        </w:rPr>
        <w:t>the local alarm function has been verified;</w:t>
      </w:r>
    </w:p>
    <w:p>
      <w:pPr>
        <w:pStyle w:val="ListBullet"/>
        <w:spacing w:after="20"/>
      </w:pPr>
      <w:r>
        <w:rPr>
          <w:b w:val="0"/>
          <w:i w:val="0"/>
          <w:color w:val="262321"/>
          <w:sz w:val="19"/>
        </w:rPr>
        <w:t>the LoRa communication link is operational;</w:t>
      </w:r>
    </w:p>
    <w:p>
      <w:pPr>
        <w:pStyle w:val="ListBullet"/>
        <w:spacing w:after="20"/>
      </w:pPr>
      <w:r>
        <w:rPr>
          <w:b w:val="0"/>
          <w:i w:val="0"/>
          <w:color w:val="262321"/>
          <w:sz w:val="19"/>
        </w:rPr>
        <w:t>the grounding connection is intact;</w:t>
      </w:r>
    </w:p>
    <w:p>
      <w:pPr>
        <w:pStyle w:val="ListBullet"/>
        <w:spacing w:after="20"/>
      </w:pPr>
      <w:r>
        <w:rPr>
          <w:b w:val="0"/>
          <w:i w:val="0"/>
          <w:color w:val="262321"/>
          <w:sz w:val="19"/>
        </w:rPr>
        <w:t>the gas-sampling inlet remains unobstructed; and</w:t>
      </w:r>
    </w:p>
    <w:p>
      <w:pPr>
        <w:pStyle w:val="ListBullet"/>
        <w:spacing w:after="20"/>
      </w:pPr>
      <w:r>
        <w:rPr>
          <w:b w:val="0"/>
          <w:i w:val="0"/>
          <w:color w:val="262321"/>
          <w:sz w:val="19"/>
        </w:rPr>
        <w:t>the enclosure, cable entries, antenna interface, and other Ex-critical mechanical features remain correctly assembled.</w:t>
      </w:r>
    </w:p>
    <w:p>
      <w:pPr>
        <w:spacing w:after="100"/>
      </w:pPr>
      <w:r>
        <w:rPr>
          <w:b w:val="0"/>
          <w:i w:val="0"/>
          <w:color w:val="262321"/>
          <w:sz w:val="19"/>
        </w:rPr>
        <w:t>If any required commissioning check is unsuccessful, the GLD shall not be placed into normal detection service until the cause has been identified, corrected, and the affected commissioning checks have been repeated successfully.</w:t>
      </w:r>
    </w:p>
    <w:p>
      <w:pPr>
        <w:spacing w:after="100"/>
      </w:pPr>
      <w:r>
        <w:rPr>
          <w:b w:val="0"/>
          <w:i w:val="0"/>
          <w:color w:val="262321"/>
          <w:sz w:val="19"/>
        </w:rPr>
        <w:t>The commissioning results shall be recorded and shall include, as applicable, the product model and serial number, hardware revision, firmware version, AI model/configuration version, date of commissioning, supply voltage, nulling result, alarm-test result, communication-test result, grounding-continuity result, and identification of the responsible commissioning personnel.</w:t>
      </w:r>
    </w:p>
    <w:p>
      <w:pPr>
        <w:spacing w:after="100"/>
      </w:pPr>
      <w:r>
        <w:rPr>
          <w:b w:val="0"/>
          <w:i w:val="0"/>
          <w:color w:val="262321"/>
          <w:sz w:val="19"/>
        </w:rPr>
        <w:t>Note: The required sensor stabilization/warm-up time, permitted 24 VDC input range, acceptance limits for grounding continuity, maximum commissioning current, and detailed gas-test procedure shall be defined in the final approved operating and commissioning procedure.</w:t>
      </w:r>
    </w:p>
    <w:p>
      <w:pPr>
        <w:keepNext/>
        <w:spacing w:after="60"/>
      </w:pPr>
      <w:r>
        <w:rPr>
          <w:b/>
          <w:i w:val="0"/>
          <w:color w:val="1B335F"/>
          <w:sz w:val="21"/>
        </w:rPr>
        <w:t>g.10 Operating modes</w:t>
      </w:r>
    </w:p>
    <w:p>
      <w:pPr>
        <w:spacing w:after="100"/>
      </w:pPr>
      <w:r>
        <w:rPr>
          <w:b w:val="0"/>
          <w:i w:val="0"/>
          <w:color w:val="262321"/>
          <w:sz w:val="19"/>
        </w:rPr>
        <w:t>The Gas Leak Detector (GLD) provides defined operating modes for normal gas-detection service, engineering/data-collection activities, and sensor baseline adjustment. Each operating mode shall be used only for its intended purpose and in accordance with the approved operating procedure.</w:t>
      </w:r>
    </w:p>
    <w:p>
      <w:pPr>
        <w:spacing w:after="40"/>
      </w:pPr>
      <w:r>
        <w:rPr>
          <w:b/>
          <w:i w:val="0"/>
          <w:color w:val="262321"/>
          <w:sz w:val="19"/>
        </w:rPr>
        <w:t>Inference Mode</w:t>
      </w:r>
    </w:p>
    <w:p>
      <w:pPr>
        <w:spacing w:after="100"/>
      </w:pPr>
      <w:r>
        <w:rPr>
          <w:b w:val="0"/>
          <w:i w:val="0"/>
          <w:color w:val="262321"/>
          <w:sz w:val="19"/>
        </w:rPr>
        <w:t>Inference Mode is the normal production operating mode of the GLD. In this mode, the detector acquires data from the eight MQ-series gas sensor channels, processes the sensor data using the embedded processing and gas-classification functions, evaluates the configured alarm criteria, and performs the normal alarm and communication functions.</w:t>
      </w:r>
    </w:p>
    <w:p>
      <w:pPr>
        <w:spacing w:after="100"/>
      </w:pPr>
      <w:r>
        <w:rPr>
          <w:b w:val="0"/>
          <w:i w:val="0"/>
          <w:color w:val="262321"/>
          <w:sz w:val="19"/>
        </w:rPr>
        <w:t>Inference Mode shall be used after installation and commissioning have been successfully completed. The detector shall remain in this mode during normal gas-monitoring service unless an authorized maintenance, calibration, or engineering activity requires another approved mode.</w:t>
      </w:r>
    </w:p>
    <w:p>
      <w:pPr>
        <w:spacing w:after="40"/>
      </w:pPr>
      <w:r>
        <w:rPr>
          <w:b/>
          <w:i w:val="0"/>
          <w:color w:val="262321"/>
          <w:sz w:val="19"/>
        </w:rPr>
        <w:t>Dataset Mode</w:t>
      </w:r>
    </w:p>
    <w:p>
      <w:pPr>
        <w:spacing w:after="100"/>
      </w:pPr>
      <w:r>
        <w:rPr>
          <w:b w:val="0"/>
          <w:i w:val="0"/>
          <w:color w:val="262321"/>
          <w:sz w:val="19"/>
        </w:rPr>
        <w:t>Dataset Mode is intended for engineering and controlled data-collection activities. This mode may be used to acquire sensor data for development, verification, characterization, or other approved engineering purposes.</w:t>
      </w:r>
    </w:p>
    <w:p>
      <w:pPr>
        <w:spacing w:after="100"/>
      </w:pPr>
      <w:r>
        <w:rPr>
          <w:b w:val="0"/>
          <w:i w:val="0"/>
          <w:color w:val="262321"/>
          <w:sz w:val="19"/>
        </w:rPr>
        <w:t>Dataset Mode is not a substitute for normal approved gas-detection operation and shall not be relied upon as the production operating mode while the detector is being used for normal hazardous-area gas monitoring. This limitation is already stated in the current draft.</w:t>
      </w:r>
    </w:p>
    <w:p>
      <w:pPr>
        <w:spacing w:after="100"/>
      </w:pPr>
      <w:r>
        <w:rPr>
          <w:b w:val="0"/>
          <w:i w:val="0"/>
          <w:color w:val="262321"/>
          <w:sz w:val="19"/>
        </w:rPr>
        <w:t>Use of Dataset Mode shall be restricted to authorized personnel and shall be performed under a controlled procedure. Any engineering activity that changes firmware, AI model files, alarm thresholds, calibration parameters, or other controlled configuration items shall be subject to the applicable engineering change-control process.</w:t>
      </w:r>
    </w:p>
    <w:p>
      <w:pPr>
        <w:spacing w:after="40"/>
      </w:pPr>
      <w:r>
        <w:rPr>
          <w:b/>
          <w:i w:val="0"/>
          <w:color w:val="262321"/>
          <w:sz w:val="19"/>
        </w:rPr>
        <w:t>Nulling Mode</w:t>
      </w:r>
    </w:p>
    <w:p>
      <w:pPr>
        <w:spacing w:after="100"/>
      </w:pPr>
      <w:r>
        <w:rPr>
          <w:b w:val="0"/>
          <w:i w:val="0"/>
          <w:color w:val="262321"/>
          <w:sz w:val="19"/>
        </w:rPr>
        <w:t>Nulling Mode is intended for sensor baseline adjustment before or during approved commissioning and maintenance activities. The nulling procedure shall be performed only in confirmed clean air so that the baseline values of the eight MQ sensor channels are not influenced by the presence of target or interfering gases.</w:t>
      </w:r>
    </w:p>
    <w:p>
      <w:pPr>
        <w:spacing w:after="100"/>
      </w:pPr>
      <w:r>
        <w:rPr>
          <w:b w:val="0"/>
          <w:i w:val="0"/>
          <w:color w:val="262321"/>
          <w:sz w:val="19"/>
        </w:rPr>
        <w:t>The nulling operation shall be considered acceptable only when all eight sensor channels complete the procedure successfully and report a complete 8/8 result. If the nulling process is incomplete or one or more channels do not pass, the cause shall be investigated and corrected before the detector is returned to normal service. The current draft already specifies clean-air operation and the complete 8/8 requirement.</w:t>
      </w:r>
    </w:p>
    <w:p>
      <w:pPr>
        <w:spacing w:after="100"/>
      </w:pPr>
      <w:r>
        <w:rPr>
          <w:b w:val="0"/>
          <w:i w:val="0"/>
          <w:color w:val="262321"/>
          <w:sz w:val="19"/>
        </w:rPr>
        <w:t>After completion of Nulling Mode, the detector shall be returned to Inference Mode before being released for normal gas-detection operation.</w:t>
      </w:r>
    </w:p>
    <w:p>
      <w:pPr>
        <w:spacing w:after="40"/>
      </w:pPr>
      <w:r>
        <w:rPr>
          <w:b/>
          <w:i w:val="0"/>
          <w:color w:val="262321"/>
          <w:sz w:val="19"/>
        </w:rPr>
        <w:t>Operating-Mode Control</w:t>
      </w:r>
    </w:p>
    <w:p>
      <w:pPr>
        <w:spacing w:after="100"/>
      </w:pPr>
      <w:r>
        <w:rPr>
          <w:b w:val="0"/>
          <w:i w:val="0"/>
          <w:color w:val="262321"/>
          <w:sz w:val="19"/>
        </w:rPr>
        <w:t>Selection or change of operating mode shall be restricted to authorized operation, commissioning, maintenance, or engineering procedures. Operating-mode changes shall not bypass or disable any required safety, alarm, diagnostic, or configuration-control function of the approved product.</w:t>
      </w:r>
    </w:p>
    <w:p>
      <w:pPr>
        <w:spacing w:after="100"/>
      </w:pPr>
      <w:r>
        <w:rPr>
          <w:b w:val="0"/>
          <w:i w:val="0"/>
          <w:color w:val="262321"/>
          <w:sz w:val="19"/>
        </w:rPr>
        <w:t>The active operating mode shall be identifiable through the approved diagnostic or service interface where applicable. Before the detector is released for normal service, the responsible personnel shall verify that the GLD has been returned to Inference Mode and that no unresolved fault or incomplete maintenance condition remains.</w:t>
      </w:r>
    </w:p>
    <w:p>
      <w:pPr>
        <w:keepNext/>
        <w:spacing w:after="60"/>
      </w:pPr>
      <w:r>
        <w:rPr>
          <w:b/>
          <w:i w:val="0"/>
          <w:color w:val="1B335F"/>
          <w:sz w:val="21"/>
        </w:rPr>
        <w:t>g.11 Normal operation</w:t>
      </w:r>
    </w:p>
    <w:p>
      <w:pPr>
        <w:spacing w:after="100"/>
      </w:pPr>
      <w:r>
        <w:rPr>
          <w:b w:val="0"/>
          <w:i w:val="0"/>
          <w:color w:val="262321"/>
          <w:sz w:val="19"/>
        </w:rPr>
        <w:t>Following successful installation, commissioning, and completion of the required sensor nulling procedure, the Gas Leak Detector (GLD) shall be placed in Inference Mode for normal gas-monitoring operation. Inference Mode is the approved production operating mode of the detector.</w:t>
      </w:r>
    </w:p>
    <w:p>
      <w:pPr>
        <w:spacing w:after="100"/>
      </w:pPr>
      <w:r>
        <w:rPr>
          <w:b w:val="0"/>
          <w:i w:val="0"/>
          <w:color w:val="262321"/>
          <w:sz w:val="19"/>
        </w:rPr>
        <w:t>Before each operating period, the responsible personnel shall verify that the GLD is energized correctly, that the enclosure and external components show no visible damage, that the diagnostic status is normal, that the required communication link is available, and that no unresolved fault condition is present.</w:t>
      </w:r>
    </w:p>
    <w:p>
      <w:pPr>
        <w:spacing w:after="100"/>
      </w:pPr>
      <w:r>
        <w:rPr>
          <w:b w:val="0"/>
          <w:i w:val="0"/>
          <w:color w:val="262321"/>
          <w:sz w:val="19"/>
        </w:rPr>
        <w:t>During normal operation, the GLD monitors the surrounding atmosphere using the eight MQ-series gas sensor channels. Sensor data are acquired and processed locally by the ESP32-S3 processing unit, and the embedded gas-classification function evaluates the multi-sensor response pattern. The principal detection and classification functions are performed locally within the GLD and therefore do not depend on a continuous connection to a central server.</w:t>
      </w:r>
    </w:p>
    <w:p>
      <w:pPr>
        <w:spacing w:after="100"/>
      </w:pPr>
      <w:r>
        <w:rPr>
          <w:b w:val="0"/>
          <w:i w:val="0"/>
          <w:color w:val="262321"/>
          <w:sz w:val="19"/>
        </w:rPr>
        <w:t>During the applicable sampling cycle, ambient gas is admitted into the sensing area through the front stainless-steel mesh. The internal sampling arrangement assists the exposure of the eight MQ-series sensors to the surrounding atmosphere. Each MQ sensor provides an electrical response that is acquired by the detector electronics for subsequent processing and classification.</w:t>
      </w:r>
    </w:p>
    <w:p>
      <w:pPr>
        <w:spacing w:after="100"/>
      </w:pPr>
      <w:r>
        <w:rPr>
          <w:b w:val="0"/>
          <w:i w:val="0"/>
          <w:color w:val="262321"/>
          <w:sz w:val="19"/>
        </w:rPr>
        <w:t>When the processed sensor response satisfies the configured alarm criteria, the GLD shall activate the integrated local visual and audible alarm and transmit the alarm information through the LoRa communication network to the associated monitoring system. The current product description defines these local and remote alarm paths as parallel alarm functions.</w:t>
      </w:r>
    </w:p>
    <w:p>
      <w:pPr>
        <w:spacing w:after="100"/>
      </w:pPr>
      <w:r>
        <w:rPr>
          <w:b w:val="0"/>
          <w:i w:val="0"/>
          <w:color w:val="262321"/>
          <w:sz w:val="19"/>
        </w:rPr>
        <w:t>Any gas alarm generated during normal operation shall be treated as a genuine process-safety event until the applicable site response procedure has established otherwise. The operator shall follow the site-specific alarm-response procedure and shall not disregard, suppress, or bypass an active alarm without authorized investigation.</w:t>
      </w:r>
    </w:p>
    <w:p>
      <w:pPr>
        <w:spacing w:after="100"/>
      </w:pPr>
      <w:r>
        <w:rPr>
          <w:b w:val="0"/>
          <w:i w:val="0"/>
          <w:color w:val="262321"/>
          <w:sz w:val="19"/>
        </w:rPr>
        <w:t>If the GLD reports a sensor, system, or diagnostic fault, or if the required communication link is lost, the responsible operator shall be informed and the affected detection point shall be handled in accordance with the site impairment procedure. The detector shall not be considered fully available for normal monitoring while an unresolved fault condition remains.</w:t>
      </w:r>
    </w:p>
    <w:p>
      <w:pPr>
        <w:spacing w:after="100"/>
      </w:pPr>
      <w:r>
        <w:rPr>
          <w:b w:val="0"/>
          <w:i w:val="0"/>
          <w:color w:val="262321"/>
          <w:sz w:val="19"/>
        </w:rPr>
        <w:t>During normal operation, the front gas-sampling mesh and sensing inlet shall remain unobstructed. The enclosure, antenna, cable entries, grounding connection, and other Ex-critical external features shall remain in their approved installed condition. No enclosure cover, cable-entry device, sensor assembly, mesh, antenna interface, or other controlled construction feature shall be removed or modified while the detector is in normal service.</w:t>
      </w:r>
    </w:p>
    <w:p>
      <w:pPr>
        <w:spacing w:after="100"/>
      </w:pPr>
      <w:r>
        <w:rPr>
          <w:b w:val="0"/>
          <w:i w:val="0"/>
          <w:color w:val="262321"/>
          <w:sz w:val="19"/>
        </w:rPr>
        <w:t>Firmware, AI model files, alarm thresholds, calibration parameters, and other controlled configuration settings shall not be changed in the field unless the change has been authorized through the approved engineering and configuration-control process and a documented rollback method is available.</w:t>
      </w:r>
    </w:p>
    <w:p>
      <w:pPr>
        <w:spacing w:after="100"/>
      </w:pPr>
      <w:r>
        <w:rPr>
          <w:b w:val="0"/>
          <w:i w:val="0"/>
          <w:color w:val="262321"/>
          <w:sz w:val="19"/>
        </w:rPr>
        <w:t>If visible enclosure damage, water ingress, an unresolved sensor fault, a failed alarm function, or loss of protective-earth continuity is detected, the GLD shall be removed from normal service until the condition has been corrected and the detector has been verified as suitable for continued operation.</w:t>
      </w:r>
    </w:p>
    <w:p>
      <w:pPr>
        <w:spacing w:after="100"/>
      </w:pPr>
      <w:r>
        <w:rPr>
          <w:b w:val="0"/>
          <w:i w:val="0"/>
          <w:color w:val="262321"/>
          <w:sz w:val="19"/>
        </w:rPr>
        <w:t>Normal operation shall be resumed only after any maintenance or corrective action has been completed, the enclosure has been correctly reassembled, the required functional checks have been successfully performed, and the GLD has been returned to Inference Mode with no unresolved fault condition.</w:t>
      </w:r>
    </w:p>
    <w:p>
      <w:pPr>
        <w:keepNext/>
        <w:spacing w:after="60"/>
      </w:pPr>
      <w:r>
        <w:rPr>
          <w:b/>
          <w:i w:val="0"/>
          <w:color w:val="1B335F"/>
          <w:sz w:val="21"/>
        </w:rPr>
        <w:t>g.12 Alarm and fault handling</w:t>
      </w:r>
    </w:p>
    <w:p>
      <w:pPr>
        <w:spacing w:after="100"/>
      </w:pPr>
      <w:r>
        <w:rPr>
          <w:b w:val="0"/>
          <w:i w:val="0"/>
          <w:color w:val="262321"/>
          <w:sz w:val="19"/>
        </w:rPr>
        <w:t>The Gas Leak Detector (GLD) shall provide alarm and fault indications in accordance with the approved production configuration and operating software. During normal operation, the detector continuously evaluates the processed response of the eight MQ-series gas sensor channels and the associated system diagnostic information.</w:t>
      </w:r>
    </w:p>
    <w:p>
      <w:pPr>
        <w:spacing w:after="100"/>
      </w:pPr>
      <w:r>
        <w:rPr>
          <w:b w:val="0"/>
          <w:i w:val="0"/>
          <w:color w:val="262321"/>
          <w:sz w:val="19"/>
        </w:rPr>
        <w:t>When the configured alarm criteria indicate a gas-leak condition, the GLD shall initiate two parallel alarm paths:</w:t>
      </w:r>
    </w:p>
    <w:p>
      <w:pPr>
        <w:spacing w:after="100"/>
      </w:pPr>
      <w:r>
        <w:rPr>
          <w:b w:val="0"/>
          <w:i w:val="0"/>
          <w:color w:val="262321"/>
          <w:sz w:val="19"/>
        </w:rPr>
        <w:t>1.  activation of the integrated local visual and audible alarm; and</w:t>
      </w:r>
    </w:p>
    <w:p>
      <w:pPr>
        <w:spacing w:after="100"/>
      </w:pPr>
      <w:r>
        <w:rPr>
          <w:b w:val="0"/>
          <w:i w:val="0"/>
          <w:color w:val="262321"/>
          <w:sz w:val="19"/>
        </w:rPr>
        <w:t>2.  transmission of the alarm information through the LoRa communication network to the associated cluster head, gateway, or operator monitoring system, as applicable to the approved system configuration.</w:t>
      </w:r>
    </w:p>
    <w:p>
      <w:pPr>
        <w:spacing w:after="100"/>
      </w:pPr>
      <w:r>
        <w:rPr>
          <w:b w:val="0"/>
          <w:i w:val="0"/>
          <w:color w:val="262321"/>
          <w:sz w:val="19"/>
        </w:rPr>
        <w:t>The local gas-detection and alarm-decision functions are performed within the GLD and shall not depend on a continuous connection to the remote monitoring system. Loss of the LoRa communication link shall therefore be treated as a communication or system-availability fault and shall not by itself be interpreted as confirmation that no hazardous gas condition exists.</w:t>
      </w:r>
    </w:p>
    <w:p>
      <w:pPr>
        <w:spacing w:after="100"/>
      </w:pPr>
      <w:r>
        <w:rPr>
          <w:b w:val="0"/>
          <w:i w:val="0"/>
          <w:color w:val="262321"/>
          <w:sz w:val="19"/>
        </w:rPr>
        <w:t>Any gas alarm generated by the GLD shall be treated as a genuine process-safety event until the applicable site alarm-response procedure has established otherwise. The operator shall follow the site-specific emergency or gas-response procedure and shall not ignore, suppress, bypass, or disable an active gas alarm without authorized investigation.</w:t>
      </w:r>
    </w:p>
    <w:p>
      <w:pPr>
        <w:spacing w:after="100"/>
      </w:pPr>
      <w:r>
        <w:rPr>
          <w:b w:val="0"/>
          <w:i w:val="0"/>
          <w:color w:val="262321"/>
          <w:sz w:val="19"/>
        </w:rPr>
        <w:t>Where the detector identifies a sensor fault, diagnostic fault, communication loss, power-related fault, or other condition that may impair the availability of the detection function, the responsible operator shall be notified and the affected detection point shall be placed into the applicable site impairment process until the fault has been corrected and the detector has been verified as suitable for continued operation.</w:t>
      </w:r>
    </w:p>
    <w:p>
      <w:pPr>
        <w:spacing w:after="100"/>
      </w:pPr>
      <w:r>
        <w:rPr>
          <w:b w:val="0"/>
          <w:i w:val="0"/>
          <w:color w:val="262321"/>
          <w:sz w:val="19"/>
        </w:rPr>
        <w:t>A sensor-related fault shall be investigated whenever one or more of the eight MQ sensor channels fail the required diagnostic, baseline, or nulling criteria. A detector that cannot complete the required eight-channel sensor verification shall not be returned to normal gas-detection service until the cause has been identified and corrected. The current draft requires a complete 8/8 result for the nulling operation.</w:t>
      </w:r>
    </w:p>
    <w:p>
      <w:pPr>
        <w:spacing w:after="100"/>
      </w:pPr>
      <w:r>
        <w:rPr>
          <w:b w:val="0"/>
          <w:i w:val="0"/>
          <w:color w:val="262321"/>
          <w:sz w:val="19"/>
        </w:rPr>
        <w:t>Fault investigation shall include, as applicable, verification of the 24 VDC power supply, internal sensor acquisition, sampling fan operation, local alarm module, LoRa communication, grounding continuity, enclosure condition, gas-entry path, and the status of the eight sensor channels.</w:t>
      </w:r>
    </w:p>
    <w:p>
      <w:pPr>
        <w:spacing w:after="100"/>
      </w:pPr>
      <w:r>
        <w:rPr>
          <w:b w:val="0"/>
          <w:i w:val="0"/>
          <w:color w:val="262321"/>
          <w:sz w:val="19"/>
        </w:rPr>
        <w:t>If visible enclosure damage, water ingress, an unresolved sensor fault, a failed alarm proof test, or loss of protective-earth continuity is identified, the GLD shall be removed from service until the condition has been corrected and the detector has successfully completed the required inspection and functional verification.</w:t>
      </w:r>
    </w:p>
    <w:p>
      <w:pPr>
        <w:spacing w:after="100"/>
      </w:pPr>
      <w:r>
        <w:rPr>
          <w:b w:val="0"/>
          <w:i w:val="0"/>
          <w:color w:val="262321"/>
          <w:sz w:val="19"/>
        </w:rPr>
        <w:t>Alarm or fault conditions shall not be cleared merely by power cycling, resetting, reconfiguring, or modifying the detector unless such action forms part of the approved operating or maintenance procedure. Any corrective action shall preserve the approved hardware, firmware, AI-model, alarm-threshold, calibration, and explosion-protection configuration.</w:t>
      </w:r>
    </w:p>
    <w:p>
      <w:pPr>
        <w:spacing w:after="100"/>
      </w:pPr>
      <w:r>
        <w:rPr>
          <w:b w:val="0"/>
          <w:i w:val="0"/>
          <w:color w:val="262321"/>
          <w:sz w:val="19"/>
        </w:rPr>
        <w:t>Firmware, model files, alarm thresholds, and calibration parameters shall not be changed in the field as a means of suppressing an alarm or clearing a fault unless the change has been formally authorized through the controlled engineering and configuration-management process.</w:t>
      </w:r>
    </w:p>
    <w:p>
      <w:pPr>
        <w:spacing w:after="100"/>
      </w:pPr>
      <w:r>
        <w:rPr>
          <w:b w:val="0"/>
          <w:i w:val="0"/>
          <w:color w:val="262321"/>
          <w:sz w:val="19"/>
        </w:rPr>
        <w:t>After a fault has been corrected, the GLD shall undergo the applicable functional checks before being returned to normal service. These checks shall include, as applicable, sensor-status verification, nulling in confirmed clean air, sampling-fan verification, local alarm verification, LoRa communication verification, grounding-continuity verification, and confirmation that no unresolved diagnostic condition remains.</w:t>
      </w:r>
    </w:p>
    <w:p>
      <w:pPr>
        <w:spacing w:after="100"/>
      </w:pPr>
      <w:r>
        <w:rPr>
          <w:b w:val="0"/>
          <w:i w:val="0"/>
          <w:color w:val="262321"/>
          <w:sz w:val="19"/>
        </w:rPr>
        <w:t>The detector shall be returned to normal Inference Mode only after the required checks have been completed successfully and the responsible personnel have confirmed that the unit is suitable for continued operation.</w:t>
      </w:r>
    </w:p>
    <w:tbl>
      <w:tblPr>
        <w:tblStyle w:val="TableGrid"/>
        <w:tblW w:type="auto" w:w="0"/>
        <w:jc w:val="center"/>
        <w:tblLayout w:type="fixed"/>
        <w:tblLook w:firstColumn="1" w:firstRow="1" w:lastColumn="0" w:lastRow="0" w:noHBand="0" w:noVBand="1" w:val="04A0"/>
        <w:tblLayout w:type="fixed"/>
      </w:tblPr>
      <w:tblGrid>
        <w:gridCol w:w="2592"/>
        <w:gridCol w:w="6912"/>
      </w:tblGrid>
      <w:tr>
        <w:trPr>
          <w:tblHeader w:val="true"/>
        </w:trPr>
        <w:tc>
          <w:tcPr>
            <w:tcW w:type="dxa" w:w="2592"/>
            <w:shd w:val="clear" w:fill="EAEFF9"/>
          </w:tcPr>
          <w:p>
            <w:pPr>
              <w:spacing w:after="20"/>
            </w:pPr>
            <w:r>
              <w:rPr>
                <w:b/>
                <w:color w:val="1B335F"/>
                <w:sz w:val="16"/>
              </w:rPr>
              <w:t>Condition</w:t>
            </w:r>
          </w:p>
        </w:tc>
        <w:tc>
          <w:tcPr>
            <w:tcW w:type="dxa" w:w="6912"/>
            <w:shd w:val="clear" w:fill="EAEFF9"/>
          </w:tcPr>
          <w:p>
            <w:pPr>
              <w:spacing w:after="20"/>
            </w:pPr>
            <w:r>
              <w:rPr>
                <w:b/>
                <w:color w:val="1B335F"/>
                <w:sz w:val="16"/>
              </w:rPr>
              <w:t>Required action</w:t>
            </w:r>
          </w:p>
        </w:tc>
      </w:tr>
    </w:tbl>
    <w:p>
      <w:pPr>
        <w:spacing w:after="40"/>
      </w:pPr>
    </w:p>
    <w:p>
      <w:pPr>
        <w:pStyle w:val="ListBullet"/>
        <w:spacing w:after="20"/>
      </w:pPr>
      <w:r>
        <w:rPr>
          <w:b w:val="0"/>
          <w:i w:val="0"/>
          <w:color w:val="262321"/>
          <w:sz w:val="19"/>
        </w:rPr>
      </w:r>
    </w:p>
    <w:tbl>
      <w:tblPr>
        <w:tblStyle w:val="TableGrid"/>
        <w:tblW w:type="auto" w:w="0"/>
        <w:jc w:val="center"/>
        <w:tblLayout w:type="fixed"/>
        <w:tblLook w:firstColumn="1" w:firstRow="1" w:lastColumn="0" w:lastRow="0" w:noHBand="0" w:noVBand="1" w:val="04A0"/>
        <w:tblLayout w:type="fixed"/>
      </w:tblPr>
      <w:tblGrid>
        <w:gridCol w:w="2592"/>
        <w:gridCol w:w="6912"/>
      </w:tblGrid>
      <w:tr>
        <w:trPr>
          <w:tblHeader w:val="true"/>
        </w:trPr>
        <w:tc>
          <w:tcPr>
            <w:tcW w:type="dxa" w:w="2592"/>
            <w:shd w:val="clear" w:fill="EAEFF9"/>
          </w:tcPr>
          <w:p>
            <w:pPr>
              <w:spacing w:after="20"/>
            </w:pPr>
            <w:r>
              <w:rPr>
                <w:b/>
                <w:color w:val="1B335F"/>
                <w:sz w:val="16"/>
              </w:rPr>
              <w:t>Gas alarm</w:t>
            </w:r>
          </w:p>
        </w:tc>
        <w:tc>
          <w:tcPr>
            <w:tcW w:type="dxa" w:w="6912"/>
            <w:shd w:val="clear" w:fill="EAEFF9"/>
          </w:tcPr>
          <w:p>
            <w:pPr>
              <w:spacing w:after="20"/>
            </w:pPr>
            <w:r>
              <w:rPr>
                <w:b/>
                <w:color w:val="1B335F"/>
                <w:sz w:val="16"/>
              </w:rPr>
              <w:t>Treat as a real process-safety event and follow the site gas-response procedure</w:t>
            </w:r>
          </w:p>
        </w:tc>
      </w:tr>
      <w:tr>
        <w:trPr>
          <w:cantSplit/>
        </w:trPr>
        <w:tc>
          <w:tcPr>
            <w:tcW w:type="dxa" w:w="2592"/>
          </w:tcPr>
          <w:p>
            <w:pPr>
              <w:spacing w:after="20"/>
            </w:pPr>
            <w:r>
              <w:rPr>
                <w:b/>
                <w:sz w:val="16"/>
              </w:rPr>
              <w:t>Sensor fault</w:t>
            </w:r>
          </w:p>
        </w:tc>
        <w:tc>
          <w:tcPr>
            <w:tcW w:type="dxa" w:w="6912"/>
          </w:tcPr>
          <w:p>
            <w:pPr>
              <w:spacing w:after="20"/>
            </w:pPr>
            <w:r>
              <w:rPr>
                <w:sz w:val="16"/>
              </w:rPr>
              <w:t>Investigate affected sensor channel(s); do not return to service until resolved</w:t>
            </w:r>
          </w:p>
        </w:tc>
      </w:tr>
      <w:tr>
        <w:trPr>
          <w:cantSplit/>
        </w:trPr>
        <w:tc>
          <w:tcPr>
            <w:tcW w:type="dxa" w:w="2592"/>
          </w:tcPr>
          <w:p>
            <w:pPr>
              <w:spacing w:after="20"/>
            </w:pPr>
            <w:r>
              <w:rPr>
                <w:b/>
                <w:sz w:val="16"/>
              </w:rPr>
              <w:t>Nulling incomplete / not 8/8</w:t>
            </w:r>
          </w:p>
        </w:tc>
        <w:tc>
          <w:tcPr>
            <w:tcW w:type="dxa" w:w="6912"/>
          </w:tcPr>
          <w:p>
            <w:pPr>
              <w:spacing w:after="20"/>
            </w:pPr>
            <w:r>
              <w:rPr>
                <w:sz w:val="16"/>
              </w:rPr>
              <w:t>Correct the cause and repeat nulling in confirmed clean air</w:t>
            </w:r>
          </w:p>
        </w:tc>
      </w:tr>
      <w:tr>
        <w:trPr>
          <w:cantSplit/>
        </w:trPr>
        <w:tc>
          <w:tcPr>
            <w:tcW w:type="dxa" w:w="2592"/>
          </w:tcPr>
          <w:p>
            <w:pPr>
              <w:spacing w:after="20"/>
            </w:pPr>
            <w:r>
              <w:rPr>
                <w:b/>
                <w:sz w:val="16"/>
              </w:rPr>
              <w:t>LoRa communication loss</w:t>
            </w:r>
          </w:p>
        </w:tc>
        <w:tc>
          <w:tcPr>
            <w:tcW w:type="dxa" w:w="6912"/>
          </w:tcPr>
          <w:p>
            <w:pPr>
              <w:spacing w:after="20"/>
            </w:pPr>
            <w:r>
              <w:rPr>
                <w:sz w:val="16"/>
              </w:rPr>
              <w:t>Notify operator and place affected detection point in the site impairment process</w:t>
            </w:r>
          </w:p>
        </w:tc>
      </w:tr>
      <w:tr>
        <w:trPr>
          <w:cantSplit/>
        </w:trPr>
        <w:tc>
          <w:tcPr>
            <w:tcW w:type="dxa" w:w="2592"/>
          </w:tcPr>
          <w:p>
            <w:pPr>
              <w:spacing w:after="20"/>
            </w:pPr>
            <w:r>
              <w:rPr>
                <w:b/>
                <w:sz w:val="16"/>
              </w:rPr>
              <w:t>Local alarm failure</w:t>
            </w:r>
          </w:p>
        </w:tc>
        <w:tc>
          <w:tcPr>
            <w:tcW w:type="dxa" w:w="6912"/>
          </w:tcPr>
          <w:p>
            <w:pPr>
              <w:spacing w:after="20"/>
            </w:pPr>
            <w:r>
              <w:rPr>
                <w:sz w:val="16"/>
              </w:rPr>
              <w:t>Remove detector from normal service until repaired and verified</w:t>
            </w:r>
          </w:p>
        </w:tc>
      </w:tr>
      <w:tr>
        <w:trPr>
          <w:cantSplit/>
        </w:trPr>
        <w:tc>
          <w:tcPr>
            <w:tcW w:type="dxa" w:w="2592"/>
          </w:tcPr>
          <w:p>
            <w:pPr>
              <w:spacing w:after="20"/>
            </w:pPr>
            <w:r>
              <w:rPr>
                <w:b/>
                <w:sz w:val="16"/>
              </w:rPr>
              <w:t>Grounding fault</w:t>
            </w:r>
          </w:p>
        </w:tc>
        <w:tc>
          <w:tcPr>
            <w:tcW w:type="dxa" w:w="6912"/>
          </w:tcPr>
          <w:p>
            <w:pPr>
              <w:spacing w:after="20"/>
            </w:pPr>
            <w:r>
              <w:rPr>
                <w:sz w:val="16"/>
              </w:rPr>
              <w:t>De-energize/remove from service until continuity is restored</w:t>
            </w:r>
          </w:p>
        </w:tc>
      </w:tr>
      <w:tr>
        <w:trPr>
          <w:cantSplit/>
        </w:trPr>
        <w:tc>
          <w:tcPr>
            <w:tcW w:type="dxa" w:w="2592"/>
          </w:tcPr>
          <w:p>
            <w:pPr>
              <w:spacing w:after="20"/>
            </w:pPr>
            <w:r>
              <w:rPr>
                <w:b/>
                <w:sz w:val="16"/>
              </w:rPr>
              <w:t>Water ingress / enclosure damage</w:t>
            </w:r>
          </w:p>
        </w:tc>
        <w:tc>
          <w:tcPr>
            <w:tcW w:type="dxa" w:w="6912"/>
          </w:tcPr>
          <w:p>
            <w:pPr>
              <w:spacing w:after="20"/>
            </w:pPr>
            <w:r>
              <w:rPr>
                <w:sz w:val="16"/>
              </w:rPr>
              <w:t>Remove from service and inspect before recommissioning</w:t>
            </w:r>
          </w:p>
        </w:tc>
      </w:tr>
      <w:tr>
        <w:trPr>
          <w:cantSplit/>
        </w:trPr>
        <w:tc>
          <w:tcPr>
            <w:tcW w:type="dxa" w:w="2592"/>
          </w:tcPr>
          <w:p>
            <w:pPr>
              <w:spacing w:after="20"/>
            </w:pPr>
            <w:r>
              <w:rPr>
                <w:b/>
                <w:sz w:val="16"/>
              </w:rPr>
              <w:t>Fault corrected</w:t>
            </w:r>
          </w:p>
        </w:tc>
        <w:tc>
          <w:tcPr>
            <w:tcW w:type="dxa" w:w="6912"/>
          </w:tcPr>
          <w:p>
            <w:pPr>
              <w:spacing w:after="20"/>
            </w:pPr>
            <w:r>
              <w:rPr>
                <w:sz w:val="16"/>
              </w:rPr>
              <w:t>Repeat applicable functional checks and return to Inference Mode only after successful verification</w:t>
            </w:r>
          </w:p>
        </w:tc>
      </w:tr>
    </w:tbl>
    <w:p>
      <w:pPr>
        <w:spacing w:after="40"/>
      </w:pPr>
    </w:p>
    <w:p>
      <w:pPr>
        <w:keepNext/>
        <w:spacing w:after="60"/>
      </w:pPr>
      <w:r>
        <w:rPr>
          <w:b/>
          <w:i w:val="0"/>
          <w:color w:val="1B335F"/>
          <w:sz w:val="21"/>
        </w:rPr>
        <w:t>g.13 Cleaning</w:t>
      </w:r>
    </w:p>
    <w:p>
      <w:pPr>
        <w:spacing w:after="100"/>
      </w:pPr>
      <w:r>
        <w:rPr>
          <w:b w:val="0"/>
          <w:i w:val="0"/>
          <w:color w:val="262321"/>
          <w:sz w:val="19"/>
        </w:rPr>
        <w:t>Cleaning of the Gas Leak Detector (GLD) shall be carried out only in accordance with the approved maintenance procedure and with the equipment isolated as required by the applicable site safety procedure.</w:t>
      </w:r>
    </w:p>
    <w:p>
      <w:pPr>
        <w:spacing w:after="100"/>
      </w:pPr>
      <w:r>
        <w:rPr>
          <w:b w:val="0"/>
          <w:i w:val="0"/>
          <w:color w:val="262321"/>
          <w:sz w:val="19"/>
        </w:rPr>
        <w:t>For routine external cleaning, a soft, lint-free cloth lightly dampened with clean water or an approved mild cleaning agent shall be used. Cleaning shall be performed carefully so that the enclosure surface, labels, antenna, cable-entry components, seals, and other external parts are not damaged.</w:t>
      </w:r>
    </w:p>
    <w:p>
      <w:pPr>
        <w:spacing w:after="100"/>
      </w:pPr>
      <w:r>
        <w:rPr>
          <w:b w:val="0"/>
          <w:i w:val="0"/>
          <w:color w:val="262321"/>
          <w:sz w:val="19"/>
        </w:rPr>
        <w:t>Abrasive materials, aggressive solvents, dry compressed air, high-pressure water spray, or tools that could damage the enclosure, gasket, label, antenna, cable entries, or other product components shall not be used. Liquid shall not be permitted to enter the equipment through openings, cable entries, enclosure joints, or other interfaces.</w:t>
      </w:r>
    </w:p>
    <w:p>
      <w:pPr>
        <w:spacing w:after="100"/>
      </w:pPr>
      <w:r>
        <w:rPr>
          <w:b w:val="0"/>
          <w:i w:val="0"/>
          <w:color w:val="262321"/>
          <w:sz w:val="19"/>
        </w:rPr>
        <w:t>Particular attention shall be given to the condition of the front protective mesh and sensing area. The mesh shall remain free from visible deposits, contamination, corrosion products, or other material that could obstruct the gas-sampling path. The current maintenance schedule already requires periodic visual inspection of the sensor and protective mesh.</w:t>
      </w:r>
    </w:p>
    <w:p>
      <w:pPr>
        <w:spacing w:after="100"/>
      </w:pPr>
      <w:r>
        <w:rPr>
          <w:b w:val="0"/>
          <w:i w:val="0"/>
          <w:color w:val="262321"/>
          <w:sz w:val="19"/>
        </w:rPr>
        <w:t>Cleaning of the sensing area shall be performed without deforming, puncturing, removing, or otherwise damaging the protective mesh or sensor assemblies. The integrated protective mesh of the MQ sensors shall not be mechanically altered during cleaning or maintenance.</w:t>
      </w:r>
    </w:p>
    <w:p>
      <w:pPr>
        <w:spacing w:after="100"/>
      </w:pPr>
      <w:r>
        <w:rPr>
          <w:b w:val="0"/>
          <w:i w:val="0"/>
          <w:color w:val="262321"/>
          <w:sz w:val="19"/>
        </w:rPr>
        <w:t>The enclosure sealing surfaces, gasket, cable-entry seals, antenna interface, and other sealing components shall be visually inspected during cleaning for signs of deterioration, cracking, deformation, contamination, or mechanical damage. Any condition that could impair the enclosure or sealing performance shall be corrected before the detector is returned to service.</w:t>
      </w:r>
    </w:p>
    <w:p>
      <w:pPr>
        <w:spacing w:after="100"/>
      </w:pPr>
      <w:r>
        <w:rPr>
          <w:b w:val="0"/>
          <w:i w:val="0"/>
          <w:color w:val="262321"/>
          <w:sz w:val="19"/>
        </w:rPr>
        <w:t>After cleaning, the GLD shall be inspected to confirm that no liquid, residue, foreign material, or cleaning agent remains in a manner that could interfere with the gas-sampling inlet, enclosure sealing, cable entry, antenna interface, grounding connection, or normal operation of the detector.</w:t>
      </w:r>
    </w:p>
    <w:p>
      <w:pPr>
        <w:spacing w:after="100"/>
      </w:pPr>
      <w:r>
        <w:rPr>
          <w:b w:val="0"/>
          <w:i w:val="0"/>
          <w:color w:val="262321"/>
          <w:sz w:val="19"/>
        </w:rPr>
        <w:t>If cleaning reveals visible damage, water ingress, damaged sealing components, or other conditions that could affect safe operation, the GLD shall be removed from service until the condition has been corrected and the required inspection has been completed. The draft already requires removal from service in cases such as visible damage or water ingress.</w:t>
      </w:r>
    </w:p>
    <w:p>
      <w:pPr>
        <w:spacing w:after="100"/>
      </w:pPr>
      <w:r>
        <w:rPr>
          <w:b w:val="0"/>
          <w:i w:val="0"/>
          <w:color w:val="262321"/>
          <w:sz w:val="19"/>
        </w:rPr>
        <w:t>Note: Any detailed cleaning method for the front stainless-steel mesh and the integrated MQ sensor mesh shall be defined only after the approved mesh construction and sensor manufacturer instructions have been confirmed.</w:t>
      </w:r>
    </w:p>
    <w:p>
      <w:pPr>
        <w:keepNext/>
        <w:spacing w:after="60"/>
      </w:pPr>
      <w:r>
        <w:rPr>
          <w:b/>
          <w:i w:val="0"/>
          <w:color w:val="1B335F"/>
          <w:sz w:val="21"/>
        </w:rPr>
        <w:t>g.14 Periodic inspection and maintenance</w:t>
      </w:r>
    </w:p>
    <w:p>
      <w:pPr>
        <w:spacing w:after="100"/>
      </w:pPr>
      <w:r>
        <w:rPr>
          <w:b w:val="0"/>
          <w:i w:val="0"/>
          <w:color w:val="262321"/>
          <w:sz w:val="19"/>
        </w:rPr>
        <w:t>The Gas Leak Detector (GLD) shall be subject to periodic inspection and preventive maintenance throughout its service life in order to maintain the gas-detection function, enclosure integrity, electrical safety, and the explosion-protection characteristics of the approved product configuration.</w:t>
      </w:r>
    </w:p>
    <w:p>
      <w:pPr>
        <w:spacing w:after="100"/>
      </w:pPr>
      <w:r>
        <w:rPr>
          <w:b w:val="0"/>
          <w:i w:val="0"/>
          <w:color w:val="262321"/>
          <w:sz w:val="19"/>
        </w:rPr>
        <w:t>Inspection and maintenance shall be performed only by trained and authorized personnel in accordance with the approved maintenance procedure and the applicable hazardous-area safety requirements of the installation site.</w:t>
      </w:r>
    </w:p>
    <w:p>
      <w:pPr>
        <w:spacing w:after="100"/>
      </w:pPr>
      <w:r>
        <w:rPr>
          <w:b w:val="0"/>
          <w:i w:val="0"/>
          <w:color w:val="262321"/>
          <w:sz w:val="19"/>
        </w:rPr>
        <w:t>Before any maintenance activity requiring the enclosure to be opened, the GLD shall be isolated from the 24 VDC power supply and the applicable site lockout/tagout procedure shall be followed. The enclosure shall not be opened while an explosive atmosphere may be present unless the equipment has been de-energized and the area has been confirmed safe in accordance with the applicable site procedure.</w:t>
      </w:r>
    </w:p>
    <w:p>
      <w:pPr>
        <w:spacing w:after="40"/>
      </w:pPr>
      <w:r>
        <w:rPr>
          <w:b/>
          <w:i w:val="0"/>
          <w:color w:val="262321"/>
          <w:sz w:val="19"/>
        </w:rPr>
        <w:t>Routine Operational Inspection — Daily / Each Shift</w:t>
      </w:r>
    </w:p>
    <w:p>
      <w:pPr>
        <w:spacing w:after="100"/>
      </w:pPr>
      <w:r>
        <w:rPr>
          <w:b w:val="0"/>
          <w:i w:val="0"/>
          <w:color w:val="262321"/>
          <w:sz w:val="19"/>
        </w:rPr>
        <w:t>During each operating shift, or at the frequency defined by the site operating procedure, the operator shall verify the general operational condition of the detector. The inspection shall include:</w:t>
      </w:r>
    </w:p>
    <w:p>
      <w:pPr>
        <w:pStyle w:val="ListBullet"/>
        <w:spacing w:after="20"/>
      </w:pPr>
      <w:r>
        <w:rPr>
          <w:b w:val="0"/>
          <w:i w:val="0"/>
          <w:color w:val="262321"/>
          <w:sz w:val="19"/>
        </w:rPr>
        <w:t>verification that the GLD is correctly powered;</w:t>
      </w:r>
    </w:p>
    <w:p>
      <w:pPr>
        <w:pStyle w:val="ListBullet"/>
        <w:spacing w:after="20"/>
      </w:pPr>
      <w:r>
        <w:rPr>
          <w:b w:val="0"/>
          <w:i w:val="0"/>
          <w:color w:val="262321"/>
          <w:sz w:val="19"/>
        </w:rPr>
        <w:t>verification that no active sensor or system fault is present;</w:t>
      </w:r>
    </w:p>
    <w:p>
      <w:pPr>
        <w:pStyle w:val="ListBullet"/>
        <w:spacing w:after="20"/>
      </w:pPr>
      <w:r>
        <w:rPr>
          <w:b w:val="0"/>
          <w:i w:val="0"/>
          <w:color w:val="262321"/>
          <w:sz w:val="19"/>
        </w:rPr>
        <w:t>inspection of the external enclosure for visible damage, corrosion, deformation, or evidence of water ingress;</w:t>
      </w:r>
    </w:p>
    <w:p>
      <w:pPr>
        <w:pStyle w:val="ListBullet"/>
        <w:spacing w:after="20"/>
      </w:pPr>
      <w:r>
        <w:rPr>
          <w:b w:val="0"/>
          <w:i w:val="0"/>
          <w:color w:val="262321"/>
          <w:sz w:val="19"/>
        </w:rPr>
        <w:t>verification of the diagnostic status;</w:t>
      </w:r>
    </w:p>
    <w:p>
      <w:pPr>
        <w:pStyle w:val="ListBullet"/>
        <w:spacing w:after="20"/>
      </w:pPr>
      <w:r>
        <w:rPr>
          <w:b w:val="0"/>
          <w:i w:val="0"/>
          <w:color w:val="262321"/>
          <w:sz w:val="19"/>
        </w:rPr>
        <w:t>verification of the LoRa communication status; and</w:t>
      </w:r>
    </w:p>
    <w:p>
      <w:pPr>
        <w:pStyle w:val="ListBullet"/>
        <w:spacing w:after="20"/>
      </w:pPr>
      <w:r>
        <w:rPr>
          <w:b w:val="0"/>
          <w:i w:val="0"/>
          <w:color w:val="262321"/>
          <w:sz w:val="19"/>
        </w:rPr>
        <w:t>confirmation that the detector remains available for normal gas-monitoring operation.</w:t>
      </w:r>
    </w:p>
    <w:p>
      <w:pPr>
        <w:spacing w:after="100"/>
      </w:pPr>
      <w:r>
        <w:rPr>
          <w:b w:val="0"/>
          <w:i w:val="0"/>
          <w:color w:val="262321"/>
          <w:sz w:val="19"/>
        </w:rPr>
        <w:t>These checks correspond to the daily/each-shift inspection currently defined in the maintenance schedule.</w:t>
      </w:r>
    </w:p>
    <w:p>
      <w:pPr>
        <w:spacing w:after="40"/>
      </w:pPr>
      <w:r>
        <w:rPr>
          <w:b/>
          <w:i w:val="0"/>
          <w:color w:val="262321"/>
          <w:sz w:val="19"/>
        </w:rPr>
        <w:t>Three-Month Inspection</w:t>
      </w:r>
    </w:p>
    <w:p>
      <w:pPr>
        <w:spacing w:after="100"/>
      </w:pPr>
      <w:r>
        <w:rPr>
          <w:b w:val="0"/>
          <w:i w:val="0"/>
          <w:color w:val="262321"/>
          <w:sz w:val="19"/>
        </w:rPr>
        <w:t>At intervals not exceeding three months, the gas-sampling inlet, front stainless-steel protective mesh, sensing area, and accessible sensor components shall be visually inspected. The inspection shall confirm that:</w:t>
      </w:r>
    </w:p>
    <w:p>
      <w:pPr>
        <w:pStyle w:val="ListBullet"/>
        <w:spacing w:after="20"/>
      </w:pPr>
      <w:r>
        <w:rPr>
          <w:b w:val="0"/>
          <w:i w:val="0"/>
          <w:color w:val="262321"/>
          <w:sz w:val="19"/>
        </w:rPr>
        <w:t>the front mesh is clean and unobstructed;</w:t>
      </w:r>
    </w:p>
    <w:p>
      <w:pPr>
        <w:pStyle w:val="ListBullet"/>
        <w:spacing w:after="20"/>
      </w:pPr>
      <w:r>
        <w:rPr>
          <w:b w:val="0"/>
          <w:i w:val="0"/>
          <w:color w:val="262321"/>
          <w:sz w:val="19"/>
        </w:rPr>
        <w:t>no excessive dust, oil, deposits, insects, corrosion products, or other contamination restricts the gas-sampling path;</w:t>
      </w:r>
    </w:p>
    <w:p>
      <w:pPr>
        <w:pStyle w:val="ListBullet"/>
        <w:spacing w:after="20"/>
      </w:pPr>
      <w:r>
        <w:rPr>
          <w:b w:val="0"/>
          <w:i w:val="0"/>
          <w:color w:val="262321"/>
          <w:sz w:val="19"/>
        </w:rPr>
        <w:t>the front mesh shows no deformation, puncture, mechanical damage, or corrosion;</w:t>
      </w:r>
    </w:p>
    <w:p>
      <w:pPr>
        <w:pStyle w:val="ListBullet"/>
        <w:spacing w:after="20"/>
      </w:pPr>
      <w:r>
        <w:rPr>
          <w:b w:val="0"/>
          <w:i w:val="0"/>
          <w:color w:val="262321"/>
          <w:sz w:val="19"/>
        </w:rPr>
        <w:t>the MQ sensor assemblies and their integrated protective meshes show no visible damage or contamination; and</w:t>
      </w:r>
    </w:p>
    <w:p>
      <w:pPr>
        <w:pStyle w:val="ListBullet"/>
        <w:spacing w:after="20"/>
      </w:pPr>
      <w:r>
        <w:rPr>
          <w:b w:val="0"/>
          <w:i w:val="0"/>
          <w:color w:val="262321"/>
          <w:sz w:val="19"/>
        </w:rPr>
        <w:t>the sensing inlet remains correctly positioned and unobstructed by surrounding structures.</w:t>
      </w:r>
    </w:p>
    <w:p>
      <w:pPr>
        <w:spacing w:after="100"/>
      </w:pPr>
      <w:r>
        <w:rPr>
          <w:b w:val="0"/>
          <w:i w:val="0"/>
          <w:color w:val="262321"/>
          <w:sz w:val="19"/>
        </w:rPr>
        <w:t>Cleaning, where required, shall be carried out in accordance with Section g.13 and shall not damage or alter the approved mesh or sensing arrangement. The current draft specifies visual inspection of the sensors and protective mesh at three-month intervals.</w:t>
      </w:r>
    </w:p>
    <w:p>
      <w:pPr>
        <w:spacing w:after="40"/>
      </w:pPr>
      <w:r>
        <w:rPr>
          <w:b/>
          <w:i w:val="0"/>
          <w:color w:val="262321"/>
          <w:sz w:val="19"/>
        </w:rPr>
        <w:t>Six-Month Inspection and Functional Verification</w:t>
      </w:r>
    </w:p>
    <w:p>
      <w:pPr>
        <w:spacing w:after="100"/>
      </w:pPr>
      <w:r>
        <w:rPr>
          <w:b w:val="0"/>
          <w:i w:val="0"/>
          <w:color w:val="262321"/>
          <w:sz w:val="19"/>
        </w:rPr>
        <w:t>At intervals not exceeding six months, a more detailed functional and mechanical inspection shall be carried out. The following activities shall be performed as applicable:</w:t>
      </w:r>
    </w:p>
    <w:p>
      <w:pPr>
        <w:pStyle w:val="ListBullet"/>
        <w:spacing w:after="20"/>
      </w:pPr>
      <w:r>
        <w:rPr>
          <w:b w:val="0"/>
          <w:i w:val="0"/>
          <w:color w:val="262321"/>
          <w:sz w:val="19"/>
        </w:rPr>
        <w:t>verification of the local visual and audible alarm function;</w:t>
      </w:r>
    </w:p>
    <w:p>
      <w:pPr>
        <w:pStyle w:val="ListBullet"/>
        <w:spacing w:after="20"/>
      </w:pPr>
      <w:r>
        <w:rPr>
          <w:b w:val="0"/>
          <w:i w:val="0"/>
          <w:color w:val="262321"/>
          <w:sz w:val="19"/>
        </w:rPr>
        <w:t>verification of sensor status;</w:t>
      </w:r>
    </w:p>
    <w:p>
      <w:pPr>
        <w:pStyle w:val="ListBullet"/>
        <w:spacing w:after="20"/>
      </w:pPr>
      <w:r>
        <w:rPr>
          <w:b w:val="0"/>
          <w:i w:val="0"/>
          <w:color w:val="262321"/>
          <w:sz w:val="19"/>
        </w:rPr>
        <w:t>sensor nulling/baseline verification in confirmed clean air in accordance with the approved procedure;</w:t>
      </w:r>
    </w:p>
    <w:p>
      <w:pPr>
        <w:pStyle w:val="ListBullet"/>
        <w:spacing w:after="20"/>
      </w:pPr>
      <w:r>
        <w:rPr>
          <w:b w:val="0"/>
          <w:i w:val="0"/>
          <w:color w:val="262321"/>
          <w:sz w:val="19"/>
        </w:rPr>
        <w:t>inspection of the enclosure joints, threaded interfaces, and other explosion-protection-related surfaces for corrosion, contamination, wear, or mechanical damage;</w:t>
      </w:r>
    </w:p>
    <w:p>
      <w:pPr>
        <w:pStyle w:val="ListBullet"/>
        <w:spacing w:after="20"/>
      </w:pPr>
      <w:r>
        <w:rPr>
          <w:b w:val="0"/>
          <w:i w:val="0"/>
          <w:color w:val="262321"/>
          <w:sz w:val="19"/>
        </w:rPr>
        <w:t>inspection of the front mesh and gas-sampling path;</w:t>
      </w:r>
    </w:p>
    <w:p>
      <w:pPr>
        <w:pStyle w:val="ListBullet"/>
        <w:spacing w:after="20"/>
      </w:pPr>
      <w:r>
        <w:rPr>
          <w:b w:val="0"/>
          <w:i w:val="0"/>
          <w:color w:val="262321"/>
          <w:sz w:val="19"/>
        </w:rPr>
        <w:t>inspection of the DC sampling fan for correct operation and absence of obstruction or abnormal mechanical condition; and</w:t>
      </w:r>
    </w:p>
    <w:p>
      <w:pPr>
        <w:pStyle w:val="ListBullet"/>
        <w:spacing w:after="20"/>
      </w:pPr>
      <w:r>
        <w:rPr>
          <w:b w:val="0"/>
          <w:i w:val="0"/>
          <w:color w:val="262321"/>
          <w:sz w:val="19"/>
        </w:rPr>
        <w:t>verification that no unresolved diagnostic or communication fault remains.</w:t>
      </w:r>
    </w:p>
    <w:p>
      <w:pPr>
        <w:spacing w:after="100"/>
      </w:pPr>
      <w:r>
        <w:rPr>
          <w:b w:val="0"/>
          <w:i w:val="0"/>
          <w:color w:val="262321"/>
          <w:sz w:val="19"/>
        </w:rPr>
        <w:t>The existing draft specifies alarm-function testing, sensor recalibration/nulling, and inspection of flame paths and cover threads at six-month intervals.</w:t>
      </w:r>
    </w:p>
    <w:p>
      <w:pPr>
        <w:spacing w:after="100"/>
      </w:pPr>
      <w:r>
        <w:rPr>
          <w:b w:val="0"/>
          <w:i w:val="0"/>
          <w:color w:val="262321"/>
          <w:sz w:val="19"/>
        </w:rPr>
        <w:t>Where nulling is performed, it shall be carried out only in confirmed clean air. The procedure shall be accepted only when all eight sensor channels successfully complete the required 8/8 result. If the required result is not obtained, the cause shall be investigated and corrected before the GLD is returned to normal service.</w:t>
      </w:r>
    </w:p>
    <w:p>
      <w:pPr>
        <w:spacing w:after="40"/>
      </w:pPr>
      <w:r>
        <w:rPr>
          <w:b/>
          <w:i w:val="0"/>
          <w:color w:val="262321"/>
          <w:sz w:val="19"/>
        </w:rPr>
        <w:t>Annual Comprehensive Inspection</w:t>
      </w:r>
    </w:p>
    <w:p>
      <w:pPr>
        <w:spacing w:after="100"/>
      </w:pPr>
      <w:r>
        <w:rPr>
          <w:b w:val="0"/>
          <w:i w:val="0"/>
          <w:color w:val="262321"/>
          <w:sz w:val="19"/>
        </w:rPr>
        <w:t>At least once every twelve months, a comprehensive inspection of the complete GLD installation shall be performed. The inspection shall include, as applicable:</w:t>
      </w:r>
    </w:p>
    <w:p>
      <w:pPr>
        <w:pStyle w:val="ListBullet"/>
        <w:spacing w:after="20"/>
      </w:pPr>
      <w:r>
        <w:rPr>
          <w:b w:val="0"/>
          <w:i w:val="0"/>
          <w:color w:val="262321"/>
          <w:sz w:val="19"/>
        </w:rPr>
        <w:t>protective-earth and bonding continuity verification;</w:t>
      </w:r>
    </w:p>
    <w:p>
      <w:pPr>
        <w:pStyle w:val="ListBullet"/>
        <w:spacing w:after="20"/>
      </w:pPr>
      <w:r>
        <w:rPr>
          <w:b w:val="0"/>
          <w:i w:val="0"/>
          <w:color w:val="262321"/>
          <w:sz w:val="19"/>
        </w:rPr>
        <w:t>inspection of the external grounding stud, terminal lug, washers, and associated fastening hardware;</w:t>
      </w:r>
    </w:p>
    <w:p>
      <w:pPr>
        <w:pStyle w:val="ListBullet"/>
        <w:spacing w:after="20"/>
      </w:pPr>
      <w:r>
        <w:rPr>
          <w:b w:val="0"/>
          <w:i w:val="0"/>
          <w:color w:val="262321"/>
          <w:sz w:val="19"/>
        </w:rPr>
        <w:t>inspection and verification of cable glands, cable-entry devices, adaptors, blanking elements, and sealing components;</w:t>
      </w:r>
    </w:p>
    <w:p>
      <w:pPr>
        <w:pStyle w:val="ListBullet"/>
        <w:spacing w:after="20"/>
      </w:pPr>
      <w:r>
        <w:rPr>
          <w:b w:val="0"/>
          <w:i w:val="0"/>
          <w:color w:val="262321"/>
          <w:sz w:val="19"/>
        </w:rPr>
        <w:t>verification of terminal and applicable mechanical tightening conditions;</w:t>
      </w:r>
    </w:p>
    <w:p>
      <w:pPr>
        <w:pStyle w:val="ListBullet"/>
        <w:spacing w:after="20"/>
      </w:pPr>
      <w:r>
        <w:rPr>
          <w:b w:val="0"/>
          <w:i w:val="0"/>
          <w:color w:val="262321"/>
          <w:sz w:val="19"/>
        </w:rPr>
        <w:t>inspection of enclosure gaskets and seals for ageing, cracking, hardening, deformation, contamination, or other deterioration;</w:t>
      </w:r>
    </w:p>
    <w:p>
      <w:pPr>
        <w:pStyle w:val="ListBullet"/>
        <w:spacing w:after="20"/>
      </w:pPr>
      <w:r>
        <w:rPr>
          <w:b w:val="0"/>
          <w:i w:val="0"/>
          <w:color w:val="262321"/>
          <w:sz w:val="19"/>
        </w:rPr>
        <w:t>inspection of enclosure joints, threads, and safety-critical mechanical interfaces;</w:t>
      </w:r>
    </w:p>
    <w:p>
      <w:pPr>
        <w:pStyle w:val="ListBullet"/>
        <w:spacing w:after="20"/>
      </w:pPr>
      <w:r>
        <w:rPr>
          <w:b w:val="0"/>
          <w:i w:val="0"/>
          <w:color w:val="262321"/>
          <w:sz w:val="19"/>
        </w:rPr>
        <w:t>inspection of the antenna, SMA interface, sealing arrangement, and RF cable connection;</w:t>
      </w:r>
    </w:p>
    <w:p>
      <w:pPr>
        <w:pStyle w:val="ListBullet"/>
        <w:spacing w:after="20"/>
      </w:pPr>
      <w:r>
        <w:rPr>
          <w:b w:val="0"/>
          <w:i w:val="0"/>
          <w:color w:val="262321"/>
          <w:sz w:val="19"/>
        </w:rPr>
        <w:t>inspection of the alarm module and associated enclosure interface;</w:t>
      </w:r>
    </w:p>
    <w:p>
      <w:pPr>
        <w:pStyle w:val="ListBullet"/>
        <w:spacing w:after="20"/>
      </w:pPr>
      <w:r>
        <w:rPr>
          <w:b w:val="0"/>
          <w:i w:val="0"/>
          <w:color w:val="262321"/>
          <w:sz w:val="19"/>
        </w:rPr>
        <w:t>inspection of the front gas-entry mesh, sampling fan, sensing area, and MQ sensor assemblies;</w:t>
      </w:r>
    </w:p>
    <w:p>
      <w:pPr>
        <w:pStyle w:val="ListBullet"/>
        <w:spacing w:after="20"/>
      </w:pPr>
      <w:r>
        <w:rPr>
          <w:b w:val="0"/>
          <w:i w:val="0"/>
          <w:color w:val="262321"/>
          <w:sz w:val="19"/>
        </w:rPr>
        <w:t>verification of the local alarm function;</w:t>
      </w:r>
    </w:p>
    <w:p>
      <w:pPr>
        <w:pStyle w:val="ListBullet"/>
        <w:spacing w:after="20"/>
      </w:pPr>
      <w:r>
        <w:rPr>
          <w:b w:val="0"/>
          <w:i w:val="0"/>
          <w:color w:val="262321"/>
          <w:sz w:val="19"/>
        </w:rPr>
        <w:t>verification of LoRa communication;</w:t>
      </w:r>
    </w:p>
    <w:p>
      <w:pPr>
        <w:pStyle w:val="ListBullet"/>
        <w:spacing w:after="20"/>
      </w:pPr>
      <w:r>
        <w:rPr>
          <w:b w:val="0"/>
          <w:i w:val="0"/>
          <w:color w:val="262321"/>
          <w:sz w:val="19"/>
        </w:rPr>
        <w:t>review of sensor condition and remaining service life; and</w:t>
      </w:r>
    </w:p>
    <w:p>
      <w:pPr>
        <w:pStyle w:val="ListBullet"/>
        <w:spacing w:after="20"/>
      </w:pPr>
      <w:r>
        <w:rPr>
          <w:b w:val="0"/>
          <w:i w:val="0"/>
          <w:color w:val="262321"/>
          <w:sz w:val="19"/>
        </w:rPr>
        <w:t>confirmation that the hardware, firmware, AI model, and configuration correspond to the approved product configuration.</w:t>
      </w:r>
    </w:p>
    <w:p>
      <w:pPr>
        <w:spacing w:after="100"/>
      </w:pPr>
      <w:r>
        <w:rPr>
          <w:b w:val="0"/>
          <w:i w:val="0"/>
          <w:color w:val="262321"/>
          <w:sz w:val="19"/>
        </w:rPr>
        <w:t>The current draft specifies annual grounding-continuity verification, cable-gland and terminal checks, gasket/seal assessment, and evaluation of sensor-element service life.</w:t>
      </w:r>
    </w:p>
    <w:p>
      <w:pPr>
        <w:spacing w:after="40"/>
      </w:pPr>
      <w:r>
        <w:rPr>
          <w:b/>
          <w:i w:val="0"/>
          <w:color w:val="262321"/>
          <w:sz w:val="19"/>
        </w:rPr>
        <w:t>Maintenance of Ex-Critical Components</w:t>
      </w:r>
    </w:p>
    <w:p>
      <w:pPr>
        <w:spacing w:after="100"/>
      </w:pPr>
      <w:r>
        <w:rPr>
          <w:b w:val="0"/>
          <w:i w:val="0"/>
          <w:color w:val="262321"/>
          <w:sz w:val="19"/>
        </w:rPr>
        <w:t>Components that form part of the approved explosion-protection construction shall not be repaired, replaced, modified, or substituted with unapproved alternatives. This includes, as applicable, the enclosure, cover, front stainless-steel mesh, cable-entry components, seals and gaskets, grounding hardware, antenna interface, alarm-module interface, sampling fan, and other components identified in the Ex-critical BOM.</w:t>
      </w:r>
    </w:p>
    <w:p>
      <w:pPr>
        <w:spacing w:after="100"/>
      </w:pPr>
      <w:r>
        <w:rPr>
          <w:b w:val="0"/>
          <w:i w:val="0"/>
          <w:color w:val="262321"/>
          <w:sz w:val="19"/>
        </w:rPr>
        <w:t>If an Ex-critical component is damaged or requires replacement, only the approved replacement component specified in the controlled BOM or other formally approved documentation shall be used. Any proposed substitution shall be subject to controlled engineering review before implementation.</w:t>
      </w:r>
    </w:p>
    <w:p>
      <w:pPr>
        <w:spacing w:after="40"/>
      </w:pPr>
      <w:r>
        <w:rPr>
          <w:b/>
          <w:i w:val="0"/>
          <w:color w:val="262321"/>
          <w:sz w:val="19"/>
        </w:rPr>
        <w:t>Conditions Requiring Removal from Service</w:t>
      </w:r>
    </w:p>
    <w:p>
      <w:pPr>
        <w:spacing w:after="100"/>
      </w:pPr>
      <w:r>
        <w:rPr>
          <w:b w:val="0"/>
          <w:i w:val="0"/>
          <w:color w:val="262321"/>
          <w:sz w:val="19"/>
        </w:rPr>
        <w:t>The GLD shall be removed from normal service if inspection or maintenance identifies a condition that could impair the detector function or the approved protection concept, including visible enclosure damage, water ingress, an unresolved sensor fault, failed alarm verification, or loss of protective-earth continuity. These conditions are already identified in the current safety instructions.</w:t>
      </w:r>
    </w:p>
    <w:p>
      <w:pPr>
        <w:spacing w:after="100"/>
      </w:pPr>
      <w:r>
        <w:rPr>
          <w:b w:val="0"/>
          <w:i w:val="0"/>
          <w:color w:val="262321"/>
          <w:sz w:val="19"/>
        </w:rPr>
        <w:t>The equipment shall not be returned to normal operation until the identified condition has been corrected and the applicable inspection, functional verification, and commissioning checks have been completed successfully.</w:t>
      </w:r>
    </w:p>
    <w:p>
      <w:pPr>
        <w:spacing w:after="40"/>
      </w:pPr>
      <w:r>
        <w:rPr>
          <w:b/>
          <w:i w:val="0"/>
          <w:color w:val="262321"/>
          <w:sz w:val="19"/>
        </w:rPr>
        <w:t>Maintenance Records</w:t>
      </w:r>
    </w:p>
    <w:p>
      <w:pPr>
        <w:spacing w:after="100"/>
      </w:pPr>
      <w:r>
        <w:rPr>
          <w:b w:val="0"/>
          <w:i w:val="0"/>
          <w:color w:val="262321"/>
          <w:sz w:val="19"/>
        </w:rPr>
        <w:t>Periodic inspection and maintenance activities shall be documented. Records shall include, as applicable, the equipment model and serial number, inspection date, operating condition, findings, maintenance activities performed, components replaced, nulling or functional-test results, grounding-continuity result, firmware/configuration identification where relevant, and identification of the personnel performing the work.</w:t>
      </w:r>
    </w:p>
    <w:tbl>
      <w:tblPr>
        <w:tblStyle w:val="TableGrid"/>
        <w:tblW w:type="auto" w:w="0"/>
        <w:jc w:val="center"/>
        <w:tblLayout w:type="fixed"/>
        <w:tblLook w:firstColumn="1" w:firstRow="1" w:lastColumn="0" w:lastRow="0" w:noHBand="0" w:noVBand="1" w:val="04A0"/>
        <w:tblLayout w:type="fixed"/>
      </w:tblPr>
      <w:tblGrid>
        <w:gridCol w:w="2592"/>
        <w:gridCol w:w="6912"/>
      </w:tblGrid>
      <w:tr>
        <w:trPr>
          <w:tblHeader w:val="true"/>
        </w:trPr>
        <w:tc>
          <w:tcPr>
            <w:tcW w:type="dxa" w:w="2592"/>
            <w:shd w:val="clear" w:fill="EAEFF9"/>
          </w:tcPr>
          <w:p>
            <w:pPr>
              <w:spacing w:after="20"/>
            </w:pPr>
            <w:r>
              <w:rPr>
                <w:b/>
                <w:color w:val="1B335F"/>
                <w:sz w:val="16"/>
              </w:rPr>
              <w:t>Interval</w:t>
            </w:r>
          </w:p>
        </w:tc>
        <w:tc>
          <w:tcPr>
            <w:tcW w:type="dxa" w:w="6912"/>
            <w:shd w:val="clear" w:fill="EAEFF9"/>
          </w:tcPr>
          <w:p>
            <w:pPr>
              <w:spacing w:after="20"/>
            </w:pPr>
            <w:r>
              <w:rPr>
                <w:b/>
                <w:color w:val="1B335F"/>
                <w:sz w:val="16"/>
              </w:rPr>
              <w:t>Minimum activities</w:t>
            </w:r>
          </w:p>
        </w:tc>
      </w:tr>
    </w:tbl>
    <w:p>
      <w:pPr>
        <w:spacing w:after="40"/>
      </w:pPr>
    </w:p>
    <w:p>
      <w:pPr>
        <w:pStyle w:val="ListBullet"/>
        <w:spacing w:after="20"/>
      </w:pPr>
      <w:r>
        <w:rPr>
          <w:b w:val="0"/>
          <w:i w:val="0"/>
          <w:color w:val="262321"/>
          <w:sz w:val="19"/>
        </w:rPr>
      </w:r>
    </w:p>
    <w:tbl>
      <w:tblPr>
        <w:tblStyle w:val="TableGrid"/>
        <w:tblW w:type="auto" w:w="0"/>
        <w:jc w:val="center"/>
        <w:tblLayout w:type="fixed"/>
        <w:tblLook w:firstColumn="1" w:firstRow="1" w:lastColumn="0" w:lastRow="0" w:noHBand="0" w:noVBand="1" w:val="04A0"/>
        <w:tblLayout w:type="fixed"/>
      </w:tblPr>
      <w:tblGrid>
        <w:gridCol w:w="2592"/>
        <w:gridCol w:w="6912"/>
      </w:tblGrid>
      <w:tr>
        <w:trPr>
          <w:tblHeader w:val="true"/>
        </w:trPr>
        <w:tc>
          <w:tcPr>
            <w:tcW w:type="dxa" w:w="2592"/>
            <w:shd w:val="clear" w:fill="EAEFF9"/>
          </w:tcPr>
          <w:p>
            <w:pPr>
              <w:spacing w:after="20"/>
            </w:pPr>
            <w:r>
              <w:rPr>
                <w:b/>
                <w:color w:val="1B335F"/>
                <w:sz w:val="16"/>
              </w:rPr>
              <w:t>Daily / Each Shift</w:t>
            </w:r>
          </w:p>
        </w:tc>
        <w:tc>
          <w:tcPr>
            <w:tcW w:type="dxa" w:w="6912"/>
            <w:shd w:val="clear" w:fill="EAEFF9"/>
          </w:tcPr>
          <w:p>
            <w:pPr>
              <w:spacing w:after="20"/>
            </w:pPr>
            <w:r>
              <w:rPr>
                <w:b/>
                <w:color w:val="1B335F"/>
                <w:sz w:val="16"/>
              </w:rPr>
              <w:t>Power, enclosure condition, diagnostics, active faults, LoRa communication</w:t>
            </w:r>
          </w:p>
        </w:tc>
      </w:tr>
      <w:tr>
        <w:trPr>
          <w:cantSplit/>
        </w:trPr>
        <w:tc>
          <w:tcPr>
            <w:tcW w:type="dxa" w:w="2592"/>
          </w:tcPr>
          <w:p>
            <w:pPr>
              <w:spacing w:after="20"/>
            </w:pPr>
            <w:r>
              <w:rPr>
                <w:b/>
                <w:sz w:val="16"/>
              </w:rPr>
              <w:t>Every 3 Months</w:t>
            </w:r>
          </w:p>
        </w:tc>
        <w:tc>
          <w:tcPr>
            <w:tcW w:type="dxa" w:w="6912"/>
          </w:tcPr>
          <w:p>
            <w:pPr>
              <w:spacing w:after="20"/>
            </w:pPr>
            <w:r>
              <w:rPr>
                <w:sz w:val="16"/>
              </w:rPr>
              <w:t>Front mesh, MQ sensor area, contamination, blockage, visible sensor/mesh damage</w:t>
            </w:r>
          </w:p>
        </w:tc>
      </w:tr>
      <w:tr>
        <w:trPr>
          <w:cantSplit/>
        </w:trPr>
        <w:tc>
          <w:tcPr>
            <w:tcW w:type="dxa" w:w="2592"/>
          </w:tcPr>
          <w:p>
            <w:pPr>
              <w:spacing w:after="20"/>
            </w:pPr>
            <w:r>
              <w:rPr>
                <w:b/>
                <w:sz w:val="16"/>
              </w:rPr>
              <w:t>Every 6 Months</w:t>
            </w:r>
          </w:p>
        </w:tc>
        <w:tc>
          <w:tcPr>
            <w:tcW w:type="dxa" w:w="6912"/>
          </w:tcPr>
          <w:p>
            <w:pPr>
              <w:spacing w:after="20"/>
            </w:pPr>
            <w:r>
              <w:rPr>
                <w:sz w:val="16"/>
              </w:rPr>
              <w:t>Alarm test, nulling 8/8, fan operation, enclosure/thread/interface inspection</w:t>
            </w:r>
          </w:p>
        </w:tc>
      </w:tr>
      <w:tr>
        <w:trPr>
          <w:cantSplit/>
        </w:trPr>
        <w:tc>
          <w:tcPr>
            <w:tcW w:type="dxa" w:w="2592"/>
          </w:tcPr>
          <w:p>
            <w:pPr>
              <w:spacing w:after="20"/>
            </w:pPr>
            <w:r>
              <w:rPr>
                <w:b/>
                <w:sz w:val="16"/>
              </w:rPr>
              <w:t>Annually</w:t>
            </w:r>
          </w:p>
        </w:tc>
        <w:tc>
          <w:tcPr>
            <w:tcW w:type="dxa" w:w="6912"/>
          </w:tcPr>
          <w:p>
            <w:pPr>
              <w:spacing w:after="20"/>
            </w:pPr>
            <w:r>
              <w:rPr>
                <w:sz w:val="16"/>
              </w:rPr>
              <w:t>Comprehensive inspection, PE/bonding continuity, glands/terminals, gasket/seals, antenna interface, alarm, LoRa, sensor service-life review</w:t>
            </w:r>
          </w:p>
        </w:tc>
      </w:tr>
    </w:tbl>
    <w:p>
      <w:pPr>
        <w:spacing w:after="40"/>
      </w:pPr>
    </w:p>
    <w:p>
      <w:pPr>
        <w:keepNext/>
        <w:spacing w:after="60"/>
      </w:pPr>
      <w:r>
        <w:rPr>
          <w:b/>
          <w:i w:val="0"/>
          <w:color w:val="1B335F"/>
          <w:sz w:val="21"/>
        </w:rPr>
        <w:t>g.15 Sensor Nulling / Calibration</w:t>
      </w:r>
    </w:p>
    <w:p>
      <w:pPr>
        <w:spacing w:after="100"/>
      </w:pPr>
      <w:r>
        <w:rPr>
          <w:b w:val="0"/>
          <w:i w:val="0"/>
          <w:color w:val="262321"/>
          <w:sz w:val="19"/>
        </w:rPr>
        <w:t>Sensor nulling shall be performed as part of commissioning and periodic maintenance in order to establish or verify the baseline condition of the eight MQ-series gas sensor channels.</w:t>
      </w:r>
    </w:p>
    <w:p>
      <w:pPr>
        <w:spacing w:after="100"/>
      </w:pPr>
      <w:r>
        <w:rPr>
          <w:b w:val="0"/>
          <w:i w:val="0"/>
          <w:color w:val="262321"/>
          <w:sz w:val="19"/>
        </w:rPr>
        <w:t>The nulling procedure shall be carried out only in confirmed clean air, under conditions where the sensor responses are not influenced by the presence of target gases or other significant contaminants.</w:t>
      </w:r>
    </w:p>
    <w:p>
      <w:pPr>
        <w:spacing w:after="100"/>
      </w:pPr>
      <w:r>
        <w:rPr>
          <w:b w:val="0"/>
          <w:i w:val="0"/>
          <w:color w:val="262321"/>
          <w:sz w:val="19"/>
        </w:rPr>
        <w:t>The nulling procedure shall be considered successful only when all eight sensor channels complete the procedure and report a complete 8/8 successful result. If one or more sensor channels fail to complete the nulling sequence, the detector shall not be returned to normal gas-detection operation until the cause has been identified and corrected.</w:t>
      </w:r>
    </w:p>
    <w:p>
      <w:pPr>
        <w:spacing w:after="100"/>
      </w:pPr>
      <w:r>
        <w:rPr>
          <w:b w:val="0"/>
          <w:i w:val="0"/>
          <w:color w:val="262321"/>
          <w:sz w:val="19"/>
        </w:rPr>
        <w:t>Before nulling is initiated, the operator shall confirm that the GLD has completed its required start-up and sensor-stabilization sequence and that no unresolved system or sensor fault is present.</w:t>
      </w:r>
    </w:p>
    <w:p>
      <w:pPr>
        <w:spacing w:after="100"/>
      </w:pPr>
      <w:r>
        <w:rPr>
          <w:b w:val="0"/>
          <w:i w:val="0"/>
          <w:color w:val="262321"/>
          <w:sz w:val="19"/>
        </w:rPr>
        <w:t>Nulling shall not be used to suppress, compensate for, or conceal a sensor fault, excessive sensor drift, contamination, abnormal sensor response, or other malfunction.</w:t>
      </w:r>
    </w:p>
    <w:p>
      <w:pPr>
        <w:spacing w:after="100"/>
      </w:pPr>
      <w:r>
        <w:rPr>
          <w:b w:val="0"/>
          <w:i w:val="0"/>
          <w:color w:val="262321"/>
          <w:sz w:val="19"/>
        </w:rPr>
        <w:t>After successful completion of nulling, the GLD shall be returned to Inference Mode and the normal diagnostic status shall be verified before the detector is released for service.</w:t>
      </w:r>
    </w:p>
    <w:p>
      <w:pPr>
        <w:spacing w:after="100"/>
      </w:pPr>
      <w:r>
        <w:rPr>
          <w:b w:val="0"/>
          <w:i w:val="0"/>
          <w:color w:val="262321"/>
          <w:sz w:val="19"/>
        </w:rPr>
        <w:t>Any calibration or gas-response verification beyond the nulling/baseline procedure shall be performed only in accordance with an approved calibration procedure using the applicable reference gas and test equipment. Calibration parameters shall not be changed in the field except through the controlled configuration-management process.</w:t>
      </w:r>
    </w:p>
    <w:p>
      <w:pPr>
        <w:keepNext/>
        <w:spacing w:after="60"/>
      </w:pPr>
      <w:r>
        <w:rPr>
          <w:b/>
          <w:i w:val="0"/>
          <w:color w:val="1B335F"/>
          <w:sz w:val="21"/>
        </w:rPr>
        <w:t>g.16 Inspection of Ex-Critical Parts</w:t>
      </w:r>
    </w:p>
    <w:p>
      <w:pPr>
        <w:spacing w:after="100"/>
      </w:pPr>
      <w:r>
        <w:rPr>
          <w:b w:val="0"/>
          <w:i w:val="0"/>
          <w:color w:val="262321"/>
          <w:sz w:val="19"/>
        </w:rPr>
        <w:t>Components identified as Ex-critical shall be inspected at the specified maintenance intervals and whenever the equipment is opened, serviced, repaired, or otherwise disturbed.</w:t>
      </w:r>
    </w:p>
    <w:p>
      <w:pPr>
        <w:spacing w:after="100"/>
      </w:pPr>
      <w:r>
        <w:rPr>
          <w:b w:val="0"/>
          <w:i w:val="0"/>
          <w:color w:val="262321"/>
          <w:sz w:val="19"/>
        </w:rPr>
        <w:t>Ex-critical parts include, as applicable, the enclosure body and cover, front stainless-steel mesh assembly, enclosure joints and threaded interfaces, gaskets and seals, cable-entry devices, adaptors, blanking elements, grounding and bonding hardware, antenna interface, alarm-module interface, sampling fan, MQ sensor assemblies, and other components identified in the controlled Ex-critical BOM.</w:t>
      </w:r>
    </w:p>
    <w:p>
      <w:pPr>
        <w:spacing w:after="100"/>
      </w:pPr>
      <w:r>
        <w:rPr>
          <w:b w:val="0"/>
          <w:i w:val="0"/>
          <w:color w:val="262321"/>
          <w:sz w:val="19"/>
        </w:rPr>
        <w:t>Inspection shall confirm that each Ex-critical component:</w:t>
      </w:r>
    </w:p>
    <w:p>
      <w:pPr>
        <w:pStyle w:val="ListBullet"/>
        <w:spacing w:after="20"/>
      </w:pPr>
      <w:r>
        <w:rPr>
          <w:b w:val="0"/>
          <w:i w:val="0"/>
          <w:color w:val="262321"/>
          <w:sz w:val="19"/>
        </w:rPr>
        <w:t>corresponds to the approved manufacturer, model, material, and part number;</w:t>
      </w:r>
    </w:p>
    <w:p>
      <w:pPr>
        <w:pStyle w:val="ListBullet"/>
        <w:spacing w:after="20"/>
      </w:pPr>
      <w:r>
        <w:rPr>
          <w:b w:val="0"/>
          <w:i w:val="0"/>
          <w:color w:val="262321"/>
          <w:sz w:val="19"/>
        </w:rPr>
        <w:t>is correctly installed in the approved orientation and position;</w:t>
      </w:r>
    </w:p>
    <w:p>
      <w:pPr>
        <w:pStyle w:val="ListBullet"/>
        <w:spacing w:after="20"/>
      </w:pPr>
      <w:r>
        <w:rPr>
          <w:b w:val="0"/>
          <w:i w:val="0"/>
          <w:color w:val="262321"/>
          <w:sz w:val="19"/>
        </w:rPr>
        <w:t>shows no unacceptable corrosion, wear, cracking, deformation, contamination, or mechanical damage;</w:t>
      </w:r>
    </w:p>
    <w:p>
      <w:pPr>
        <w:pStyle w:val="ListBullet"/>
        <w:spacing w:after="20"/>
      </w:pPr>
      <w:r>
        <w:rPr>
          <w:b w:val="0"/>
          <w:i w:val="0"/>
          <w:color w:val="262321"/>
          <w:sz w:val="19"/>
        </w:rPr>
        <w:t>has not been drilled, machined, re-threaded, reshaped, coated, or otherwise modified without approval;</w:t>
      </w:r>
    </w:p>
    <w:p>
      <w:pPr>
        <w:pStyle w:val="ListBullet"/>
        <w:spacing w:after="20"/>
      </w:pPr>
      <w:r>
        <w:rPr>
          <w:b w:val="0"/>
          <w:i w:val="0"/>
          <w:color w:val="262321"/>
          <w:sz w:val="19"/>
        </w:rPr>
        <w:t>retains the specified sealing, fastening, thread engagement, or mechanical retention characteristics; and</w:t>
      </w:r>
    </w:p>
    <w:p>
      <w:pPr>
        <w:pStyle w:val="ListBullet"/>
        <w:spacing w:after="20"/>
      </w:pPr>
      <w:r>
        <w:rPr>
          <w:b w:val="0"/>
          <w:i w:val="0"/>
          <w:color w:val="262321"/>
          <w:sz w:val="19"/>
        </w:rPr>
        <w:t>remains consistent with the approved product drawings and bill of materials.</w:t>
      </w:r>
    </w:p>
    <w:p>
      <w:pPr>
        <w:spacing w:after="100"/>
      </w:pPr>
      <w:r>
        <w:rPr>
          <w:b w:val="0"/>
          <w:i w:val="0"/>
          <w:color w:val="262321"/>
          <w:sz w:val="19"/>
        </w:rPr>
        <w:t>Enclosure threads, joints, mesh assemblies, gaskets, cable-entry components, and other interfaces affecting the protection concept shall be examined carefully for damage or deterioration before the equipment is returned to service.</w:t>
      </w:r>
    </w:p>
    <w:p>
      <w:pPr>
        <w:spacing w:after="100"/>
      </w:pPr>
      <w:r>
        <w:rPr>
          <w:b w:val="0"/>
          <w:i w:val="0"/>
          <w:color w:val="262321"/>
          <w:sz w:val="19"/>
        </w:rPr>
        <w:t>Any Ex-critical part that is damaged, missing, incorrectly installed, or inconsistent with the approved configuration shall be treated as a non-conforming condition. The GLD shall not be returned to normal operation until the condition has been corrected and the affected protection-related features have been re-inspected.</w:t>
      </w:r>
    </w:p>
    <w:p>
      <w:pPr>
        <w:keepNext/>
        <w:spacing w:after="60"/>
      </w:pPr>
      <w:r>
        <w:rPr>
          <w:b/>
          <w:i w:val="0"/>
          <w:color w:val="1B335F"/>
          <w:sz w:val="21"/>
        </w:rPr>
        <w:t>g.17 Firmware / Configuration Control</w:t>
      </w:r>
    </w:p>
    <w:p>
      <w:pPr>
        <w:spacing w:after="100"/>
      </w:pPr>
      <w:r>
        <w:rPr>
          <w:b w:val="0"/>
          <w:i w:val="0"/>
          <w:color w:val="262321"/>
          <w:sz w:val="19"/>
        </w:rPr>
        <w:t>The GLD firmware, embedded AI model, alarm parameters, communication settings, calibration data, and other controlled configuration items shall be maintained under formal configuration control.</w:t>
      </w:r>
    </w:p>
    <w:p>
      <w:pPr>
        <w:spacing w:after="100"/>
      </w:pPr>
      <w:r>
        <w:rPr>
          <w:b w:val="0"/>
          <w:i w:val="0"/>
          <w:color w:val="262321"/>
          <w:sz w:val="19"/>
        </w:rPr>
        <w:t>Only firmware and AI-model versions that have been approved for the applicable GLD hardware revision shall be installed in production or field equipment.</w:t>
      </w:r>
    </w:p>
    <w:p>
      <w:pPr>
        <w:spacing w:after="100"/>
      </w:pPr>
      <w:r>
        <w:rPr>
          <w:b w:val="0"/>
          <w:i w:val="0"/>
          <w:color w:val="262321"/>
          <w:sz w:val="19"/>
        </w:rPr>
        <w:t>The approved software configuration shall be identifiable by controlled version information, build identification, checksum/hash, or other traceable configuration identifier as defined by the project configuration-management procedure.</w:t>
      </w:r>
    </w:p>
    <w:p>
      <w:pPr>
        <w:spacing w:after="100"/>
      </w:pPr>
      <w:r>
        <w:rPr>
          <w:b w:val="0"/>
          <w:i w:val="0"/>
          <w:color w:val="262321"/>
          <w:sz w:val="19"/>
        </w:rPr>
        <w:t>Firmware, AI model files, alarm thresholds, calibration parameters, communication settings, or other safety-related configuration items shall not be changed in the field without authorized engineering approval and a documented rollback method.</w:t>
      </w:r>
    </w:p>
    <w:p>
      <w:pPr>
        <w:spacing w:after="100"/>
      </w:pPr>
      <w:r>
        <w:rPr>
          <w:b w:val="0"/>
          <w:i w:val="0"/>
          <w:color w:val="262321"/>
          <w:sz w:val="19"/>
        </w:rPr>
        <w:t>Any configuration change that could affect sensor acquisition, gas classification, alarm generation, fan operation, power consumption, communication behavior, diagnostic functions, or other characteristics relevant to the certified product shall be evaluated before release.</w:t>
      </w:r>
    </w:p>
    <w:p>
      <w:pPr>
        <w:spacing w:after="100"/>
      </w:pPr>
      <w:r>
        <w:rPr>
          <w:b w:val="0"/>
          <w:i w:val="0"/>
          <w:color w:val="262321"/>
          <w:sz w:val="19"/>
        </w:rPr>
        <w:t>Following an approved firmware or configuration update, the GLD shall undergo the applicable verification procedure before being returned to service. This shall include confirmation of the installed version, sensor status, normal operating mode, alarm function, communication function, and absence of unresolved diagnostic faults.</w:t>
      </w:r>
    </w:p>
    <w:p>
      <w:pPr>
        <w:spacing w:after="100"/>
      </w:pPr>
      <w:r>
        <w:rPr>
          <w:b w:val="0"/>
          <w:i w:val="0"/>
          <w:color w:val="262321"/>
          <w:sz w:val="19"/>
        </w:rPr>
        <w:t>Production and maintenance records shall identify the firmware version and, where applicable, the AI-model and configuration versions installed in each GLD unit.</w:t>
      </w:r>
    </w:p>
    <w:p>
      <w:pPr>
        <w:keepNext/>
        <w:spacing w:after="60"/>
      </w:pPr>
      <w:r>
        <w:rPr>
          <w:b/>
          <w:i w:val="0"/>
          <w:color w:val="1B335F"/>
          <w:sz w:val="21"/>
        </w:rPr>
        <w:t>g.18 Repair / Replacement Restrictions</w:t>
      </w:r>
    </w:p>
    <w:p>
      <w:pPr>
        <w:spacing w:after="100"/>
      </w:pPr>
      <w:r>
        <w:rPr>
          <w:b w:val="0"/>
          <w:i w:val="0"/>
          <w:color w:val="262321"/>
          <w:sz w:val="19"/>
        </w:rPr>
        <w:t>Repair, replacement, and modification of the GLD shall be carried out only by trained and authorized personnel using approved procedures and approved replacement components.</w:t>
      </w:r>
    </w:p>
    <w:p>
      <w:pPr>
        <w:spacing w:after="100"/>
      </w:pPr>
      <w:r>
        <w:rPr>
          <w:b w:val="0"/>
          <w:i w:val="0"/>
          <w:color w:val="262321"/>
          <w:sz w:val="19"/>
        </w:rPr>
        <w:t>No field modification shall be made to the enclosure, gas-sampling path, front stainless-steel mesh, cable-entry openings, antenna interface, alarm-module interface, grounding arrangement, enclosure joints, threads, sealing surfaces, or other Ex-critical construction features.</w:t>
      </w:r>
    </w:p>
    <w:p>
      <w:pPr>
        <w:spacing w:after="100"/>
      </w:pPr>
      <w:r>
        <w:rPr>
          <w:b w:val="0"/>
          <w:i w:val="0"/>
          <w:color w:val="262321"/>
          <w:sz w:val="19"/>
        </w:rPr>
        <w:t>Drilling, welding, machining, re-threading, enlarging cable entries, bypassing protective devices, or any other unauthorized modification of the approved enclosure or protection-related construction is prohibited.</w:t>
      </w:r>
    </w:p>
    <w:p>
      <w:pPr>
        <w:spacing w:after="100"/>
      </w:pPr>
      <w:r>
        <w:rPr>
          <w:b w:val="0"/>
          <w:i w:val="0"/>
          <w:color w:val="262321"/>
          <w:sz w:val="19"/>
        </w:rPr>
        <w:t>Replacement parts shall correspond to the approved part number, material, rating, manufacturer, and configuration identified in the controlled BOM or other approved technical documentation.</w:t>
      </w:r>
    </w:p>
    <w:p>
      <w:pPr>
        <w:spacing w:after="100"/>
      </w:pPr>
      <w:r>
        <w:rPr>
          <w:b w:val="0"/>
          <w:i w:val="0"/>
          <w:color w:val="262321"/>
          <w:sz w:val="19"/>
        </w:rPr>
        <w:t>Substitution of the front mesh, fan, MQ sensor type, gasket, cable gland, antenna, alarm component, electrical protection device, enclosure part, or any other Ex-critical component shall not be permitted without controlled engineering review and, where applicable, certification assessment.</w:t>
      </w:r>
    </w:p>
    <w:p>
      <w:pPr>
        <w:spacing w:after="100"/>
      </w:pPr>
      <w:r>
        <w:rPr>
          <w:b w:val="0"/>
          <w:i w:val="0"/>
          <w:color w:val="262321"/>
          <w:sz w:val="19"/>
        </w:rPr>
        <w:t>Damaged enclosure joints, threads, sealing surfaces, or other protection-related mechanical features shall not be repaired by uncontrolled re-machining, filing, grinding, coating, or other field rework.</w:t>
      </w:r>
    </w:p>
    <w:p>
      <w:pPr>
        <w:spacing w:after="100"/>
      </w:pPr>
      <w:r>
        <w:rPr>
          <w:b w:val="0"/>
          <w:i w:val="0"/>
          <w:color w:val="262321"/>
          <w:sz w:val="19"/>
        </w:rPr>
        <w:t>Following repair or replacement, the affected assembly shall be inspected and the applicable functional and safety checks shall be completed before the GLD is returned to normal service.</w:t>
      </w:r>
    </w:p>
    <w:p>
      <w:pPr>
        <w:spacing w:after="100"/>
      </w:pPr>
      <w:r>
        <w:rPr>
          <w:b w:val="0"/>
          <w:i w:val="0"/>
          <w:color w:val="262321"/>
          <w:sz w:val="19"/>
        </w:rPr>
        <w:t>The GLD shall be removed from service if visible damage, water ingress, an unresolved sensor fault, failed alarm verification, or loss of protective-earth continuity is identified.</w:t>
      </w:r>
    </w:p>
    <w:p>
      <w:pPr>
        <w:keepNext/>
        <w:spacing w:after="60"/>
      </w:pPr>
      <w:r>
        <w:rPr>
          <w:b/>
          <w:i w:val="0"/>
          <w:color w:val="1B335F"/>
          <w:sz w:val="21"/>
        </w:rPr>
        <w:t>g.19 Storage / Transport</w:t>
      </w:r>
    </w:p>
    <w:p>
      <w:pPr>
        <w:spacing w:after="100"/>
      </w:pPr>
      <w:r>
        <w:rPr>
          <w:b w:val="0"/>
          <w:i w:val="0"/>
          <w:color w:val="262321"/>
          <w:sz w:val="19"/>
        </w:rPr>
        <w:t>During storage and transport, the GLD shall be protected against mechanical impact, excessive vibration, moisture ingress, corrosive contamination, dust accumulation, and other conditions that could damage the enclosure, sensing inlet, antenna, cable-entry components, grounding connection, or other controlled product features.</w:t>
      </w:r>
    </w:p>
    <w:p>
      <w:pPr>
        <w:spacing w:after="100"/>
      </w:pPr>
      <w:r>
        <w:rPr>
          <w:b w:val="0"/>
          <w:i w:val="0"/>
          <w:color w:val="262321"/>
          <w:sz w:val="19"/>
        </w:rPr>
        <w:t>The detector shall be stored and transported in suitable protective packaging that prevents movement, impact, deformation, or abrasion of the enclosure and external components.</w:t>
      </w:r>
    </w:p>
    <w:p>
      <w:pPr>
        <w:spacing w:after="100"/>
      </w:pPr>
      <w:r>
        <w:rPr>
          <w:b w:val="0"/>
          <w:i w:val="0"/>
          <w:color w:val="262321"/>
          <w:sz w:val="19"/>
        </w:rPr>
        <w:t>Particular care shall be taken to protect the front stainless-steel mesh, antenna, enclosure threads, sealing surfaces, cable-entry interfaces, and grounding stud from impact or contamination.</w:t>
      </w:r>
    </w:p>
    <w:p>
      <w:pPr>
        <w:spacing w:after="100"/>
      </w:pPr>
      <w:r>
        <w:rPr>
          <w:b w:val="0"/>
          <w:i w:val="0"/>
          <w:color w:val="262321"/>
          <w:sz w:val="19"/>
        </w:rPr>
        <w:t>The GLD shall not be transported or stored with the gas-sampling inlet exposed to conditions likely to introduce excessive dust, oil, liquid, or other contaminants into the sensing area.</w:t>
      </w:r>
    </w:p>
    <w:p>
      <w:pPr>
        <w:spacing w:after="100"/>
      </w:pPr>
      <w:r>
        <w:rPr>
          <w:b w:val="0"/>
          <w:i w:val="0"/>
          <w:color w:val="262321"/>
          <w:sz w:val="19"/>
        </w:rPr>
        <w:t>Covers, plugs, protective packaging, or other temporary transport protection used during shipping shall be removed before installation and shall not remain in place over the gas-sampling inlet during operation.</w:t>
      </w:r>
    </w:p>
    <w:p>
      <w:pPr>
        <w:spacing w:after="100"/>
      </w:pPr>
      <w:r>
        <w:rPr>
          <w:b w:val="0"/>
          <w:i w:val="0"/>
          <w:color w:val="262321"/>
          <w:sz w:val="19"/>
        </w:rPr>
        <w:t>Before installation after storage or transport, the GLD shall be visually inspected for mechanical damage, corrosion, contamination, loose components, damaged seals, damaged mesh, or other abnormal conditions. Any damaged or suspect equipment shall be evaluated before being energized or placed into hazardous-area service.</w:t>
      </w:r>
    </w:p>
    <w:p>
      <w:pPr>
        <w:spacing w:after="100"/>
      </w:pPr>
      <w:r>
        <w:rPr>
          <w:b w:val="0"/>
          <w:i w:val="0"/>
          <w:color w:val="262321"/>
          <w:sz w:val="19"/>
        </w:rPr>
        <w:t>The permitted storage-temperature range, storage humidity, packaging specification, and transportation environmental limits shall be defined in the final product specification and controlled logistics documentation.</w:t>
      </w:r>
    </w:p>
    <w:p>
      <w:pPr>
        <w:keepNext/>
        <w:spacing w:after="60"/>
      </w:pPr>
      <w:r>
        <w:rPr>
          <w:b/>
          <w:i w:val="0"/>
          <w:color w:val="1B335F"/>
          <w:sz w:val="21"/>
        </w:rPr>
        <w:t>g.20 Decommissioning</w:t>
      </w:r>
    </w:p>
    <w:p>
      <w:pPr>
        <w:spacing w:after="100"/>
      </w:pPr>
      <w:r>
        <w:rPr>
          <w:b w:val="0"/>
          <w:i w:val="0"/>
          <w:color w:val="262321"/>
          <w:sz w:val="19"/>
        </w:rPr>
        <w:t>Decommissioning of the Gas Leak Detector (GLD) shall be performed only by trained and authorized personnel in accordance with the applicable site electrical-isolation and hazardous-area procedures.</w:t>
      </w:r>
    </w:p>
    <w:p>
      <w:pPr>
        <w:spacing w:after="100"/>
      </w:pPr>
      <w:r>
        <w:rPr>
          <w:b w:val="0"/>
          <w:i w:val="0"/>
          <w:color w:val="262321"/>
          <w:sz w:val="19"/>
        </w:rPr>
        <w:t>Before removal of the equipment, the 24 VDC supply shall be isolated and verified de-energized. The applicable lockout/tagout procedure shall be applied where required.</w:t>
      </w:r>
    </w:p>
    <w:p>
      <w:pPr>
        <w:spacing w:after="100"/>
      </w:pPr>
      <w:r>
        <w:rPr>
          <w:b w:val="0"/>
          <w:i w:val="0"/>
          <w:color w:val="262321"/>
          <w:sz w:val="19"/>
        </w:rPr>
        <w:t>The enclosure shall not be opened and electrical connections shall not be disconnected while an explosive atmosphere may be present unless the equipment has been de-energized and the area has been confirmed safe in accordance with the site procedure.</w:t>
      </w:r>
    </w:p>
    <w:p>
      <w:pPr>
        <w:spacing w:after="100"/>
      </w:pPr>
      <w:r>
        <w:rPr>
          <w:b w:val="0"/>
          <w:i w:val="0"/>
          <w:color w:val="262321"/>
          <w:sz w:val="19"/>
        </w:rPr>
        <w:t>After the equipment has been safely isolated, the power wiring, grounding conductor, antenna connection, communication interfaces, mounting hardware, and associated field connections may be disconnected in accordance with the approved removal procedure.</w:t>
      </w:r>
    </w:p>
    <w:p>
      <w:pPr>
        <w:spacing w:after="100"/>
      </w:pPr>
      <w:r>
        <w:rPr>
          <w:b w:val="0"/>
          <w:i w:val="0"/>
          <w:color w:val="262321"/>
          <w:sz w:val="19"/>
        </w:rPr>
        <w:t>Any cable entry, conduit, or field wiring remaining at the installation location after removal of the GLD shall be left in a condition that maintains the safety and integrity of the remaining installation. Open hazardous-area cable or conduit entries shall be closed or otherwise made safe in accordance with the applicable site requirements.</w:t>
      </w:r>
    </w:p>
    <w:p>
      <w:pPr>
        <w:spacing w:after="100"/>
      </w:pPr>
      <w:r>
        <w:rPr>
          <w:b w:val="0"/>
          <w:i w:val="0"/>
          <w:color w:val="262321"/>
          <w:sz w:val="19"/>
        </w:rPr>
        <w:t>The removed GLD shall be identified as decommissioned and shall not be returned to hazardous-area service unless it has been inspected, repaired where necessary, and recommissioned in accordance with the approved procedures.</w:t>
      </w:r>
    </w:p>
    <w:p>
      <w:pPr>
        <w:spacing w:after="100"/>
      </w:pPr>
      <w:r>
        <w:rPr>
          <w:b w:val="0"/>
          <w:i w:val="0"/>
          <w:color w:val="262321"/>
          <w:sz w:val="19"/>
        </w:rPr>
        <w:t>Equipment intended for disposal shall be handled in accordance with the applicable site and regulatory requirements for electronic equipment, metallic components, printed circuit boards, and other materials contained in the product.</w:t>
      </w:r>
    </w:p>
    <w:p>
      <w:pPr>
        <w:spacing w:after="100"/>
      </w:pPr>
      <w:r>
        <w:rPr>
          <w:b w:val="0"/>
          <w:i w:val="0"/>
          <w:color w:val="262321"/>
          <w:sz w:val="19"/>
        </w:rPr>
        <w:t>Where the unit has been exposed to process gas, chemical contamination, or other hazardous substances, appropriate site decontamination and handling procedures shall be followed before repair, transport, storage, or disposal.</w:t>
      </w:r>
    </w:p>
    <w:p>
      <w:pPr>
        <w:pStyle w:val="Heading3"/>
      </w:pPr>
      <w:r>
        <w:t>2.6.h · Nameplate Information (must include all ATEX-required marking information)</w:t>
      </w:r>
    </w:p>
    <w:p>
      <w:pPr>
        <w:spacing w:after="160"/>
      </w:pPr>
      <w:r>
        <w:rPr>
          <w:b w:val="0"/>
          <w:i w:val="0"/>
          <w:sz w:val="21"/>
        </w:rPr>
        <w:t>Nameplate artwork cannot yet be finalized: it depends on the certificate number, protection marking, temperature class, ambient range, IP rating, and serialization scheme, none of which has been assigned yet.</w:t>
      </w:r>
    </w:p>
    <w:p>
      <w:pPr>
        <w:spacing w:after="200"/>
      </w:pPr>
      <w:r>
        <w:rPr>
          <w:b/>
          <w:color w:val="4A4A4A"/>
          <w:sz w:val="19"/>
        </w:rPr>
        <w:t xml:space="preserve">Status: </w:t>
      </w:r>
      <w:r>
        <w:rPr>
          <w:i/>
          <w:color w:val="4A4A4A"/>
          <w:sz w:val="19"/>
        </w:rPr>
        <w:t>Not yet available.</w:t>
      </w:r>
    </w:p>
    <w:p>
      <w:pPr>
        <w:pStyle w:val="Heading4"/>
      </w:pPr>
      <w:r>
        <w:t>2.6.h.1 Proposed nameplate content (draft — not a certified marking)</w:t>
      </w:r>
    </w:p>
    <w:p>
      <w:pPr>
        <w:spacing w:after="100"/>
      </w:pPr>
      <w:r>
        <w:rPr>
          <w:b w:val="0"/>
          <w:i w:val="0"/>
          <w:color w:val="262321"/>
          <w:sz w:val="19"/>
        </w:rPr>
        <w:t>The nameplate artwork is finalized only after certification. The content below is the applicant's proposal for gas atmospheres only; no dust marking (category D / Ex t) is proposed, and the ambient range is the rated −20 °C to +60 °C.</w:t>
      </w:r>
    </w:p>
    <w:tbl>
      <w:tblPr>
        <w:tblStyle w:val="TableGrid"/>
        <w:tblW w:type="auto" w:w="0"/>
        <w:jc w:val="center"/>
        <w:tblLayout w:type="fixed"/>
        <w:tblLook w:firstColumn="1" w:firstRow="1" w:lastColumn="0" w:lastRow="0" w:noHBand="0" w:noVBand="1" w:val="04A0"/>
        <w:tblLayout w:type="fixed"/>
      </w:tblPr>
      <w:tblGrid>
        <w:gridCol w:w="2448"/>
        <w:gridCol w:w="5184"/>
        <w:gridCol w:w="1872"/>
      </w:tblGrid>
      <w:tr>
        <w:trPr>
          <w:tblHeader w:val="true"/>
        </w:trPr>
        <w:tc>
          <w:tcPr>
            <w:tcW w:type="dxa" w:w="2448"/>
            <w:shd w:val="clear" w:fill="EAEFF9"/>
          </w:tcPr>
          <w:p>
            <w:pPr>
              <w:spacing w:after="20"/>
            </w:pPr>
            <w:r>
              <w:rPr>
                <w:b/>
                <w:color w:val="1B335F"/>
                <w:sz w:val="16"/>
              </w:rPr>
              <w:t>Field</w:t>
            </w:r>
          </w:p>
        </w:tc>
        <w:tc>
          <w:tcPr>
            <w:tcW w:type="dxa" w:w="5184"/>
            <w:shd w:val="clear" w:fill="EAEFF9"/>
          </w:tcPr>
          <w:p>
            <w:pPr>
              <w:spacing w:after="20"/>
            </w:pPr>
            <w:r>
              <w:rPr>
                <w:b/>
                <w:color w:val="1B335F"/>
                <w:sz w:val="16"/>
              </w:rPr>
              <w:t>Proposed content</w:t>
            </w:r>
          </w:p>
        </w:tc>
        <w:tc>
          <w:tcPr>
            <w:tcW w:type="dxa" w:w="1872"/>
            <w:shd w:val="clear" w:fill="EAEFF9"/>
          </w:tcPr>
          <w:p>
            <w:pPr>
              <w:spacing w:after="20"/>
            </w:pPr>
            <w:r>
              <w:rPr>
                <w:b/>
                <w:color w:val="1B335F"/>
                <w:sz w:val="16"/>
              </w:rPr>
              <w:t>Status</w:t>
            </w:r>
          </w:p>
        </w:tc>
      </w:tr>
      <w:tr>
        <w:trPr>
          <w:cantSplit/>
        </w:trPr>
        <w:tc>
          <w:tcPr>
            <w:tcW w:type="dxa" w:w="2448"/>
          </w:tcPr>
          <w:p>
            <w:pPr>
              <w:spacing w:after="20"/>
            </w:pPr>
            <w:r>
              <w:rPr>
                <w:b/>
                <w:sz w:val="16"/>
              </w:rPr>
              <w:t>Manufacturer</w:t>
            </w:r>
          </w:p>
        </w:tc>
        <w:tc>
          <w:tcPr>
            <w:tcW w:type="dxa" w:w="5184"/>
          </w:tcPr>
          <w:p>
            <w:pPr>
              <w:spacing w:after="20"/>
            </w:pPr>
            <w:r>
              <w:rPr>
                <w:sz w:val="16"/>
              </w:rPr>
              <w:t>PT Galaksi Megatama Indonesia, Bekasi, Indonesia</w:t>
            </w:r>
          </w:p>
        </w:tc>
        <w:tc>
          <w:tcPr>
            <w:tcW w:type="dxa" w:w="1872"/>
            <w:shd w:val="clear" w:fill="E3F1E6"/>
          </w:tcPr>
          <w:p>
            <w:pPr>
              <w:spacing w:after="20"/>
            </w:pPr>
            <w:r>
              <w:rPr>
                <w:b/>
                <w:sz w:val="16"/>
              </w:rPr>
              <w:t>Final</w:t>
            </w:r>
          </w:p>
        </w:tc>
      </w:tr>
      <w:tr>
        <w:trPr>
          <w:cantSplit/>
        </w:trPr>
        <w:tc>
          <w:tcPr>
            <w:tcW w:type="dxa" w:w="2448"/>
          </w:tcPr>
          <w:p>
            <w:pPr>
              <w:spacing w:after="20"/>
            </w:pPr>
            <w:r>
              <w:rPr>
                <w:b/>
                <w:sz w:val="16"/>
              </w:rPr>
              <w:t>Product / model</w:t>
            </w:r>
          </w:p>
        </w:tc>
        <w:tc>
          <w:tcPr>
            <w:tcW w:type="dxa" w:w="5184"/>
          </w:tcPr>
          <w:p>
            <w:pPr>
              <w:spacing w:after="20"/>
            </w:pPr>
            <w:r>
              <w:rPr>
                <w:sz w:val="16"/>
              </w:rPr>
              <w:t>Gas Leak Detector — GLD V2</w:t>
            </w:r>
          </w:p>
        </w:tc>
        <w:tc>
          <w:tcPr>
            <w:tcW w:type="dxa" w:w="1872"/>
            <w:shd w:val="clear" w:fill="E3F1E6"/>
          </w:tcPr>
          <w:p>
            <w:pPr>
              <w:spacing w:after="20"/>
            </w:pPr>
            <w:r>
              <w:rPr>
                <w:b/>
                <w:sz w:val="16"/>
              </w:rPr>
              <w:t>Final</w:t>
            </w:r>
          </w:p>
        </w:tc>
      </w:tr>
      <w:tr>
        <w:trPr>
          <w:cantSplit/>
        </w:trPr>
        <w:tc>
          <w:tcPr>
            <w:tcW w:type="dxa" w:w="2448"/>
          </w:tcPr>
          <w:p>
            <w:pPr>
              <w:spacing w:after="20"/>
            </w:pPr>
            <w:r>
              <w:rPr>
                <w:b/>
                <w:sz w:val="16"/>
              </w:rPr>
              <w:t>Serial number</w:t>
            </w:r>
          </w:p>
        </w:tc>
        <w:tc>
          <w:tcPr>
            <w:tcW w:type="dxa" w:w="5184"/>
          </w:tcPr>
          <w:p>
            <w:pPr>
              <w:spacing w:after="20"/>
            </w:pPr>
            <w:r>
              <w:rPr>
                <w:sz w:val="16"/>
              </w:rPr>
              <w:t>Per unit (sample: GLD2-0x1001)</w:t>
            </w:r>
          </w:p>
        </w:tc>
        <w:tc>
          <w:tcPr>
            <w:tcW w:type="dxa" w:w="1872"/>
            <w:shd w:val="clear" w:fill="E3F1E6"/>
          </w:tcPr>
          <w:p>
            <w:pPr>
              <w:spacing w:after="20"/>
            </w:pPr>
            <w:r>
              <w:rPr>
                <w:b/>
                <w:sz w:val="16"/>
              </w:rPr>
              <w:t>Final</w:t>
            </w:r>
          </w:p>
        </w:tc>
      </w:tr>
      <w:tr>
        <w:trPr>
          <w:cantSplit/>
        </w:trPr>
        <w:tc>
          <w:tcPr>
            <w:tcW w:type="dxa" w:w="2448"/>
          </w:tcPr>
          <w:p>
            <w:pPr>
              <w:spacing w:after="20"/>
            </w:pPr>
            <w:r>
              <w:rPr>
                <w:b/>
                <w:sz w:val="16"/>
              </w:rPr>
              <w:t>Year of manufacture</w:t>
            </w:r>
          </w:p>
        </w:tc>
        <w:tc>
          <w:tcPr>
            <w:tcW w:type="dxa" w:w="5184"/>
          </w:tcPr>
          <w:p>
            <w:pPr>
              <w:spacing w:after="20"/>
            </w:pPr>
            <w:r>
              <w:rPr>
                <w:sz w:val="16"/>
              </w:rPr>
              <w:t>Per unit</w:t>
            </w:r>
          </w:p>
        </w:tc>
        <w:tc>
          <w:tcPr>
            <w:tcW w:type="dxa" w:w="1872"/>
            <w:shd w:val="clear" w:fill="E3F1E6"/>
          </w:tcPr>
          <w:p>
            <w:pPr>
              <w:spacing w:after="20"/>
            </w:pPr>
            <w:r>
              <w:rPr>
                <w:b/>
                <w:sz w:val="16"/>
              </w:rPr>
              <w:t>Final</w:t>
            </w:r>
          </w:p>
        </w:tc>
      </w:tr>
      <w:tr>
        <w:trPr>
          <w:cantSplit/>
        </w:trPr>
        <w:tc>
          <w:tcPr>
            <w:tcW w:type="dxa" w:w="2448"/>
          </w:tcPr>
          <w:p>
            <w:pPr>
              <w:spacing w:after="20"/>
            </w:pPr>
            <w:r>
              <w:rPr>
                <w:b/>
                <w:sz w:val="16"/>
              </w:rPr>
              <w:t>ATEX equipment group / category</w:t>
            </w:r>
          </w:p>
        </w:tc>
        <w:tc>
          <w:tcPr>
            <w:tcW w:type="dxa" w:w="5184"/>
          </w:tcPr>
          <w:p>
            <w:pPr>
              <w:spacing w:after="20"/>
            </w:pPr>
            <w:r>
              <w:rPr>
                <w:sz w:val="16"/>
              </w:rPr>
              <w:t>II 2G</w:t>
            </w:r>
          </w:p>
        </w:tc>
        <w:tc>
          <w:tcPr>
            <w:tcW w:type="dxa" w:w="1872"/>
          </w:tcPr>
          <w:p>
            <w:pPr>
              <w:spacing w:after="20"/>
            </w:pPr>
            <w:r>
              <w:rPr>
                <w:b/>
                <w:sz w:val="16"/>
              </w:rPr>
              <w:t>Proposed — pending ExCB</w:t>
            </w:r>
          </w:p>
        </w:tc>
      </w:tr>
      <w:tr>
        <w:trPr>
          <w:cantSplit/>
        </w:trPr>
        <w:tc>
          <w:tcPr>
            <w:tcW w:type="dxa" w:w="2448"/>
          </w:tcPr>
          <w:p>
            <w:pPr>
              <w:spacing w:after="20"/>
            </w:pPr>
            <w:r>
              <w:rPr>
                <w:b/>
                <w:sz w:val="16"/>
              </w:rPr>
              <w:t>Ex marking</w:t>
            </w:r>
          </w:p>
        </w:tc>
        <w:tc>
          <w:tcPr>
            <w:tcW w:type="dxa" w:w="5184"/>
          </w:tcPr>
          <w:p>
            <w:pPr>
              <w:spacing w:after="20"/>
            </w:pPr>
            <w:r>
              <w:rPr>
                <w:sz w:val="16"/>
              </w:rPr>
              <w:t>Ex db IIC T4 Gb</w:t>
            </w:r>
          </w:p>
        </w:tc>
        <w:tc>
          <w:tcPr>
            <w:tcW w:type="dxa" w:w="1872"/>
          </w:tcPr>
          <w:p>
            <w:pPr>
              <w:spacing w:after="20"/>
            </w:pPr>
            <w:r>
              <w:rPr>
                <w:b/>
                <w:sz w:val="16"/>
              </w:rPr>
              <w:t>Proposed — pending ExCB</w:t>
            </w:r>
          </w:p>
        </w:tc>
      </w:tr>
      <w:tr>
        <w:trPr>
          <w:cantSplit/>
        </w:trPr>
        <w:tc>
          <w:tcPr>
            <w:tcW w:type="dxa" w:w="2448"/>
          </w:tcPr>
          <w:p>
            <w:pPr>
              <w:spacing w:after="20"/>
            </w:pPr>
            <w:r>
              <w:rPr>
                <w:b/>
                <w:sz w:val="16"/>
              </w:rPr>
              <w:t>Ambient temperature</w:t>
            </w:r>
          </w:p>
        </w:tc>
        <w:tc>
          <w:tcPr>
            <w:tcW w:type="dxa" w:w="5184"/>
          </w:tcPr>
          <w:p>
            <w:pPr>
              <w:spacing w:after="20"/>
            </w:pPr>
            <w:r>
              <w:rPr>
                <w:sz w:val="16"/>
              </w:rPr>
              <w:t>−20 °C ≤ Ta ≤ +60 °C</w:t>
            </w:r>
          </w:p>
        </w:tc>
        <w:tc>
          <w:tcPr>
            <w:tcW w:type="dxa" w:w="1872"/>
            <w:shd w:val="clear" w:fill="E3F1E6"/>
          </w:tcPr>
          <w:p>
            <w:pPr>
              <w:spacing w:after="20"/>
            </w:pPr>
            <w:r>
              <w:rPr>
                <w:b/>
                <w:sz w:val="16"/>
              </w:rPr>
              <w:t>Final (rated range)</w:t>
            </w:r>
          </w:p>
        </w:tc>
      </w:tr>
      <w:tr>
        <w:trPr>
          <w:cantSplit/>
        </w:trPr>
        <w:tc>
          <w:tcPr>
            <w:tcW w:type="dxa" w:w="2448"/>
          </w:tcPr>
          <w:p>
            <w:pPr>
              <w:spacing w:after="20"/>
            </w:pPr>
            <w:r>
              <w:rPr>
                <w:b/>
                <w:sz w:val="16"/>
              </w:rPr>
              <w:t>IP rating</w:t>
            </w:r>
          </w:p>
        </w:tc>
        <w:tc>
          <w:tcPr>
            <w:tcW w:type="dxa" w:w="5184"/>
          </w:tcPr>
          <w:p>
            <w:pPr>
              <w:spacing w:after="20"/>
            </w:pPr>
            <w:r>
              <w:rPr>
                <w:sz w:val="16"/>
              </w:rPr>
              <w:t>IP66</w:t>
            </w:r>
          </w:p>
        </w:tc>
        <w:tc>
          <w:tcPr>
            <w:tcW w:type="dxa" w:w="1872"/>
          </w:tcPr>
          <w:p>
            <w:pPr>
              <w:spacing w:after="20"/>
            </w:pPr>
            <w:r>
              <w:rPr>
                <w:b/>
                <w:sz w:val="16"/>
              </w:rPr>
              <w:t>Proposed — test evidence pending</w:t>
            </w:r>
          </w:p>
        </w:tc>
      </w:tr>
      <w:tr>
        <w:trPr>
          <w:cantSplit/>
        </w:trPr>
        <w:tc>
          <w:tcPr>
            <w:tcW w:type="dxa" w:w="2448"/>
          </w:tcPr>
          <w:p>
            <w:pPr>
              <w:spacing w:after="20"/>
            </w:pPr>
            <w:r>
              <w:rPr>
                <w:b/>
                <w:sz w:val="16"/>
              </w:rPr>
              <w:t>Electrical rating</w:t>
            </w:r>
          </w:p>
        </w:tc>
        <w:tc>
          <w:tcPr>
            <w:tcW w:type="dxa" w:w="5184"/>
          </w:tcPr>
          <w:p>
            <w:pPr>
              <w:spacing w:after="20"/>
            </w:pPr>
            <w:r>
              <w:rPr>
                <w:sz w:val="16"/>
              </w:rPr>
              <w:t>24 VDC, 8 W max.</w:t>
            </w:r>
          </w:p>
        </w:tc>
        <w:tc>
          <w:tcPr>
            <w:tcW w:type="dxa" w:w="1872"/>
            <w:shd w:val="clear" w:fill="E3F1E6"/>
          </w:tcPr>
          <w:p>
            <w:pPr>
              <w:spacing w:after="20"/>
            </w:pPr>
            <w:r>
              <w:rPr>
                <w:b/>
                <w:sz w:val="16"/>
              </w:rPr>
              <w:t>Final</w:t>
            </w:r>
          </w:p>
        </w:tc>
      </w:tr>
      <w:tr>
        <w:trPr>
          <w:cantSplit/>
        </w:trPr>
        <w:tc>
          <w:tcPr>
            <w:tcW w:type="dxa" w:w="2448"/>
          </w:tcPr>
          <w:p>
            <w:pPr>
              <w:spacing w:after="20"/>
            </w:pPr>
            <w:r>
              <w:rPr>
                <w:b/>
                <w:sz w:val="16"/>
              </w:rPr>
              <w:t>Cable entry</w:t>
            </w:r>
          </w:p>
        </w:tc>
        <w:tc>
          <w:tcPr>
            <w:tcW w:type="dxa" w:w="5184"/>
          </w:tcPr>
          <w:p>
            <w:pPr>
              <w:spacing w:after="20"/>
            </w:pPr>
            <w:r>
              <w:rPr>
                <w:sz w:val="16"/>
              </w:rPr>
              <w:t>M20×1.5</w:t>
            </w:r>
          </w:p>
        </w:tc>
        <w:tc>
          <w:tcPr>
            <w:tcW w:type="dxa" w:w="1872"/>
            <w:shd w:val="clear" w:fill="FBEEE4"/>
          </w:tcPr>
          <w:p>
            <w:pPr>
              <w:spacing w:after="20"/>
            </w:pPr>
            <w:r>
              <w:rPr>
                <w:b/>
                <w:sz w:val="16"/>
              </w:rPr>
              <w:t>TBC</w:t>
            </w:r>
          </w:p>
        </w:tc>
      </w:tr>
      <w:tr>
        <w:trPr>
          <w:cantSplit/>
        </w:trPr>
        <w:tc>
          <w:tcPr>
            <w:tcW w:type="dxa" w:w="2448"/>
          </w:tcPr>
          <w:p>
            <w:pPr>
              <w:spacing w:after="20"/>
            </w:pPr>
            <w:r>
              <w:rPr>
                <w:b/>
                <w:sz w:val="16"/>
              </w:rPr>
              <w:t>Certificate numbers</w:t>
            </w:r>
          </w:p>
        </w:tc>
        <w:tc>
          <w:tcPr>
            <w:tcW w:type="dxa" w:w="5184"/>
          </w:tcPr>
          <w:p>
            <w:pPr>
              <w:spacing w:after="20"/>
            </w:pPr>
            <w:r>
              <w:rPr>
                <w:sz w:val="16"/>
              </w:rPr>
              <w:t>ATEX / IECEx certificate numbers</w:t>
            </w:r>
          </w:p>
        </w:tc>
        <w:tc>
          <w:tcPr>
            <w:tcW w:type="dxa" w:w="1872"/>
            <w:shd w:val="clear" w:fill="FBEEE4"/>
          </w:tcPr>
          <w:p>
            <w:pPr>
              <w:spacing w:after="20"/>
            </w:pPr>
            <w:r>
              <w:rPr>
                <w:b/>
                <w:sz w:val="16"/>
              </w:rPr>
              <w:t>Pending certificate</w:t>
            </w:r>
          </w:p>
        </w:tc>
      </w:tr>
      <w:tr>
        <w:trPr>
          <w:cantSplit/>
        </w:trPr>
        <w:tc>
          <w:tcPr>
            <w:tcW w:type="dxa" w:w="2448"/>
          </w:tcPr>
          <w:p>
            <w:pPr>
              <w:spacing w:after="20"/>
            </w:pPr>
            <w:r>
              <w:rPr>
                <w:b/>
                <w:sz w:val="16"/>
              </w:rPr>
              <w:t>CE marking + notified-body number</w:t>
            </w:r>
          </w:p>
        </w:tc>
        <w:tc>
          <w:tcPr>
            <w:tcW w:type="dxa" w:w="5184"/>
          </w:tcPr>
          <w:p>
            <w:pPr>
              <w:spacing w:after="20"/>
            </w:pPr>
            <w:r>
              <w:rPr>
                <w:sz w:val="16"/>
              </w:rPr>
              <w:t>CE xxxx</w:t>
            </w:r>
          </w:p>
        </w:tc>
        <w:tc>
          <w:tcPr>
            <w:tcW w:type="dxa" w:w="1872"/>
            <w:shd w:val="clear" w:fill="FBEEE4"/>
          </w:tcPr>
          <w:p>
            <w:pPr>
              <w:spacing w:after="20"/>
            </w:pPr>
            <w:r>
              <w:rPr>
                <w:b/>
                <w:sz w:val="16"/>
              </w:rPr>
              <w:t>Pending certificate</w:t>
            </w:r>
          </w:p>
        </w:tc>
      </w:tr>
      <w:tr>
        <w:trPr>
          <w:cantSplit/>
        </w:trPr>
        <w:tc>
          <w:tcPr>
            <w:tcW w:type="dxa" w:w="2448"/>
          </w:tcPr>
          <w:p>
            <w:pPr>
              <w:spacing w:after="20"/>
            </w:pPr>
            <w:r>
              <w:rPr>
                <w:b/>
                <w:sz w:val="16"/>
              </w:rPr>
              <w:t>Warnings</w:t>
            </w:r>
          </w:p>
        </w:tc>
        <w:tc>
          <w:tcPr>
            <w:tcW w:type="dxa" w:w="5184"/>
          </w:tcPr>
          <w:p>
            <w:pPr>
              <w:spacing w:after="20"/>
            </w:pPr>
            <w:r>
              <w:rPr>
                <w:sz w:val="16"/>
              </w:rPr>
              <w:t>“WARNING – DO NOT OPEN WHEN AN EXPLOSIVE ATMOSPHERE MAY BE PRESENT”; additional warnings (e.g. electrostatic charging) as required by the certificate</w:t>
            </w:r>
          </w:p>
        </w:tc>
        <w:tc>
          <w:tcPr>
            <w:tcW w:type="dxa" w:w="1872"/>
          </w:tcPr>
          <w:p>
            <w:pPr>
              <w:spacing w:after="20"/>
            </w:pPr>
            <w:r>
              <w:rPr>
                <w:b/>
                <w:sz w:val="16"/>
              </w:rPr>
              <w:t>Proposed</w:t>
            </w:r>
          </w:p>
        </w:tc>
      </w:tr>
    </w:tbl>
    <w:p>
      <w:pPr>
        <w:spacing w:after="40"/>
      </w:pPr>
    </w:p>
    <w:p>
      <w:pPr>
        <w:pStyle w:val="Heading3"/>
      </w:pPr>
      <w:r>
        <w:t>2.6.i · Ex Component Certificates</w:t>
      </w:r>
    </w:p>
    <w:p>
      <w:pPr>
        <w:spacing w:after="160"/>
      </w:pPr>
      <w:r>
        <w:rPr>
          <w:b w:val="0"/>
          <w:i w:val="0"/>
          <w:sz w:val="21"/>
        </w:rPr>
        <w:t>No components in this design currently hold an Ex component certificate. The processing unit (ESP32-S3-WROOM-1U-N16R8) and the communication module (E22-900MM22S) hold RF/EMC certifications (FCC, TELEC, CE, RoHS) — these are not Ex component certificates and do not satisfy this item.</w:t>
      </w:r>
    </w:p>
    <w:p>
      <w:pPr>
        <w:spacing w:after="200"/>
      </w:pPr>
      <w:r>
        <w:rPr>
          <w:b/>
          <w:color w:val="4A4A4A"/>
          <w:sz w:val="19"/>
        </w:rPr>
        <w:t xml:space="preserve">Status: </w:t>
      </w:r>
      <w:r>
        <w:rPr>
          <w:i/>
          <w:color w:val="4A4A4A"/>
          <w:sz w:val="19"/>
        </w:rPr>
        <w:t>Not yet available.</w:t>
      </w:r>
    </w:p>
    <w:p>
      <w:r>
        <w:br w:type="page"/>
      </w:r>
    </w:p>
    <w:p>
      <w:pPr>
        <w:pStyle w:val="Heading4"/>
      </w:pPr>
      <w:r>
        <w:t>2.6.i.1 Components requiring Ex certificates</w:t>
      </w:r>
    </w:p>
    <w:p>
      <w:pPr>
        <w:spacing w:after="100"/>
      </w:pPr>
      <w:r>
        <w:rPr>
          <w:b w:val="0"/>
          <w:i w:val="0"/>
          <w:color w:val="262321"/>
          <w:sz w:val="19"/>
        </w:rPr>
        <w:t>Ex-certified components needed for the proposed Ex d construction (gas group IIC). Each certificate must cover gas group IIC, the ambient range −20 °C to +60 °C and the thread form used.</w:t>
      </w:r>
    </w:p>
    <w:tbl>
      <w:tblPr>
        <w:tblStyle w:val="TableGrid"/>
        <w:tblW w:type="auto" w:w="0"/>
        <w:jc w:val="center"/>
        <w:tblLayout w:type="fixed"/>
        <w:tblLook w:firstColumn="1" w:firstRow="1" w:lastColumn="0" w:lastRow="0" w:noHBand="0" w:noVBand="1" w:val="04A0"/>
        <w:tblLayout w:type="fixed"/>
      </w:tblPr>
      <w:tblGrid>
        <w:gridCol w:w="2880"/>
        <w:gridCol w:w="3168"/>
        <w:gridCol w:w="1728"/>
        <w:gridCol w:w="1728"/>
      </w:tblGrid>
      <w:tr>
        <w:trPr>
          <w:tblHeader w:val="true"/>
        </w:trPr>
        <w:tc>
          <w:tcPr>
            <w:tcW w:type="dxa" w:w="2880"/>
            <w:shd w:val="clear" w:fill="EAEFF9"/>
          </w:tcPr>
          <w:p>
            <w:pPr>
              <w:spacing w:after="20"/>
            </w:pPr>
            <w:r>
              <w:rPr>
                <w:b/>
                <w:color w:val="1B335F"/>
                <w:sz w:val="16"/>
              </w:rPr>
              <w:t>Component</w:t>
            </w:r>
          </w:p>
        </w:tc>
        <w:tc>
          <w:tcPr>
            <w:tcW w:type="dxa" w:w="3168"/>
            <w:shd w:val="clear" w:fill="EAEFF9"/>
          </w:tcPr>
          <w:p>
            <w:pPr>
              <w:spacing w:after="20"/>
            </w:pPr>
            <w:r>
              <w:rPr>
                <w:b/>
                <w:color w:val="1B335F"/>
                <w:sz w:val="16"/>
              </w:rPr>
              <w:t>Required certification</w:t>
            </w:r>
          </w:p>
        </w:tc>
        <w:tc>
          <w:tcPr>
            <w:tcW w:type="dxa" w:w="1728"/>
            <w:shd w:val="clear" w:fill="EAEFF9"/>
          </w:tcPr>
          <w:p>
            <w:pPr>
              <w:spacing w:after="20"/>
            </w:pPr>
            <w:r>
              <w:rPr>
                <w:b/>
                <w:color w:val="1B335F"/>
                <w:sz w:val="16"/>
              </w:rPr>
              <w:t>Supplier / certificate no.</w:t>
            </w:r>
          </w:p>
        </w:tc>
        <w:tc>
          <w:tcPr>
            <w:tcW w:type="dxa" w:w="1728"/>
            <w:shd w:val="clear" w:fill="EAEFF9"/>
          </w:tcPr>
          <w:p>
            <w:pPr>
              <w:spacing w:after="20"/>
            </w:pPr>
            <w:r>
              <w:rPr>
                <w:b/>
                <w:color w:val="1B335F"/>
                <w:sz w:val="16"/>
              </w:rPr>
              <w:t>Status</w:t>
            </w:r>
          </w:p>
        </w:tc>
      </w:tr>
      <w:tr>
        <w:trPr>
          <w:cantSplit/>
        </w:trPr>
        <w:tc>
          <w:tcPr>
            <w:tcW w:type="dxa" w:w="2880"/>
          </w:tcPr>
          <w:p>
            <w:pPr>
              <w:spacing w:after="20"/>
            </w:pPr>
            <w:r>
              <w:rPr>
                <w:b/>
                <w:sz w:val="16"/>
              </w:rPr>
              <w:t>Flameproof enclosure (if a certified empty enclosure is used)</w:t>
            </w:r>
          </w:p>
        </w:tc>
        <w:tc>
          <w:tcPr>
            <w:tcW w:type="dxa" w:w="3168"/>
          </w:tcPr>
          <w:p>
            <w:pPr>
              <w:spacing w:after="20"/>
            </w:pPr>
            <w:r>
              <w:rPr>
                <w:sz w:val="16"/>
              </w:rPr>
              <w:t>Ex db IIC component certificate (ATEX/IECEx)</w:t>
            </w:r>
          </w:p>
        </w:tc>
        <w:tc>
          <w:tcPr>
            <w:tcW w:type="dxa" w:w="1728"/>
          </w:tcPr>
          <w:p>
            <w:pPr>
              <w:spacing w:after="20"/>
            </w:pPr>
            <w:r>
              <w:rPr>
                <w:sz w:val="16"/>
              </w:rPr>
              <w:t>TBC</w:t>
            </w:r>
          </w:p>
        </w:tc>
        <w:tc>
          <w:tcPr>
            <w:tcW w:type="dxa" w:w="1728"/>
            <w:shd w:val="clear" w:fill="FBEEE4"/>
          </w:tcPr>
          <w:p>
            <w:pPr>
              <w:spacing w:after="20"/>
            </w:pPr>
            <w:r>
              <w:rPr>
                <w:b/>
                <w:sz w:val="16"/>
              </w:rPr>
              <w:t>Pending certificate</w:t>
            </w:r>
          </w:p>
        </w:tc>
      </w:tr>
      <w:tr>
        <w:trPr>
          <w:cantSplit/>
        </w:trPr>
        <w:tc>
          <w:tcPr>
            <w:tcW w:type="dxa" w:w="2880"/>
          </w:tcPr>
          <w:p>
            <w:pPr>
              <w:spacing w:after="20"/>
            </w:pPr>
            <w:r>
              <w:rPr>
                <w:b/>
                <w:sz w:val="16"/>
              </w:rPr>
              <w:t>Cable gland, 24 VDC entry</w:t>
            </w:r>
          </w:p>
        </w:tc>
        <w:tc>
          <w:tcPr>
            <w:tcW w:type="dxa" w:w="3168"/>
          </w:tcPr>
          <w:p>
            <w:pPr>
              <w:spacing w:after="20"/>
            </w:pPr>
            <w:r>
              <w:rPr>
                <w:sz w:val="16"/>
              </w:rPr>
              <w:t>Ex d barrier gland for IIC, M20×1.5, IP66</w:t>
            </w:r>
          </w:p>
        </w:tc>
        <w:tc>
          <w:tcPr>
            <w:tcW w:type="dxa" w:w="1728"/>
          </w:tcPr>
          <w:p>
            <w:pPr>
              <w:spacing w:after="20"/>
            </w:pPr>
            <w:r>
              <w:rPr>
                <w:sz w:val="16"/>
              </w:rPr>
              <w:t>TBC</w:t>
            </w:r>
          </w:p>
        </w:tc>
        <w:tc>
          <w:tcPr>
            <w:tcW w:type="dxa" w:w="1728"/>
            <w:shd w:val="clear" w:fill="FBEEE4"/>
          </w:tcPr>
          <w:p>
            <w:pPr>
              <w:spacing w:after="20"/>
            </w:pPr>
            <w:r>
              <w:rPr>
                <w:b/>
                <w:sz w:val="16"/>
              </w:rPr>
              <w:t>Pending certificate</w:t>
            </w:r>
          </w:p>
        </w:tc>
      </w:tr>
      <w:tr>
        <w:trPr>
          <w:cantSplit/>
        </w:trPr>
        <w:tc>
          <w:tcPr>
            <w:tcW w:type="dxa" w:w="2880"/>
          </w:tcPr>
          <w:p>
            <w:pPr>
              <w:spacing w:after="20"/>
            </w:pPr>
            <w:r>
              <w:rPr>
                <w:b/>
                <w:sz w:val="16"/>
              </w:rPr>
              <w:t>Blanking plug / adaptor</w:t>
            </w:r>
          </w:p>
        </w:tc>
        <w:tc>
          <w:tcPr>
            <w:tcW w:type="dxa" w:w="3168"/>
          </w:tcPr>
          <w:p>
            <w:pPr>
              <w:spacing w:after="20"/>
            </w:pPr>
            <w:r>
              <w:rPr>
                <w:sz w:val="16"/>
              </w:rPr>
              <w:t>Ex d IIC, M20×1.5</w:t>
            </w:r>
          </w:p>
        </w:tc>
        <w:tc>
          <w:tcPr>
            <w:tcW w:type="dxa" w:w="1728"/>
          </w:tcPr>
          <w:p>
            <w:pPr>
              <w:spacing w:after="20"/>
            </w:pPr>
            <w:r>
              <w:rPr>
                <w:sz w:val="16"/>
              </w:rPr>
              <w:t>TBC</w:t>
            </w:r>
          </w:p>
        </w:tc>
        <w:tc>
          <w:tcPr>
            <w:tcW w:type="dxa" w:w="1728"/>
            <w:shd w:val="clear" w:fill="FBEEE4"/>
          </w:tcPr>
          <w:p>
            <w:pPr>
              <w:spacing w:after="20"/>
            </w:pPr>
            <w:r>
              <w:rPr>
                <w:b/>
                <w:sz w:val="16"/>
              </w:rPr>
              <w:t>Pending certificate</w:t>
            </w:r>
          </w:p>
        </w:tc>
      </w:tr>
      <w:tr>
        <w:trPr>
          <w:cantSplit/>
        </w:trPr>
        <w:tc>
          <w:tcPr>
            <w:tcW w:type="dxa" w:w="2880"/>
          </w:tcPr>
          <w:p>
            <w:pPr>
              <w:spacing w:after="20"/>
            </w:pPr>
            <w:r>
              <w:rPr>
                <w:b/>
                <w:sz w:val="16"/>
              </w:rPr>
              <w:t>Front mesh / flame arrestor (if claimed)</w:t>
            </w:r>
          </w:p>
        </w:tc>
        <w:tc>
          <w:tcPr>
            <w:tcW w:type="dxa" w:w="3168"/>
          </w:tcPr>
          <w:p>
            <w:pPr>
              <w:spacing w:after="20"/>
            </w:pPr>
            <w:r>
              <w:rPr>
                <w:sz w:val="16"/>
              </w:rPr>
              <w:t>Certificate or test evidence of flame-arresting function</w:t>
            </w:r>
          </w:p>
        </w:tc>
        <w:tc>
          <w:tcPr>
            <w:tcW w:type="dxa" w:w="1728"/>
          </w:tcPr>
          <w:p>
            <w:pPr>
              <w:spacing w:after="20"/>
            </w:pPr>
            <w:r>
              <w:rPr>
                <w:sz w:val="16"/>
              </w:rPr>
              <w:t>TBC</w:t>
            </w:r>
          </w:p>
        </w:tc>
        <w:tc>
          <w:tcPr>
            <w:tcW w:type="dxa" w:w="1728"/>
            <w:shd w:val="clear" w:fill="FBEEE4"/>
          </w:tcPr>
          <w:p>
            <w:pPr>
              <w:spacing w:after="20"/>
            </w:pPr>
            <w:r>
              <w:rPr>
                <w:b/>
                <w:sz w:val="16"/>
              </w:rPr>
              <w:t>Pending certificate</w:t>
            </w:r>
          </w:p>
        </w:tc>
      </w:tr>
      <w:tr>
        <w:trPr>
          <w:cantSplit/>
        </w:trPr>
        <w:tc>
          <w:tcPr>
            <w:tcW w:type="dxa" w:w="2880"/>
          </w:tcPr>
          <w:p>
            <w:pPr>
              <w:spacing w:after="20"/>
            </w:pPr>
            <w:r>
              <w:rPr>
                <w:b/>
                <w:sz w:val="16"/>
              </w:rPr>
              <w:t>Alarm beacon (if outside the flameproof enclosure)</w:t>
            </w:r>
          </w:p>
        </w:tc>
        <w:tc>
          <w:tcPr>
            <w:tcW w:type="dxa" w:w="3168"/>
          </w:tcPr>
          <w:p>
            <w:pPr>
              <w:spacing w:after="20"/>
            </w:pPr>
            <w:r>
              <w:rPr>
                <w:sz w:val="16"/>
              </w:rPr>
              <w:t>Ex certificate of the beacon, or inclusion in the equipment assessment</w:t>
            </w:r>
          </w:p>
        </w:tc>
        <w:tc>
          <w:tcPr>
            <w:tcW w:type="dxa" w:w="1728"/>
          </w:tcPr>
          <w:p>
            <w:pPr>
              <w:spacing w:after="20"/>
            </w:pPr>
            <w:r>
              <w:rPr>
                <w:sz w:val="16"/>
              </w:rPr>
              <w:t>TBC</w:t>
            </w:r>
          </w:p>
        </w:tc>
        <w:tc>
          <w:tcPr>
            <w:tcW w:type="dxa" w:w="1728"/>
            <w:shd w:val="clear" w:fill="FBEEE4"/>
          </w:tcPr>
          <w:p>
            <w:pPr>
              <w:spacing w:after="20"/>
            </w:pPr>
            <w:r>
              <w:rPr>
                <w:b/>
                <w:sz w:val="16"/>
              </w:rPr>
              <w:t>Open</w:t>
            </w:r>
          </w:p>
        </w:tc>
      </w:tr>
      <w:tr>
        <w:trPr>
          <w:cantSplit/>
        </w:trPr>
        <w:tc>
          <w:tcPr>
            <w:tcW w:type="dxa" w:w="2880"/>
          </w:tcPr>
          <w:p>
            <w:pPr>
              <w:spacing w:after="20"/>
            </w:pPr>
            <w:r>
              <w:rPr>
                <w:b/>
                <w:sz w:val="16"/>
              </w:rPr>
              <w:t>Antenna feed-through (if a certified bushing is used)</w:t>
            </w:r>
          </w:p>
        </w:tc>
        <w:tc>
          <w:tcPr>
            <w:tcW w:type="dxa" w:w="3168"/>
          </w:tcPr>
          <w:p>
            <w:pPr>
              <w:spacing w:after="20"/>
            </w:pPr>
            <w:r>
              <w:rPr>
                <w:sz w:val="16"/>
              </w:rPr>
              <w:t>Ex d IIC bushing</w:t>
            </w:r>
          </w:p>
        </w:tc>
        <w:tc>
          <w:tcPr>
            <w:tcW w:type="dxa" w:w="1728"/>
          </w:tcPr>
          <w:p>
            <w:pPr>
              <w:spacing w:after="20"/>
            </w:pPr>
            <w:r>
              <w:rPr>
                <w:sz w:val="16"/>
              </w:rPr>
              <w:t>TBC</w:t>
            </w:r>
          </w:p>
        </w:tc>
        <w:tc>
          <w:tcPr>
            <w:tcW w:type="dxa" w:w="1728"/>
            <w:shd w:val="clear" w:fill="FBEEE4"/>
          </w:tcPr>
          <w:p>
            <w:pPr>
              <w:spacing w:after="20"/>
            </w:pPr>
            <w:r>
              <w:rPr>
                <w:b/>
                <w:sz w:val="16"/>
              </w:rPr>
              <w:t>Open</w:t>
            </w:r>
          </w:p>
        </w:tc>
      </w:tr>
      <w:tr>
        <w:trPr>
          <w:cantSplit/>
        </w:trPr>
        <w:tc>
          <w:tcPr>
            <w:tcW w:type="dxa" w:w="2880"/>
          </w:tcPr>
          <w:p>
            <w:pPr>
              <w:spacing w:after="20"/>
            </w:pPr>
            <w:r>
              <w:rPr>
                <w:b/>
                <w:sz w:val="16"/>
              </w:rPr>
              <w:t>ESP32-S3 module, LoRa module</w:t>
            </w:r>
          </w:p>
        </w:tc>
        <w:tc>
          <w:tcPr>
            <w:tcW w:type="dxa" w:w="3168"/>
          </w:tcPr>
          <w:p>
            <w:pPr>
              <w:spacing w:after="20"/>
            </w:pPr>
            <w:r>
              <w:rPr>
                <w:sz w:val="16"/>
              </w:rPr>
              <w:t>RF/EMC certificates only (FCC, TELEC, CE) — not Ex certificates</w:t>
            </w:r>
          </w:p>
        </w:tc>
        <w:tc>
          <w:tcPr>
            <w:tcW w:type="dxa" w:w="1728"/>
          </w:tcPr>
          <w:p>
            <w:pPr>
              <w:spacing w:after="20"/>
            </w:pPr>
            <w:r>
              <w:rPr>
                <w:sz w:val="16"/>
              </w:rPr>
              <w:t>Espressif / Ebyte</w:t>
            </w:r>
          </w:p>
        </w:tc>
        <w:tc>
          <w:tcPr>
            <w:tcW w:type="dxa" w:w="1728"/>
            <w:shd w:val="clear" w:fill="EEEEEE"/>
          </w:tcPr>
          <w:p>
            <w:pPr>
              <w:spacing w:after="20"/>
            </w:pPr>
            <w:r>
              <w:rPr>
                <w:b/>
                <w:sz w:val="16"/>
              </w:rPr>
              <w:t>N.A. for Ex</w:t>
            </w:r>
          </w:p>
        </w:tc>
      </w:tr>
    </w:tbl>
    <w:p>
      <w:pPr>
        <w:spacing w:after="40"/>
      </w:pPr>
    </w:p>
    <w:p>
      <w:pPr>
        <w:pStyle w:val="Heading1"/>
      </w:pPr>
      <w:r>
        <w:t>3. Sample Information</w:t>
      </w:r>
    </w:p>
    <w:p>
      <w:pPr>
        <w:pStyle w:val="Heading2"/>
      </w:pPr>
      <w:r>
        <w:t>3.1 · Model, Serial Number, and Status of the Sample</w:t>
      </w:r>
    </w:p>
    <w:p>
      <w:pPr>
        <w:spacing w:after="160"/>
      </w:pPr>
      <w:r>
        <w:rPr>
          <w:b w:val="0"/>
          <w:i w:val="0"/>
          <w:sz w:val="21"/>
        </w:rPr>
        <w:t>Sample submitted: model GLD V2 (GLD_V2), serial number GLD2-0x1001. The sample powers on and runs in Inference (normal operation) mode. Full sample register in Section 3.3.</w:t>
      </w:r>
    </w:p>
    <w:p>
      <w:pPr>
        <w:spacing w:after="200"/>
      </w:pPr>
      <w:r>
        <w:rPr>
          <w:b/>
          <w:color w:val="4A4A4A"/>
          <w:sz w:val="19"/>
        </w:rPr>
        <w:t xml:space="preserve">Status: </w:t>
      </w:r>
      <w:r>
        <w:rPr>
          <w:i/>
          <w:color w:val="4A4A4A"/>
          <w:sz w:val="19"/>
        </w:rPr>
        <w:t>Available — sample identified (GLD2-0x1001); firmware/AI-model version to be recorded on the sample label.</w:t>
      </w:r>
    </w:p>
    <w:p>
      <w:pPr>
        <w:pStyle w:val="Heading2"/>
      </w:pPr>
      <w:r>
        <w:t>3.2 · Necessary Test Fixtures or Auxiliary Equipment</w:t>
      </w:r>
    </w:p>
    <w:p>
      <w:pPr>
        <w:spacing w:after="160"/>
      </w:pPr>
      <w:r>
        <w:rPr>
          <w:b w:val="0"/>
          <w:i w:val="0"/>
          <w:sz w:val="21"/>
        </w:rPr>
        <w:t>Equipment anticipated for commissioning and bench-level functional verification:</w:t>
      </w:r>
    </w:p>
    <w:tbl>
      <w:tblPr>
        <w:tblStyle w:val="TableGrid"/>
        <w:tblW w:type="auto" w:w="0"/>
        <w:jc w:val="center"/>
        <w:tblLook w:firstColumn="1" w:firstRow="1" w:lastColumn="0" w:lastRow="0" w:noHBand="0" w:noVBand="1" w:val="04A0"/>
      </w:tblPr>
      <w:tblGrid>
        <w:gridCol w:w="4873"/>
        <w:gridCol w:w="4873"/>
      </w:tblGrid>
      <w:tr>
        <w:tc>
          <w:tcPr>
            <w:tcW w:type="dxa" w:w="3312"/>
            <w:shd w:val="clear" w:color="auto" w:fill="EFEFEF"/>
          </w:tcPr>
          <w:p>
            <w:pPr>
              <w:spacing w:after="40"/>
            </w:pPr>
            <w:r>
              <w:rPr>
                <w:b/>
                <w:color w:val="4A4A4A"/>
                <w:sz w:val="18"/>
              </w:rPr>
              <w:t>Equipment</w:t>
            </w:r>
          </w:p>
        </w:tc>
        <w:tc>
          <w:tcPr>
            <w:tcW w:type="dxa" w:w="6048"/>
            <w:shd w:val="clear" w:color="auto" w:fill="EFEFEF"/>
          </w:tcPr>
          <w:p>
            <w:pPr>
              <w:spacing w:after="40"/>
            </w:pPr>
            <w:r>
              <w:rPr>
                <w:b/>
                <w:color w:val="4A4A4A"/>
                <w:sz w:val="18"/>
              </w:rPr>
              <w:t>Purpose</w:t>
            </w:r>
          </w:p>
        </w:tc>
      </w:tr>
      <w:tr>
        <w:tc>
          <w:tcPr>
            <w:tcW w:type="dxa" w:w="3312"/>
          </w:tcPr>
          <w:p>
            <w:pPr>
              <w:spacing w:after="40"/>
            </w:pPr>
            <w:r>
              <w:rPr>
                <w:sz w:val="19"/>
              </w:rPr>
              <w:t>Regulated 24 VDC power supply</w:t>
            </w:r>
          </w:p>
        </w:tc>
        <w:tc>
          <w:tcPr>
            <w:tcW w:type="dxa" w:w="6048"/>
          </w:tcPr>
          <w:p>
            <w:pPr>
              <w:spacing w:after="40"/>
            </w:pPr>
            <w:r>
              <w:rPr>
                <w:sz w:val="19"/>
              </w:rPr>
              <w:t>Provides a stable 24 VDC supply during commissioning and functional testing.</w:t>
            </w:r>
          </w:p>
        </w:tc>
      </w:tr>
      <w:tr>
        <w:tc>
          <w:tcPr>
            <w:tcW w:type="dxa" w:w="3312"/>
          </w:tcPr>
          <w:p>
            <w:pPr>
              <w:spacing w:after="40"/>
            </w:pPr>
            <w:r>
              <w:rPr>
                <w:sz w:val="19"/>
              </w:rPr>
              <w:t>Digital multimeter</w:t>
            </w:r>
          </w:p>
        </w:tc>
        <w:tc>
          <w:tcPr>
            <w:tcW w:type="dxa" w:w="6048"/>
          </w:tcPr>
          <w:p>
            <w:pPr>
              <w:spacing w:after="40"/>
            </w:pPr>
            <w:r>
              <w:rPr>
                <w:sz w:val="19"/>
              </w:rPr>
              <w:t>Measures actual voltage, verifies polarity and continuity, supports grounding/bonding verification.</w:t>
            </w:r>
          </w:p>
        </w:tc>
      </w:tr>
      <w:tr>
        <w:tc>
          <w:tcPr>
            <w:tcW w:type="dxa" w:w="3312"/>
          </w:tcPr>
          <w:p>
            <w:pPr>
              <w:spacing w:after="40"/>
            </w:pPr>
            <w:r>
              <w:rPr>
                <w:sz w:val="19"/>
              </w:rPr>
              <w:t>Calibrated gas source / gas test kit</w:t>
            </w:r>
          </w:p>
        </w:tc>
        <w:tc>
          <w:tcPr>
            <w:tcW w:type="dxa" w:w="6048"/>
          </w:tcPr>
          <w:p>
            <w:pPr>
              <w:spacing w:after="40"/>
            </w:pPr>
            <w:r>
              <w:rPr>
                <w:sz w:val="19"/>
              </w:rPr>
              <w:t>Provides the required gas types to verify correct sensor response.</w:t>
            </w:r>
          </w:p>
        </w:tc>
      </w:tr>
      <w:tr>
        <w:tc>
          <w:tcPr>
            <w:tcW w:type="dxa" w:w="3312"/>
          </w:tcPr>
          <w:p>
            <w:pPr>
              <w:spacing w:after="40"/>
            </w:pPr>
            <w:r>
              <w:rPr>
                <w:sz w:val="19"/>
              </w:rPr>
              <w:t>Gas test chamber</w:t>
            </w:r>
          </w:p>
        </w:tc>
        <w:tc>
          <w:tcPr>
            <w:tcW w:type="dxa" w:w="6048"/>
          </w:tcPr>
          <w:p>
            <w:pPr>
              <w:spacing w:after="40"/>
            </w:pPr>
            <w:r>
              <w:rPr>
                <w:sz w:val="19"/>
              </w:rPr>
              <w:t>Provides a controlled gas-exposure environment for reproducible test conditions.</w:t>
            </w:r>
          </w:p>
        </w:tc>
      </w:tr>
      <w:tr>
        <w:tc>
          <w:tcPr>
            <w:tcW w:type="dxa" w:w="3312"/>
          </w:tcPr>
          <w:p>
            <w:pPr>
              <w:spacing w:after="40"/>
            </w:pPr>
            <w:r>
              <w:rPr>
                <w:sz w:val="19"/>
              </w:rPr>
              <w:t>Alarm load / relay simulator</w:t>
            </w:r>
          </w:p>
        </w:tc>
        <w:tc>
          <w:tcPr>
            <w:tcW w:type="dxa" w:w="6048"/>
          </w:tcPr>
          <w:p>
            <w:pPr>
              <w:spacing w:after="40"/>
            </w:pPr>
            <w:r>
              <w:rPr>
                <w:sz w:val="19"/>
              </w:rPr>
              <w:t>Verifies that the alarm output and connected electrical load operate correctly.</w:t>
            </w:r>
          </w:p>
        </w:tc>
      </w:tr>
      <w:tr>
        <w:tc>
          <w:tcPr>
            <w:tcW w:type="dxa" w:w="3312"/>
          </w:tcPr>
          <w:p>
            <w:pPr>
              <w:spacing w:after="40"/>
            </w:pPr>
            <w:r>
              <w:rPr>
                <w:sz w:val="19"/>
              </w:rPr>
              <w:t>LoRa peer / gateway</w:t>
            </w:r>
          </w:p>
        </w:tc>
        <w:tc>
          <w:tcPr>
            <w:tcW w:type="dxa" w:w="6048"/>
          </w:tcPr>
          <w:p>
            <w:pPr>
              <w:spacing w:after="40"/>
            </w:pPr>
            <w:r>
              <w:rPr>
                <w:sz w:val="19"/>
              </w:rPr>
              <w:t>Verifies that data transmitted by the GLD is successfully received by the intended system.</w:t>
            </w:r>
          </w:p>
        </w:tc>
      </w:tr>
      <w:tr>
        <w:tc>
          <w:tcPr>
            <w:tcW w:type="dxa" w:w="3312"/>
          </w:tcPr>
          <w:p>
            <w:pPr>
              <w:spacing w:after="40"/>
            </w:pPr>
            <w:r>
              <w:rPr>
                <w:sz w:val="19"/>
              </w:rPr>
              <w:t>Laptop and approved software</w:t>
            </w:r>
          </w:p>
        </w:tc>
        <w:tc>
          <w:tcPr>
            <w:tcW w:type="dxa" w:w="6048"/>
          </w:tcPr>
          <w:p>
            <w:pPr>
              <w:spacing w:after="40"/>
            </w:pPr>
            <w:r>
              <w:rPr>
                <w:sz w:val="19"/>
              </w:rPr>
              <w:t>Reviews diagnostic information, configuration, logging, firmware identification; stores commissioning and test evidence.</w:t>
            </w:r>
          </w:p>
        </w:tc>
      </w:tr>
      <w:tr>
        <w:tc>
          <w:tcPr>
            <w:tcW w:type="dxa" w:w="3312"/>
          </w:tcPr>
          <w:p>
            <w:pPr>
              <w:spacing w:after="40"/>
            </w:pPr>
            <w:r>
              <w:rPr>
                <w:sz w:val="19"/>
              </w:rPr>
              <w:t>Calibrated torque screwdriver</w:t>
            </w:r>
          </w:p>
        </w:tc>
        <w:tc>
          <w:tcPr>
            <w:tcW w:type="dxa" w:w="6048"/>
          </w:tcPr>
          <w:p>
            <w:pPr>
              <w:spacing w:after="40"/>
            </w:pPr>
            <w:r>
              <w:rPr>
                <w:sz w:val="19"/>
              </w:rPr>
              <w:t>Ensures glands, terminals, enclosure fasteners, and grounding connections are tightened to approved torque values.</w:t>
            </w:r>
          </w:p>
        </w:tc>
      </w:tr>
    </w:tbl>
    <w:p>
      <w:pPr>
        <w:spacing w:after="120"/>
      </w:pPr>
    </w:p>
    <w:p>
      <w:pPr>
        <w:spacing w:after="200"/>
      </w:pPr>
      <w:r>
        <w:rPr>
          <w:b/>
          <w:color w:val="4A4A4A"/>
          <w:sz w:val="19"/>
        </w:rPr>
        <w:t xml:space="preserve">Status: </w:t>
      </w:r>
      <w:r>
        <w:rPr>
          <w:i/>
          <w:color w:val="4A4A4A"/>
          <w:sz w:val="19"/>
        </w:rPr>
        <w:t>Draft plan only — not yet executed, and not evidence of ExCB/laboratory test readiness.</w:t>
      </w:r>
    </w:p>
    <w:p>
      <w:pPr>
        <w:spacing w:before="200"/>
      </w:pPr>
    </w:p>
    <w:p>
      <w:r>
        <w:rPr>
          <w:i/>
          <w:color w:val="4A4A4A"/>
          <w:sz w:val="18"/>
        </w:rPr>
        <w:t>This is a working document, filled in against the internal working-draft template (IECEx ATEX Certification Information Requirements_Rev18092026.docx) supplied for this purpose. It follows that template's own section order rather than the more exhaustive item-by-item status tracking maintained in Dokumen_Teknis_Sertifikasi_GLD_IECEx_ATEX — the two documents are maintained in parallel and should stay consistent; treat the exhaustive tracking document as authoritative for item-level status where they differ. Data sources: the official product technical datasheet (Revision 4.0), internal technical specification documentation, EMC parameter measurement data, EasyEDA/JLCPCB design exports, and PT Galaksi Megatama Indonesia's legal documents.</w:t>
      </w:r>
    </w:p>
    <w:p>
      <w:pPr>
        <w:pStyle w:val="Heading4"/>
      </w:pPr>
      <w:r>
        <w:t>3.3 Sample register (current)</w:t>
      </w:r>
    </w:p>
    <w:tbl>
      <w:tblPr>
        <w:tblStyle w:val="TableGrid"/>
        <w:tblW w:type="auto" w:w="0"/>
        <w:jc w:val="center"/>
        <w:tblLayout w:type="fixed"/>
        <w:tblLook w:firstColumn="1" w:firstRow="1" w:lastColumn="0" w:lastRow="0" w:noHBand="0" w:noVBand="1" w:val="04A0"/>
        <w:tblLayout w:type="fixed"/>
      </w:tblPr>
      <w:tblGrid>
        <w:gridCol w:w="2592"/>
        <w:gridCol w:w="5184"/>
        <w:gridCol w:w="1728"/>
      </w:tblGrid>
      <w:tr>
        <w:trPr>
          <w:tblHeader w:val="true"/>
        </w:trPr>
        <w:tc>
          <w:tcPr>
            <w:tcW w:type="dxa" w:w="2592"/>
            <w:shd w:val="clear" w:fill="EAEFF9"/>
          </w:tcPr>
          <w:p>
            <w:pPr>
              <w:spacing w:after="20"/>
            </w:pPr>
            <w:r>
              <w:rPr>
                <w:b/>
                <w:color w:val="1B335F"/>
                <w:sz w:val="17"/>
              </w:rPr>
              <w:t>Item</w:t>
            </w:r>
          </w:p>
        </w:tc>
        <w:tc>
          <w:tcPr>
            <w:tcW w:type="dxa" w:w="5184"/>
            <w:shd w:val="clear" w:fill="EAEFF9"/>
          </w:tcPr>
          <w:p>
            <w:pPr>
              <w:spacing w:after="20"/>
            </w:pPr>
            <w:r>
              <w:rPr>
                <w:b/>
                <w:color w:val="1B335F"/>
                <w:sz w:val="17"/>
              </w:rPr>
              <w:t>Value</w:t>
            </w:r>
          </w:p>
        </w:tc>
        <w:tc>
          <w:tcPr>
            <w:tcW w:type="dxa" w:w="1728"/>
            <w:shd w:val="clear" w:fill="EAEFF9"/>
          </w:tcPr>
          <w:p>
            <w:pPr>
              <w:spacing w:after="20"/>
            </w:pPr>
            <w:r>
              <w:rPr>
                <w:b/>
                <w:color w:val="1B335F"/>
                <w:sz w:val="17"/>
              </w:rPr>
              <w:t>Status</w:t>
            </w:r>
          </w:p>
        </w:tc>
      </w:tr>
      <w:tr>
        <w:trPr>
          <w:cantSplit/>
        </w:trPr>
        <w:tc>
          <w:tcPr>
            <w:tcW w:type="dxa" w:w="2592"/>
          </w:tcPr>
          <w:p>
            <w:pPr>
              <w:spacing w:after="20"/>
            </w:pPr>
            <w:r>
              <w:rPr>
                <w:b/>
                <w:sz w:val="17"/>
              </w:rPr>
              <w:t>Model</w:t>
            </w:r>
          </w:p>
        </w:tc>
        <w:tc>
          <w:tcPr>
            <w:tcW w:type="dxa" w:w="5184"/>
          </w:tcPr>
          <w:p>
            <w:pPr>
              <w:spacing w:after="20"/>
            </w:pPr>
            <w:r>
              <w:rPr>
                <w:sz w:val="17"/>
              </w:rPr>
              <w:t>GLD V2 (GLD_V2)</w:t>
            </w:r>
          </w:p>
        </w:tc>
        <w:tc>
          <w:tcPr>
            <w:tcW w:type="dxa" w:w="1728"/>
            <w:shd w:val="clear" w:fill="E3F1E6"/>
          </w:tcPr>
          <w:p>
            <w:pPr>
              <w:spacing w:after="20"/>
            </w:pPr>
            <w:r>
              <w:rPr>
                <w:b/>
                <w:sz w:val="17"/>
              </w:rPr>
              <w:t>Final</w:t>
            </w:r>
          </w:p>
        </w:tc>
      </w:tr>
      <w:tr>
        <w:trPr>
          <w:cantSplit/>
        </w:trPr>
        <w:tc>
          <w:tcPr>
            <w:tcW w:type="dxa" w:w="2592"/>
          </w:tcPr>
          <w:p>
            <w:pPr>
              <w:spacing w:after="20"/>
            </w:pPr>
            <w:r>
              <w:rPr>
                <w:b/>
                <w:sz w:val="17"/>
              </w:rPr>
              <w:t>Serial number</w:t>
            </w:r>
          </w:p>
        </w:tc>
        <w:tc>
          <w:tcPr>
            <w:tcW w:type="dxa" w:w="5184"/>
          </w:tcPr>
          <w:p>
            <w:pPr>
              <w:spacing w:after="20"/>
            </w:pPr>
            <w:r>
              <w:rPr>
                <w:sz w:val="17"/>
              </w:rPr>
              <w:t>GLD2-0x1001</w:t>
            </w:r>
          </w:p>
        </w:tc>
        <w:tc>
          <w:tcPr>
            <w:tcW w:type="dxa" w:w="1728"/>
            <w:shd w:val="clear" w:fill="E3F1E6"/>
          </w:tcPr>
          <w:p>
            <w:pPr>
              <w:spacing w:after="20"/>
            </w:pPr>
            <w:r>
              <w:rPr>
                <w:b/>
                <w:sz w:val="17"/>
              </w:rPr>
              <w:t>Final</w:t>
            </w:r>
          </w:p>
        </w:tc>
      </w:tr>
      <w:tr>
        <w:trPr>
          <w:cantSplit/>
        </w:trPr>
        <w:tc>
          <w:tcPr>
            <w:tcW w:type="dxa" w:w="2592"/>
          </w:tcPr>
          <w:p>
            <w:pPr>
              <w:spacing w:after="20"/>
            </w:pPr>
            <w:r>
              <w:rPr>
                <w:b/>
                <w:sz w:val="17"/>
              </w:rPr>
              <w:t>Status</w:t>
            </w:r>
          </w:p>
        </w:tc>
        <w:tc>
          <w:tcPr>
            <w:tcW w:type="dxa" w:w="5184"/>
          </w:tcPr>
          <w:p>
            <w:pPr>
              <w:spacing w:after="20"/>
            </w:pPr>
            <w:r>
              <w:rPr>
                <w:sz w:val="17"/>
              </w:rPr>
              <w:t>Powers on and runs in Inference / normal operation mode</w:t>
            </w:r>
          </w:p>
        </w:tc>
        <w:tc>
          <w:tcPr>
            <w:tcW w:type="dxa" w:w="1728"/>
            <w:shd w:val="clear" w:fill="E3F1E6"/>
          </w:tcPr>
          <w:p>
            <w:pPr>
              <w:spacing w:after="20"/>
            </w:pPr>
            <w:r>
              <w:rPr>
                <w:b/>
                <w:sz w:val="17"/>
              </w:rPr>
              <w:t>Final</w:t>
            </w:r>
          </w:p>
        </w:tc>
      </w:tr>
      <w:tr>
        <w:trPr>
          <w:cantSplit/>
        </w:trPr>
        <w:tc>
          <w:tcPr>
            <w:tcW w:type="dxa" w:w="2592"/>
          </w:tcPr>
          <w:p>
            <w:pPr>
              <w:spacing w:after="20"/>
            </w:pPr>
            <w:r>
              <w:rPr>
                <w:b/>
                <w:sz w:val="17"/>
              </w:rPr>
              <w:t>Hardware revision</w:t>
            </w:r>
          </w:p>
        </w:tc>
        <w:tc>
          <w:tcPr>
            <w:tcW w:type="dxa" w:w="5184"/>
          </w:tcPr>
          <w:p>
            <w:pPr>
              <w:spacing w:after="20"/>
            </w:pPr>
            <w:r>
              <w:rPr>
                <w:sz w:val="17"/>
              </w:rPr>
              <w:t>Main board MotherBoardGLDVer2, schematic rev. 1.0 (19 Jul 2026)</w:t>
            </w:r>
          </w:p>
        </w:tc>
        <w:tc>
          <w:tcPr>
            <w:tcW w:type="dxa" w:w="1728"/>
            <w:shd w:val="clear" w:fill="E3F1E6"/>
          </w:tcPr>
          <w:p>
            <w:pPr>
              <w:spacing w:after="20"/>
            </w:pPr>
            <w:r>
              <w:rPr>
                <w:b/>
                <w:sz w:val="17"/>
              </w:rPr>
              <w:t>Final</w:t>
            </w:r>
          </w:p>
        </w:tc>
      </w:tr>
      <w:tr>
        <w:trPr>
          <w:cantSplit/>
        </w:trPr>
        <w:tc>
          <w:tcPr>
            <w:tcW w:type="dxa" w:w="2592"/>
          </w:tcPr>
          <w:p>
            <w:pPr>
              <w:spacing w:after="20"/>
            </w:pPr>
            <w:r>
              <w:rPr>
                <w:b/>
                <w:sz w:val="17"/>
              </w:rPr>
              <w:t>Firmware / AI model version</w:t>
            </w:r>
          </w:p>
        </w:tc>
        <w:tc>
          <w:tcPr>
            <w:tcW w:type="dxa" w:w="5184"/>
          </w:tcPr>
          <w:p>
            <w:pPr>
              <w:spacing w:after="20"/>
            </w:pPr>
            <w:r>
              <w:rPr>
                <w:sz w:val="17"/>
              </w:rPr>
              <w:t>To be recorded on the sample label and test record</w:t>
            </w:r>
          </w:p>
        </w:tc>
        <w:tc>
          <w:tcPr>
            <w:tcW w:type="dxa" w:w="1728"/>
            <w:shd w:val="clear" w:fill="FBEEE4"/>
          </w:tcPr>
          <w:p>
            <w:pPr>
              <w:spacing w:after="20"/>
            </w:pPr>
            <w:r>
              <w:rPr>
                <w:b/>
                <w:sz w:val="17"/>
              </w:rPr>
              <w:t>Open</w:t>
            </w:r>
          </w:p>
        </w:tc>
      </w:tr>
      <w:tr>
        <w:trPr>
          <w:cantSplit/>
        </w:trPr>
        <w:tc>
          <w:tcPr>
            <w:tcW w:type="dxa" w:w="2592"/>
          </w:tcPr>
          <w:p>
            <w:pPr>
              <w:spacing w:after="20"/>
            </w:pPr>
            <w:r>
              <w:rPr>
                <w:b/>
                <w:sz w:val="17"/>
              </w:rPr>
              <w:t>Configuration</w:t>
            </w:r>
          </w:p>
        </w:tc>
        <w:tc>
          <w:tcPr>
            <w:tcW w:type="dxa" w:w="5184"/>
          </w:tcPr>
          <w:p>
            <w:pPr>
              <w:spacing w:after="20"/>
            </w:pPr>
            <w:r>
              <w:rPr>
                <w:sz w:val="17"/>
              </w:rPr>
              <w:t>24 VDC production configuration; battery path status per decision EX-17</w:t>
            </w:r>
          </w:p>
        </w:tc>
        <w:tc>
          <w:tcPr>
            <w:tcW w:type="dxa" w:w="1728"/>
            <w:shd w:val="clear" w:fill="F8DADA"/>
          </w:tcPr>
          <w:p>
            <w:pPr>
              <w:spacing w:after="20"/>
            </w:pPr>
            <w:r>
              <w:rPr>
                <w:b/>
                <w:sz w:val="17"/>
              </w:rPr>
              <w:t>Decision required</w:t>
            </w:r>
          </w:p>
        </w:tc>
      </w:tr>
    </w:tbl>
    <w:p>
      <w:pPr>
        <w:spacing w:after="40"/>
      </w:pPr>
    </w:p>
    <w:p>
      <w:pPr>
        <w:keepNext/>
        <w:spacing w:after="60"/>
      </w:pPr>
      <w:r>
        <w:rPr>
          <w:b/>
          <w:i w:val="0"/>
          <w:color w:val="1B335F"/>
          <w:sz w:val="21"/>
        </w:rPr>
        <w:t>3.4 Test fixtures and auxiliary equipment (revision-guide list)</w:t>
      </w:r>
    </w:p>
    <w:tbl>
      <w:tblPr>
        <w:tblStyle w:val="TableGrid"/>
        <w:tblW w:type="auto" w:w="0"/>
        <w:jc w:val="center"/>
        <w:tblLayout w:type="fixed"/>
        <w:tblLook w:firstColumn="1" w:firstRow="1" w:lastColumn="0" w:lastRow="0" w:noHBand="0" w:noVBand="1" w:val="04A0"/>
        <w:tblLayout w:type="fixed"/>
      </w:tblPr>
      <w:tblGrid>
        <w:gridCol w:w="3168"/>
        <w:gridCol w:w="6336"/>
      </w:tblGrid>
      <w:tr>
        <w:trPr>
          <w:tblHeader w:val="true"/>
        </w:trPr>
        <w:tc>
          <w:tcPr>
            <w:tcW w:type="dxa" w:w="3168"/>
            <w:shd w:val="clear" w:fill="EAEFF9"/>
          </w:tcPr>
          <w:p>
            <w:pPr>
              <w:spacing w:after="20"/>
            </w:pPr>
            <w:r>
              <w:rPr>
                <w:b/>
                <w:color w:val="1B335F"/>
                <w:sz w:val="17"/>
              </w:rPr>
              <w:t>Equipment</w:t>
            </w:r>
          </w:p>
        </w:tc>
        <w:tc>
          <w:tcPr>
            <w:tcW w:type="dxa" w:w="6336"/>
            <w:shd w:val="clear" w:fill="EAEFF9"/>
          </w:tcPr>
          <w:p>
            <w:pPr>
              <w:spacing w:after="20"/>
            </w:pPr>
            <w:r>
              <w:rPr>
                <w:b/>
                <w:color w:val="1B335F"/>
                <w:sz w:val="17"/>
              </w:rPr>
              <w:t>Purpose</w:t>
            </w:r>
          </w:p>
        </w:tc>
      </w:tr>
      <w:tr>
        <w:trPr>
          <w:cantSplit/>
        </w:trPr>
        <w:tc>
          <w:tcPr>
            <w:tcW w:type="dxa" w:w="3168"/>
          </w:tcPr>
          <w:p>
            <w:pPr>
              <w:spacing w:after="20"/>
            </w:pPr>
            <w:r>
              <w:rPr>
                <w:b/>
                <w:sz w:val="17"/>
              </w:rPr>
              <w:t>Regulated 24 VDC power supply</w:t>
            </w:r>
          </w:p>
        </w:tc>
        <w:tc>
          <w:tcPr>
            <w:tcW w:type="dxa" w:w="6336"/>
          </w:tcPr>
          <w:p>
            <w:pPr>
              <w:spacing w:after="20"/>
            </w:pPr>
            <w:r>
              <w:rPr>
                <w:sz w:val="17"/>
              </w:rPr>
              <w:t>Stable 24 VDC during commissioning and functional testing</w:t>
            </w:r>
          </w:p>
        </w:tc>
      </w:tr>
      <w:tr>
        <w:trPr>
          <w:cantSplit/>
        </w:trPr>
        <w:tc>
          <w:tcPr>
            <w:tcW w:type="dxa" w:w="3168"/>
          </w:tcPr>
          <w:p>
            <w:pPr>
              <w:spacing w:after="20"/>
            </w:pPr>
            <w:r>
              <w:rPr>
                <w:b/>
                <w:sz w:val="17"/>
              </w:rPr>
              <w:t>Digital multimeter</w:t>
            </w:r>
          </w:p>
        </w:tc>
        <w:tc>
          <w:tcPr>
            <w:tcW w:type="dxa" w:w="6336"/>
          </w:tcPr>
          <w:p>
            <w:pPr>
              <w:spacing w:after="20"/>
            </w:pPr>
            <w:r>
              <w:rPr>
                <w:sz w:val="17"/>
              </w:rPr>
              <w:t>Voltage, polarity, continuity and grounding/bonding verification</w:t>
            </w:r>
          </w:p>
        </w:tc>
      </w:tr>
      <w:tr>
        <w:trPr>
          <w:cantSplit/>
        </w:trPr>
        <w:tc>
          <w:tcPr>
            <w:tcW w:type="dxa" w:w="3168"/>
          </w:tcPr>
          <w:p>
            <w:pPr>
              <w:spacing w:after="20"/>
            </w:pPr>
            <w:r>
              <w:rPr>
                <w:b/>
                <w:sz w:val="17"/>
              </w:rPr>
              <w:t>Calibrated gas source / gas test kit</w:t>
            </w:r>
          </w:p>
        </w:tc>
        <w:tc>
          <w:tcPr>
            <w:tcW w:type="dxa" w:w="6336"/>
          </w:tcPr>
          <w:p>
            <w:pPr>
              <w:spacing w:after="20"/>
            </w:pPr>
            <w:r>
              <w:rPr>
                <w:sz w:val="17"/>
              </w:rPr>
              <w:t>Verify sensor response to the target gases</w:t>
            </w:r>
          </w:p>
        </w:tc>
      </w:tr>
      <w:tr>
        <w:trPr>
          <w:cantSplit/>
        </w:trPr>
        <w:tc>
          <w:tcPr>
            <w:tcW w:type="dxa" w:w="3168"/>
          </w:tcPr>
          <w:p>
            <w:pPr>
              <w:spacing w:after="20"/>
            </w:pPr>
            <w:r>
              <w:rPr>
                <w:b/>
                <w:sz w:val="17"/>
              </w:rPr>
              <w:t>Gas test chamber</w:t>
            </w:r>
          </w:p>
        </w:tc>
        <w:tc>
          <w:tcPr>
            <w:tcW w:type="dxa" w:w="6336"/>
          </w:tcPr>
          <w:p>
            <w:pPr>
              <w:spacing w:after="20"/>
            </w:pPr>
            <w:r>
              <w:rPr>
                <w:sz w:val="17"/>
              </w:rPr>
              <w:t>Reproducible controlled gas exposure</w:t>
            </w:r>
          </w:p>
        </w:tc>
      </w:tr>
      <w:tr>
        <w:trPr>
          <w:cantSplit/>
        </w:trPr>
        <w:tc>
          <w:tcPr>
            <w:tcW w:type="dxa" w:w="3168"/>
          </w:tcPr>
          <w:p>
            <w:pPr>
              <w:spacing w:after="20"/>
            </w:pPr>
            <w:r>
              <w:rPr>
                <w:b/>
                <w:sz w:val="17"/>
              </w:rPr>
              <w:t>Alarm load / relay simulator</w:t>
            </w:r>
          </w:p>
        </w:tc>
        <w:tc>
          <w:tcPr>
            <w:tcW w:type="dxa" w:w="6336"/>
          </w:tcPr>
          <w:p>
            <w:pPr>
              <w:spacing w:after="20"/>
            </w:pPr>
            <w:r>
              <w:rPr>
                <w:sz w:val="17"/>
              </w:rPr>
              <w:t>Verify the 24 V alarm output (J2) and its load</w:t>
            </w:r>
          </w:p>
        </w:tc>
      </w:tr>
      <w:tr>
        <w:trPr>
          <w:cantSplit/>
        </w:trPr>
        <w:tc>
          <w:tcPr>
            <w:tcW w:type="dxa" w:w="3168"/>
          </w:tcPr>
          <w:p>
            <w:pPr>
              <w:spacing w:after="20"/>
            </w:pPr>
            <w:r>
              <w:rPr>
                <w:b/>
                <w:sz w:val="17"/>
              </w:rPr>
              <w:t>LoRa peer / gateway</w:t>
            </w:r>
          </w:p>
        </w:tc>
        <w:tc>
          <w:tcPr>
            <w:tcW w:type="dxa" w:w="6336"/>
          </w:tcPr>
          <w:p>
            <w:pPr>
              <w:spacing w:after="20"/>
            </w:pPr>
            <w:r>
              <w:rPr>
                <w:sz w:val="17"/>
              </w:rPr>
              <w:t>Verify reception of transmitted data</w:t>
            </w:r>
          </w:p>
        </w:tc>
      </w:tr>
      <w:tr>
        <w:trPr>
          <w:cantSplit/>
        </w:trPr>
        <w:tc>
          <w:tcPr>
            <w:tcW w:type="dxa" w:w="3168"/>
          </w:tcPr>
          <w:p>
            <w:pPr>
              <w:spacing w:after="20"/>
            </w:pPr>
            <w:r>
              <w:rPr>
                <w:b/>
                <w:sz w:val="17"/>
              </w:rPr>
              <w:t>Laptop and approved software</w:t>
            </w:r>
          </w:p>
        </w:tc>
        <w:tc>
          <w:tcPr>
            <w:tcW w:type="dxa" w:w="6336"/>
          </w:tcPr>
          <w:p>
            <w:pPr>
              <w:spacing w:after="20"/>
            </w:pPr>
            <w:r>
              <w:rPr>
                <w:sz w:val="17"/>
              </w:rPr>
              <w:t>Diagnostics, configuration, logging, firmware identification</w:t>
            </w:r>
          </w:p>
        </w:tc>
      </w:tr>
      <w:tr>
        <w:trPr>
          <w:cantSplit/>
        </w:trPr>
        <w:tc>
          <w:tcPr>
            <w:tcW w:type="dxa" w:w="3168"/>
          </w:tcPr>
          <w:p>
            <w:pPr>
              <w:spacing w:after="20"/>
            </w:pPr>
            <w:r>
              <w:rPr>
                <w:b/>
                <w:sz w:val="17"/>
              </w:rPr>
              <w:t>Calibrated torque screwdriver</w:t>
            </w:r>
          </w:p>
        </w:tc>
        <w:tc>
          <w:tcPr>
            <w:tcW w:type="dxa" w:w="6336"/>
          </w:tcPr>
          <w:p>
            <w:pPr>
              <w:spacing w:after="20"/>
            </w:pPr>
            <w:r>
              <w:rPr>
                <w:sz w:val="17"/>
              </w:rPr>
              <w:t>Glands, terminals, enclosure fasteners and grounding to approved torque</w:t>
            </w:r>
          </w:p>
        </w:tc>
      </w:tr>
    </w:tbl>
    <w:p>
      <w:pPr>
        <w:spacing w:after="40"/>
      </w:pPr>
    </w:p>
    <w:p>
      <w:r>
        <w:br w:type="page"/>
      </w:r>
    </w:p>
    <w:p>
      <w:pPr>
        <w:pStyle w:val="Heading1"/>
      </w:pPr>
      <w:r>
        <w:t>Annex · Compliance matrix against the reviewer's revision guide</w:t>
      </w:r>
    </w:p>
    <w:p>
      <w:pPr>
        <w:spacing w:after="100"/>
      </w:pPr>
      <w:r>
        <w:rPr>
          <w:b w:val="0"/>
          <w:i w:val="0"/>
          <w:color w:val="262321"/>
          <w:sz w:val="19"/>
        </w:rPr>
        <w:t>Each requirement of the revision guide, where it is addressed in this document, and its status.</w:t>
      </w:r>
    </w:p>
    <w:tbl>
      <w:tblPr>
        <w:tblStyle w:val="TableGrid"/>
        <w:tblW w:type="auto" w:w="0"/>
        <w:jc w:val="center"/>
        <w:tblLayout w:type="fixed"/>
        <w:tblLook w:firstColumn="1" w:firstRow="1" w:lastColumn="0" w:lastRow="0" w:noHBand="0" w:noVBand="1" w:val="04A0"/>
        <w:tblLayout w:type="fixed"/>
      </w:tblPr>
      <w:tblGrid>
        <w:gridCol w:w="1296"/>
        <w:gridCol w:w="4031"/>
        <w:gridCol w:w="1872"/>
        <w:gridCol w:w="2304"/>
      </w:tblGrid>
      <w:tr>
        <w:trPr>
          <w:tblHeader w:val="true"/>
        </w:trPr>
        <w:tc>
          <w:tcPr>
            <w:tcW w:type="dxa" w:w="1296"/>
            <w:shd w:val="clear" w:fill="EAEFF9"/>
          </w:tcPr>
          <w:p>
            <w:pPr>
              <w:spacing w:after="20"/>
            </w:pPr>
            <w:r>
              <w:rPr>
                <w:b/>
                <w:color w:val="1B335F"/>
                <w:sz w:val="16"/>
              </w:rPr>
              <w:t>Guide item</w:t>
            </w:r>
          </w:p>
        </w:tc>
        <w:tc>
          <w:tcPr>
            <w:tcW w:type="dxa" w:w="4032"/>
            <w:shd w:val="clear" w:fill="EAEFF9"/>
          </w:tcPr>
          <w:p>
            <w:pPr>
              <w:spacing w:after="20"/>
            </w:pPr>
            <w:r>
              <w:rPr>
                <w:b/>
                <w:color w:val="1B335F"/>
                <w:sz w:val="16"/>
              </w:rPr>
              <w:t>Requirement</w:t>
            </w:r>
          </w:p>
        </w:tc>
        <w:tc>
          <w:tcPr>
            <w:tcW w:type="dxa" w:w="1872"/>
            <w:shd w:val="clear" w:fill="EAEFF9"/>
          </w:tcPr>
          <w:p>
            <w:pPr>
              <w:spacing w:after="20"/>
            </w:pPr>
            <w:r>
              <w:rPr>
                <w:b/>
                <w:color w:val="1B335F"/>
                <w:sz w:val="16"/>
              </w:rPr>
              <w:t>Section</w:t>
            </w:r>
          </w:p>
        </w:tc>
        <w:tc>
          <w:tcPr>
            <w:tcW w:type="dxa" w:w="2304"/>
            <w:shd w:val="clear" w:fill="EAEFF9"/>
          </w:tcPr>
          <w:p>
            <w:pPr>
              <w:spacing w:after="20"/>
            </w:pPr>
            <w:r>
              <w:rPr>
                <w:b/>
                <w:color w:val="1B335F"/>
                <w:sz w:val="16"/>
              </w:rPr>
              <w:t>Status</w:t>
            </w:r>
          </w:p>
        </w:tc>
      </w:tr>
      <w:tr>
        <w:trPr>
          <w:cantSplit/>
        </w:trPr>
        <w:tc>
          <w:tcPr>
            <w:tcW w:type="dxa" w:w="1296"/>
          </w:tcPr>
          <w:p>
            <w:pPr>
              <w:spacing w:after="20"/>
            </w:pPr>
            <w:r>
              <w:rPr>
                <w:b/>
                <w:sz w:val="16"/>
              </w:rPr>
              <w:t>1.1</w:t>
            </w:r>
          </w:p>
        </w:tc>
        <w:tc>
          <w:tcPr>
            <w:tcW w:type="dxa" w:w="4032"/>
          </w:tcPr>
          <w:p>
            <w:pPr>
              <w:spacing w:after="20"/>
            </w:pPr>
            <w:r>
              <w:rPr>
                <w:sz w:val="16"/>
              </w:rPr>
              <w:t>Application form</w:t>
            </w:r>
          </w:p>
        </w:tc>
        <w:tc>
          <w:tcPr>
            <w:tcW w:type="dxa" w:w="1872"/>
          </w:tcPr>
          <w:p>
            <w:pPr>
              <w:spacing w:after="20"/>
            </w:pPr>
            <w:r>
              <w:rPr>
                <w:sz w:val="16"/>
              </w:rPr>
              <w:t>1.1</w:t>
            </w:r>
          </w:p>
        </w:tc>
        <w:tc>
          <w:tcPr>
            <w:tcW w:type="dxa" w:w="2304"/>
            <w:shd w:val="clear" w:fill="E3F1E6"/>
          </w:tcPr>
          <w:p>
            <w:pPr>
              <w:spacing w:after="20"/>
            </w:pPr>
            <w:r>
              <w:rPr>
                <w:b/>
                <w:sz w:val="16"/>
              </w:rPr>
              <w:t>Final</w:t>
            </w:r>
          </w:p>
        </w:tc>
      </w:tr>
      <w:tr>
        <w:trPr>
          <w:cantSplit/>
        </w:trPr>
        <w:tc>
          <w:tcPr>
            <w:tcW w:type="dxa" w:w="1296"/>
          </w:tcPr>
          <w:p>
            <w:pPr>
              <w:spacing w:after="20"/>
            </w:pPr>
            <w:r>
              <w:rPr>
                <w:b/>
                <w:sz w:val="16"/>
              </w:rPr>
              <w:t>1.2</w:t>
            </w:r>
          </w:p>
        </w:tc>
        <w:tc>
          <w:tcPr>
            <w:tcW w:type="dxa" w:w="4032"/>
          </w:tcPr>
          <w:p>
            <w:pPr>
              <w:spacing w:after="20"/>
            </w:pPr>
            <w:r>
              <w:rPr>
                <w:sz w:val="16"/>
              </w:rPr>
              <w:t>Business licence / registration</w:t>
            </w:r>
          </w:p>
        </w:tc>
        <w:tc>
          <w:tcPr>
            <w:tcW w:type="dxa" w:w="1872"/>
          </w:tcPr>
          <w:p>
            <w:pPr>
              <w:spacing w:after="20"/>
            </w:pPr>
            <w:r>
              <w:rPr>
                <w:sz w:val="16"/>
              </w:rPr>
              <w:t>1.2</w:t>
            </w:r>
          </w:p>
        </w:tc>
        <w:tc>
          <w:tcPr>
            <w:tcW w:type="dxa" w:w="2304"/>
            <w:shd w:val="clear" w:fill="E3F1E6"/>
          </w:tcPr>
          <w:p>
            <w:pPr>
              <w:spacing w:after="20"/>
            </w:pPr>
            <w:r>
              <w:rPr>
                <w:b/>
                <w:sz w:val="16"/>
              </w:rPr>
              <w:t>Final</w:t>
            </w:r>
          </w:p>
        </w:tc>
      </w:tr>
      <w:tr>
        <w:trPr>
          <w:cantSplit/>
        </w:trPr>
        <w:tc>
          <w:tcPr>
            <w:tcW w:type="dxa" w:w="1296"/>
          </w:tcPr>
          <w:p>
            <w:pPr>
              <w:spacing w:after="20"/>
            </w:pPr>
            <w:r>
              <w:rPr>
                <w:b/>
                <w:sz w:val="16"/>
              </w:rPr>
              <w:t>1.3</w:t>
            </w:r>
          </w:p>
        </w:tc>
        <w:tc>
          <w:tcPr>
            <w:tcW w:type="dxa" w:w="4032"/>
          </w:tcPr>
          <w:p>
            <w:pPr>
              <w:spacing w:after="20"/>
            </w:pPr>
            <w:r>
              <w:rPr>
                <w:sz w:val="16"/>
              </w:rPr>
              <w:t>Organisation chart and contacts</w:t>
            </w:r>
          </w:p>
        </w:tc>
        <w:tc>
          <w:tcPr>
            <w:tcW w:type="dxa" w:w="1872"/>
          </w:tcPr>
          <w:p>
            <w:pPr>
              <w:spacing w:after="20"/>
            </w:pPr>
            <w:r>
              <w:rPr>
                <w:sz w:val="16"/>
              </w:rPr>
              <w:t>1.3</w:t>
            </w:r>
          </w:p>
        </w:tc>
        <w:tc>
          <w:tcPr>
            <w:tcW w:type="dxa" w:w="2304"/>
            <w:shd w:val="clear" w:fill="FFF4D6"/>
          </w:tcPr>
          <w:p>
            <w:pPr>
              <w:spacing w:after="20"/>
            </w:pPr>
            <w:r>
              <w:rPr>
                <w:b/>
                <w:sz w:val="16"/>
              </w:rPr>
              <w:t>Partial — QA/production functions to add</w:t>
            </w:r>
          </w:p>
        </w:tc>
      </w:tr>
      <w:tr>
        <w:trPr>
          <w:cantSplit/>
        </w:trPr>
        <w:tc>
          <w:tcPr>
            <w:tcW w:type="dxa" w:w="1296"/>
          </w:tcPr>
          <w:p>
            <w:pPr>
              <w:spacing w:after="20"/>
            </w:pPr>
            <w:r>
              <w:rPr>
                <w:b/>
                <w:sz w:val="16"/>
              </w:rPr>
              <w:t>1.4</w:t>
            </w:r>
          </w:p>
        </w:tc>
        <w:tc>
          <w:tcPr>
            <w:tcW w:type="dxa" w:w="4032"/>
          </w:tcPr>
          <w:p>
            <w:pPr>
              <w:spacing w:after="20"/>
            </w:pPr>
            <w:r>
              <w:rPr>
                <w:sz w:val="16"/>
              </w:rPr>
              <w:t>Plant address and facilities</w:t>
            </w:r>
          </w:p>
        </w:tc>
        <w:tc>
          <w:tcPr>
            <w:tcW w:type="dxa" w:w="1872"/>
          </w:tcPr>
          <w:p>
            <w:pPr>
              <w:spacing w:after="20"/>
            </w:pPr>
            <w:r>
              <w:rPr>
                <w:sz w:val="16"/>
              </w:rPr>
              <w:t>1.4</w:t>
            </w:r>
          </w:p>
        </w:tc>
        <w:tc>
          <w:tcPr>
            <w:tcW w:type="dxa" w:w="2304"/>
            <w:shd w:val="clear" w:fill="FFF4D6"/>
          </w:tcPr>
          <w:p>
            <w:pPr>
              <w:spacing w:after="20"/>
            </w:pPr>
            <w:r>
              <w:rPr>
                <w:b/>
                <w:sz w:val="16"/>
              </w:rPr>
              <w:t>Partial — PCB assembler to add</w:t>
            </w:r>
          </w:p>
        </w:tc>
      </w:tr>
      <w:tr>
        <w:trPr>
          <w:cantSplit/>
        </w:trPr>
        <w:tc>
          <w:tcPr>
            <w:tcW w:type="dxa" w:w="1296"/>
          </w:tcPr>
          <w:p>
            <w:pPr>
              <w:spacing w:after="20"/>
            </w:pPr>
            <w:r>
              <w:rPr>
                <w:b/>
                <w:sz w:val="16"/>
              </w:rPr>
              <w:t>1.5</w:t>
            </w:r>
          </w:p>
        </w:tc>
        <w:tc>
          <w:tcPr>
            <w:tcW w:type="dxa" w:w="4032"/>
          </w:tcPr>
          <w:p>
            <w:pPr>
              <w:spacing w:after="20"/>
            </w:pPr>
            <w:r>
              <w:rPr>
                <w:sz w:val="16"/>
              </w:rPr>
              <w:t>ISO 9001</w:t>
            </w:r>
          </w:p>
        </w:tc>
        <w:tc>
          <w:tcPr>
            <w:tcW w:type="dxa" w:w="1872"/>
          </w:tcPr>
          <w:p>
            <w:pPr>
              <w:spacing w:after="20"/>
            </w:pPr>
            <w:r>
              <w:rPr>
                <w:sz w:val="16"/>
              </w:rPr>
              <w:t>1.5</w:t>
            </w:r>
          </w:p>
        </w:tc>
        <w:tc>
          <w:tcPr>
            <w:tcW w:type="dxa" w:w="2304"/>
            <w:shd w:val="clear" w:fill="FBEEE4"/>
          </w:tcPr>
          <w:p>
            <w:pPr>
              <w:spacing w:after="20"/>
            </w:pPr>
            <w:r>
              <w:rPr>
                <w:b/>
                <w:sz w:val="16"/>
              </w:rPr>
              <w:t>Open — audit planned Oct 2026</w:t>
            </w:r>
          </w:p>
        </w:tc>
      </w:tr>
      <w:tr>
        <w:trPr>
          <w:cantSplit/>
        </w:trPr>
        <w:tc>
          <w:tcPr>
            <w:tcW w:type="dxa" w:w="1296"/>
          </w:tcPr>
          <w:p>
            <w:pPr>
              <w:spacing w:after="20"/>
            </w:pPr>
            <w:r>
              <w:rPr>
                <w:b/>
                <w:sz w:val="16"/>
              </w:rPr>
              <w:t>2.1–2.3</w:t>
            </w:r>
          </w:p>
        </w:tc>
        <w:tc>
          <w:tcPr>
            <w:tcW w:type="dxa" w:w="4032"/>
          </w:tcPr>
          <w:p>
            <w:pPr>
              <w:spacing w:after="20"/>
            </w:pPr>
            <w:r>
              <w:rPr>
                <w:sz w:val="16"/>
              </w:rPr>
              <w:t>Product description, specification, technical parameters</w:t>
            </w:r>
          </w:p>
        </w:tc>
        <w:tc>
          <w:tcPr>
            <w:tcW w:type="dxa" w:w="1872"/>
          </w:tcPr>
          <w:p>
            <w:pPr>
              <w:spacing w:after="20"/>
            </w:pPr>
            <w:r>
              <w:rPr>
                <w:sz w:val="16"/>
              </w:rPr>
              <w:t>2.1–2.3</w:t>
            </w:r>
          </w:p>
        </w:tc>
        <w:tc>
          <w:tcPr>
            <w:tcW w:type="dxa" w:w="2304"/>
            <w:shd w:val="clear" w:fill="E3F1E6"/>
          </w:tcPr>
          <w:p>
            <w:pPr>
              <w:spacing w:after="20"/>
            </w:pPr>
            <w:r>
              <w:rPr>
                <w:b/>
                <w:sz w:val="16"/>
              </w:rPr>
              <w:t>Final</w:t>
            </w:r>
          </w:p>
        </w:tc>
      </w:tr>
      <w:tr>
        <w:trPr>
          <w:cantSplit/>
        </w:trPr>
        <w:tc>
          <w:tcPr>
            <w:tcW w:type="dxa" w:w="1296"/>
          </w:tcPr>
          <w:p>
            <w:pPr>
              <w:spacing w:after="20"/>
            </w:pPr>
            <w:r>
              <w:rPr>
                <w:b/>
                <w:sz w:val="16"/>
              </w:rPr>
              <w:t>2.4</w:t>
            </w:r>
          </w:p>
        </w:tc>
        <w:tc>
          <w:tcPr>
            <w:tcW w:type="dxa" w:w="4032"/>
          </w:tcPr>
          <w:p>
            <w:pPr>
              <w:spacing w:after="20"/>
            </w:pPr>
            <w:r>
              <w:rPr>
                <w:sz w:val="16"/>
              </w:rPr>
              <w:t>Photo set (12 views)</w:t>
            </w:r>
          </w:p>
        </w:tc>
        <w:tc>
          <w:tcPr>
            <w:tcW w:type="dxa" w:w="1872"/>
          </w:tcPr>
          <w:p>
            <w:pPr>
              <w:spacing w:after="20"/>
            </w:pPr>
            <w:r>
              <w:rPr>
                <w:sz w:val="16"/>
              </w:rPr>
              <w:t>2.4, 2.4.1, 2.4.2</w:t>
            </w:r>
          </w:p>
        </w:tc>
        <w:tc>
          <w:tcPr>
            <w:tcW w:type="dxa" w:w="2304"/>
            <w:shd w:val="clear" w:fill="FFF4D6"/>
          </w:tcPr>
          <w:p>
            <w:pPr>
              <w:spacing w:after="20"/>
            </w:pPr>
            <w:r>
              <w:rPr>
                <w:b/>
                <w:sz w:val="16"/>
              </w:rPr>
              <w:t>Partial — 9/12 available; PCB underside, grounding-lug and antenna-bulkhead close-ups to add</w:t>
            </w:r>
          </w:p>
        </w:tc>
      </w:tr>
      <w:tr>
        <w:trPr>
          <w:cantSplit/>
        </w:trPr>
        <w:tc>
          <w:tcPr>
            <w:tcW w:type="dxa" w:w="1296"/>
          </w:tcPr>
          <w:p>
            <w:pPr>
              <w:spacing w:after="20"/>
            </w:pPr>
            <w:r>
              <w:rPr>
                <w:b/>
                <w:sz w:val="16"/>
              </w:rPr>
              <w:t>2.5</w:t>
            </w:r>
          </w:p>
        </w:tc>
        <w:tc>
          <w:tcPr>
            <w:tcW w:type="dxa" w:w="4032"/>
          </w:tcPr>
          <w:p>
            <w:pPr>
              <w:spacing w:after="20"/>
            </w:pPr>
            <w:r>
              <w:rPr>
                <w:sz w:val="16"/>
              </w:rPr>
              <w:t>Intended use and environment (IIC, T4, Zone 1, −20…+60 °C)</w:t>
            </w:r>
          </w:p>
        </w:tc>
        <w:tc>
          <w:tcPr>
            <w:tcW w:type="dxa" w:w="1872"/>
          </w:tcPr>
          <w:p>
            <w:pPr>
              <w:spacing w:after="20"/>
            </w:pPr>
            <w:r>
              <w:rPr>
                <w:sz w:val="16"/>
              </w:rPr>
              <w:t>2.5</w:t>
            </w:r>
          </w:p>
        </w:tc>
        <w:tc>
          <w:tcPr>
            <w:tcW w:type="dxa" w:w="2304"/>
            <w:shd w:val="clear" w:fill="E3F1E6"/>
          </w:tcPr>
          <w:p>
            <w:pPr>
              <w:spacing w:after="20"/>
            </w:pPr>
            <w:r>
              <w:rPr>
                <w:b/>
                <w:sz w:val="16"/>
              </w:rPr>
              <w:t>Final (proposed classification)</w:t>
            </w:r>
          </w:p>
        </w:tc>
      </w:tr>
      <w:tr>
        <w:trPr>
          <w:cantSplit/>
        </w:trPr>
        <w:tc>
          <w:tcPr>
            <w:tcW w:type="dxa" w:w="1296"/>
          </w:tcPr>
          <w:p>
            <w:pPr>
              <w:spacing w:after="20"/>
            </w:pPr>
            <w:r>
              <w:rPr>
                <w:b/>
                <w:sz w:val="16"/>
              </w:rPr>
              <w:t>6(a).1–6(a).6</w:t>
            </w:r>
          </w:p>
        </w:tc>
        <w:tc>
          <w:tcPr>
            <w:tcW w:type="dxa" w:w="4032"/>
          </w:tcPr>
          <w:p>
            <w:pPr>
              <w:spacing w:after="20"/>
            </w:pPr>
            <w:r>
              <w:rPr>
                <w:sz w:val="16"/>
              </w:rPr>
              <w:t>Assembly, section, enclosure, mesh, MQ arrangement, fan drawings</w:t>
            </w:r>
          </w:p>
        </w:tc>
        <w:tc>
          <w:tcPr>
            <w:tcW w:type="dxa" w:w="1872"/>
          </w:tcPr>
          <w:p>
            <w:pPr>
              <w:spacing w:after="20"/>
            </w:pPr>
            <w:r>
              <w:rPr>
                <w:sz w:val="16"/>
              </w:rPr>
              <w:t>2.6.a, 2.6.a.1</w:t>
            </w:r>
          </w:p>
        </w:tc>
        <w:tc>
          <w:tcPr>
            <w:tcW w:type="dxa" w:w="2304"/>
            <w:shd w:val="clear" w:fill="FFF4D6"/>
          </w:tcPr>
          <w:p>
            <w:pPr>
              <w:spacing w:after="20"/>
            </w:pPr>
            <w:r>
              <w:rPr>
                <w:b/>
                <w:sz w:val="16"/>
              </w:rPr>
              <w:t>Partial — controlled toleranced drawings to issue</w:t>
            </w:r>
          </w:p>
        </w:tc>
      </w:tr>
      <w:tr>
        <w:trPr>
          <w:cantSplit/>
        </w:trPr>
        <w:tc>
          <w:tcPr>
            <w:tcW w:type="dxa" w:w="1296"/>
          </w:tcPr>
          <w:p>
            <w:pPr>
              <w:spacing w:after="20"/>
            </w:pPr>
            <w:r>
              <w:rPr>
                <w:b/>
                <w:sz w:val="16"/>
              </w:rPr>
              <w:t>6(a).7</w:t>
            </w:r>
          </w:p>
        </w:tc>
        <w:tc>
          <w:tcPr>
            <w:tcW w:type="dxa" w:w="4032"/>
          </w:tcPr>
          <w:p>
            <w:pPr>
              <w:spacing w:after="20"/>
            </w:pPr>
            <w:r>
              <w:rPr>
                <w:sz w:val="16"/>
              </w:rPr>
              <w:t>Main PCB schematic</w:t>
            </w:r>
          </w:p>
        </w:tc>
        <w:tc>
          <w:tcPr>
            <w:tcW w:type="dxa" w:w="1872"/>
          </w:tcPr>
          <w:p>
            <w:pPr>
              <w:spacing w:after="20"/>
            </w:pPr>
            <w:r>
              <w:rPr>
                <w:sz w:val="16"/>
              </w:rPr>
              <w:t>2.6.a.7</w:t>
            </w:r>
          </w:p>
        </w:tc>
        <w:tc>
          <w:tcPr>
            <w:tcW w:type="dxa" w:w="2304"/>
            <w:shd w:val="clear" w:fill="E3F1E6"/>
          </w:tcPr>
          <w:p>
            <w:pPr>
              <w:spacing w:after="20"/>
            </w:pPr>
            <w:r>
              <w:rPr>
                <w:b/>
                <w:sz w:val="16"/>
              </w:rPr>
              <w:t>Final (main board); sensor module open</w:t>
            </w:r>
          </w:p>
        </w:tc>
      </w:tr>
      <w:tr>
        <w:trPr>
          <w:cantSplit/>
        </w:trPr>
        <w:tc>
          <w:tcPr>
            <w:tcW w:type="dxa" w:w="1296"/>
          </w:tcPr>
          <w:p>
            <w:pPr>
              <w:spacing w:after="20"/>
            </w:pPr>
            <w:r>
              <w:rPr>
                <w:b/>
                <w:sz w:val="16"/>
              </w:rPr>
              <w:t>6(a).8</w:t>
            </w:r>
          </w:p>
        </w:tc>
        <w:tc>
          <w:tcPr>
            <w:tcW w:type="dxa" w:w="4032"/>
          </w:tcPr>
          <w:p>
            <w:pPr>
              <w:spacing w:after="20"/>
            </w:pPr>
            <w:r>
              <w:rPr>
                <w:sz w:val="16"/>
              </w:rPr>
              <w:t>PCB layout</w:t>
            </w:r>
          </w:p>
        </w:tc>
        <w:tc>
          <w:tcPr>
            <w:tcW w:type="dxa" w:w="1872"/>
          </w:tcPr>
          <w:p>
            <w:pPr>
              <w:spacing w:after="20"/>
            </w:pPr>
            <w:r>
              <w:rPr>
                <w:sz w:val="16"/>
              </w:rPr>
              <w:t>2.6.a.8</w:t>
            </w:r>
          </w:p>
        </w:tc>
        <w:tc>
          <w:tcPr>
            <w:tcW w:type="dxa" w:w="2304"/>
            <w:shd w:val="clear" w:fill="FFF4D6"/>
          </w:tcPr>
          <w:p>
            <w:pPr>
              <w:spacing w:after="20"/>
            </w:pPr>
            <w:r>
              <w:rPr>
                <w:b/>
                <w:sz w:val="16"/>
              </w:rPr>
              <w:t>Partial — rev/date, laminate data, sensor module</w:t>
            </w:r>
          </w:p>
        </w:tc>
      </w:tr>
      <w:tr>
        <w:trPr>
          <w:cantSplit/>
        </w:trPr>
        <w:tc>
          <w:tcPr>
            <w:tcW w:type="dxa" w:w="1296"/>
          </w:tcPr>
          <w:p>
            <w:pPr>
              <w:spacing w:after="20"/>
            </w:pPr>
            <w:r>
              <w:rPr>
                <w:b/>
                <w:sz w:val="16"/>
              </w:rPr>
              <w:t>6(a).9–6(a).13</w:t>
            </w:r>
          </w:p>
        </w:tc>
        <w:tc>
          <w:tcPr>
            <w:tcW w:type="dxa" w:w="4032"/>
          </w:tcPr>
          <w:p>
            <w:pPr>
              <w:spacing w:after="20"/>
            </w:pPr>
            <w:r>
              <w:rPr>
                <w:sz w:val="16"/>
              </w:rPr>
              <w:t>Terminal, grounding, cable entry, antenna, alarm drawings</w:t>
            </w:r>
          </w:p>
        </w:tc>
        <w:tc>
          <w:tcPr>
            <w:tcW w:type="dxa" w:w="1872"/>
          </w:tcPr>
          <w:p>
            <w:pPr>
              <w:spacing w:after="20"/>
            </w:pPr>
            <w:r>
              <w:rPr>
                <w:sz w:val="16"/>
              </w:rPr>
              <w:t>2.6.a.1 (M-D14, M-D15, M-D5)</w:t>
            </w:r>
          </w:p>
        </w:tc>
        <w:tc>
          <w:tcPr>
            <w:tcW w:type="dxa" w:w="2304"/>
            <w:shd w:val="clear" w:fill="FFF4D6"/>
          </w:tcPr>
          <w:p>
            <w:pPr>
              <w:spacing w:after="20"/>
            </w:pPr>
            <w:r>
              <w:rPr>
                <w:b/>
                <w:sz w:val="16"/>
              </w:rPr>
              <w:t>Partial — dimensioned drawings to issue</w:t>
            </w:r>
          </w:p>
        </w:tc>
      </w:tr>
      <w:tr>
        <w:trPr>
          <w:cantSplit/>
        </w:trPr>
        <w:tc>
          <w:tcPr>
            <w:tcW w:type="dxa" w:w="1296"/>
          </w:tcPr>
          <w:p>
            <w:pPr>
              <w:spacing w:after="20"/>
            </w:pPr>
            <w:r>
              <w:rPr>
                <w:b/>
                <w:sz w:val="16"/>
              </w:rPr>
              <w:t>6.b</w:t>
            </w:r>
          </w:p>
        </w:tc>
        <w:tc>
          <w:tcPr>
            <w:tcW w:type="dxa" w:w="4032"/>
          </w:tcPr>
          <w:p>
            <w:pPr>
              <w:spacing w:after="20"/>
            </w:pPr>
            <w:r>
              <w:rPr>
                <w:sz w:val="16"/>
              </w:rPr>
              <w:t>Ex-critical BOM (EX-01…17, EL-01…13)</w:t>
            </w:r>
          </w:p>
        </w:tc>
        <w:tc>
          <w:tcPr>
            <w:tcW w:type="dxa" w:w="1872"/>
          </w:tcPr>
          <w:p>
            <w:pPr>
              <w:spacing w:after="20"/>
            </w:pPr>
            <w:r>
              <w:rPr>
                <w:sz w:val="16"/>
              </w:rPr>
              <w:t>2.6.b, 2.6.b.1–2</w:t>
            </w:r>
          </w:p>
        </w:tc>
        <w:tc>
          <w:tcPr>
            <w:tcW w:type="dxa" w:w="2304"/>
            <w:shd w:val="clear" w:fill="FFF4D6"/>
          </w:tcPr>
          <w:p>
            <w:pPr>
              <w:spacing w:after="20"/>
            </w:pPr>
            <w:r>
              <w:rPr>
                <w:b/>
                <w:sz w:val="16"/>
              </w:rPr>
              <w:t>Partial</w:t>
            </w:r>
          </w:p>
        </w:tc>
      </w:tr>
      <w:tr>
        <w:trPr>
          <w:cantSplit/>
        </w:trPr>
        <w:tc>
          <w:tcPr>
            <w:tcW w:type="dxa" w:w="1296"/>
          </w:tcPr>
          <w:p>
            <w:pPr>
              <w:spacing w:after="20"/>
            </w:pPr>
            <w:r>
              <w:rPr>
                <w:b/>
                <w:sz w:val="16"/>
              </w:rPr>
              <w:t>6.c</w:t>
            </w:r>
          </w:p>
        </w:tc>
        <w:tc>
          <w:tcPr>
            <w:tcW w:type="dxa" w:w="4032"/>
          </w:tcPr>
          <w:p>
            <w:pPr>
              <w:spacing w:after="20"/>
            </w:pPr>
            <w:r>
              <w:rPr>
                <w:sz w:val="16"/>
              </w:rPr>
              <w:t>Non-metallic materials (MAT register)</w:t>
            </w:r>
          </w:p>
        </w:tc>
        <w:tc>
          <w:tcPr>
            <w:tcW w:type="dxa" w:w="1872"/>
          </w:tcPr>
          <w:p>
            <w:pPr>
              <w:spacing w:after="20"/>
            </w:pPr>
            <w:r>
              <w:rPr>
                <w:sz w:val="16"/>
              </w:rPr>
              <w:t>2.6.c, 2.6.c.1</w:t>
            </w:r>
          </w:p>
        </w:tc>
        <w:tc>
          <w:tcPr>
            <w:tcW w:type="dxa" w:w="2304"/>
            <w:shd w:val="clear" w:fill="FBEEE4"/>
          </w:tcPr>
          <w:p>
            <w:pPr>
              <w:spacing w:after="20"/>
            </w:pPr>
            <w:r>
              <w:rPr>
                <w:b/>
                <w:sz w:val="16"/>
              </w:rPr>
              <w:t>Open — supplier datasheets</w:t>
            </w:r>
          </w:p>
        </w:tc>
      </w:tr>
      <w:tr>
        <w:trPr>
          <w:cantSplit/>
        </w:trPr>
        <w:tc>
          <w:tcPr>
            <w:tcW w:type="dxa" w:w="1296"/>
          </w:tcPr>
          <w:p>
            <w:pPr>
              <w:spacing w:after="20"/>
            </w:pPr>
            <w:r>
              <w:rPr>
                <w:b/>
                <w:sz w:val="16"/>
              </w:rPr>
              <w:t>6.d</w:t>
            </w:r>
          </w:p>
        </w:tc>
        <w:tc>
          <w:tcPr>
            <w:tcW w:type="dxa" w:w="4032"/>
          </w:tcPr>
          <w:p>
            <w:pPr>
              <w:spacing w:after="20"/>
            </w:pPr>
            <w:r>
              <w:rPr>
                <w:sz w:val="16"/>
              </w:rPr>
              <w:t>Manufacturing process (d.1–d.13)</w:t>
            </w:r>
          </w:p>
        </w:tc>
        <w:tc>
          <w:tcPr>
            <w:tcW w:type="dxa" w:w="1872"/>
          </w:tcPr>
          <w:p>
            <w:pPr>
              <w:spacing w:after="20"/>
            </w:pPr>
            <w:r>
              <w:rPr>
                <w:sz w:val="16"/>
              </w:rPr>
              <w:t>2.6.d, 2.6.d.1</w:t>
            </w:r>
          </w:p>
        </w:tc>
        <w:tc>
          <w:tcPr>
            <w:tcW w:type="dxa" w:w="2304"/>
            <w:shd w:val="clear" w:fill="FFF4D6"/>
          </w:tcPr>
          <w:p>
            <w:pPr>
              <w:spacing w:after="20"/>
            </w:pPr>
            <w:r>
              <w:rPr>
                <w:b/>
                <w:sz w:val="16"/>
              </w:rPr>
              <w:t>Partial — parameters TBC</w:t>
            </w:r>
          </w:p>
        </w:tc>
      </w:tr>
      <w:tr>
        <w:trPr>
          <w:cantSplit/>
        </w:trPr>
        <w:tc>
          <w:tcPr>
            <w:tcW w:type="dxa" w:w="1296"/>
          </w:tcPr>
          <w:p>
            <w:pPr>
              <w:spacing w:after="20"/>
            </w:pPr>
            <w:r>
              <w:rPr>
                <w:b/>
                <w:sz w:val="16"/>
              </w:rPr>
              <w:t>6.e</w:t>
            </w:r>
          </w:p>
        </w:tc>
        <w:tc>
          <w:tcPr>
            <w:tcW w:type="dxa" w:w="4032"/>
          </w:tcPr>
          <w:p>
            <w:pPr>
              <w:spacing w:after="20"/>
            </w:pPr>
            <w:r>
              <w:rPr>
                <w:sz w:val="16"/>
              </w:rPr>
              <w:t>Ignition sources IS-01…17 and protection concept e.3</w:t>
            </w:r>
          </w:p>
        </w:tc>
        <w:tc>
          <w:tcPr>
            <w:tcW w:type="dxa" w:w="1872"/>
          </w:tcPr>
          <w:p>
            <w:pPr>
              <w:spacing w:after="20"/>
            </w:pPr>
            <w:r>
              <w:rPr>
                <w:sz w:val="16"/>
              </w:rPr>
              <w:t>2.6.e, 2.6.e.1–3</w:t>
            </w:r>
          </w:p>
        </w:tc>
        <w:tc>
          <w:tcPr>
            <w:tcW w:type="dxa" w:w="2304"/>
            <w:shd w:val="clear" w:fill="FFF4D6"/>
          </w:tcPr>
          <w:p>
            <w:pPr>
              <w:spacing w:after="20"/>
            </w:pPr>
            <w:r>
              <w:rPr>
                <w:b/>
                <w:sz w:val="16"/>
              </w:rPr>
              <w:t>Partial</w:t>
            </w:r>
          </w:p>
        </w:tc>
      </w:tr>
      <w:tr>
        <w:trPr>
          <w:cantSplit/>
        </w:trPr>
        <w:tc>
          <w:tcPr>
            <w:tcW w:type="dxa" w:w="1296"/>
          </w:tcPr>
          <w:p>
            <w:pPr>
              <w:spacing w:after="20"/>
            </w:pPr>
            <w:r>
              <w:rPr>
                <w:b/>
                <w:sz w:val="16"/>
              </w:rPr>
              <w:t>6.f</w:t>
            </w:r>
          </w:p>
        </w:tc>
        <w:tc>
          <w:tcPr>
            <w:tcW w:type="dxa" w:w="4032"/>
          </w:tcPr>
          <w:p>
            <w:pPr>
              <w:spacing w:after="20"/>
            </w:pPr>
            <w:r>
              <w:rPr>
                <w:sz w:val="16"/>
              </w:rPr>
              <w:t>Temperature class f.1–f.12</w:t>
            </w:r>
          </w:p>
        </w:tc>
        <w:tc>
          <w:tcPr>
            <w:tcW w:type="dxa" w:w="1872"/>
          </w:tcPr>
          <w:p>
            <w:pPr>
              <w:spacing w:after="20"/>
            </w:pPr>
            <w:r>
              <w:rPr>
                <w:sz w:val="16"/>
              </w:rPr>
              <w:t>2.6.f, 2.6.f.1</w:t>
            </w:r>
          </w:p>
        </w:tc>
        <w:tc>
          <w:tcPr>
            <w:tcW w:type="dxa" w:w="2304"/>
            <w:shd w:val="clear" w:fill="FFF4D6"/>
          </w:tcPr>
          <w:p>
            <w:pPr>
              <w:spacing w:after="20"/>
            </w:pPr>
            <w:r>
              <w:rPr>
                <w:b/>
                <w:sz w:val="16"/>
              </w:rPr>
              <w:t>Partial — measurements outstanding</w:t>
            </w:r>
          </w:p>
        </w:tc>
      </w:tr>
      <w:tr>
        <w:trPr>
          <w:cantSplit/>
        </w:trPr>
        <w:tc>
          <w:tcPr>
            <w:tcW w:type="dxa" w:w="1296"/>
          </w:tcPr>
          <w:p>
            <w:pPr>
              <w:spacing w:after="20"/>
            </w:pPr>
            <w:r>
              <w:rPr>
                <w:b/>
                <w:sz w:val="16"/>
              </w:rPr>
              <w:t>6.g</w:t>
            </w:r>
          </w:p>
        </w:tc>
        <w:tc>
          <w:tcPr>
            <w:tcW w:type="dxa" w:w="4032"/>
          </w:tcPr>
          <w:p>
            <w:pPr>
              <w:spacing w:after="20"/>
            </w:pPr>
            <w:r>
              <w:rPr>
                <w:sz w:val="16"/>
              </w:rPr>
              <w:t>Usage and installation instructions g.1–g.20</w:t>
            </w:r>
          </w:p>
        </w:tc>
        <w:tc>
          <w:tcPr>
            <w:tcW w:type="dxa" w:w="1872"/>
          </w:tcPr>
          <w:p>
            <w:pPr>
              <w:spacing w:after="20"/>
            </w:pPr>
            <w:r>
              <w:rPr>
                <w:sz w:val="16"/>
              </w:rPr>
              <w:t>2.6.g, 2.6.g.1</w:t>
            </w:r>
          </w:p>
        </w:tc>
        <w:tc>
          <w:tcPr>
            <w:tcW w:type="dxa" w:w="2304"/>
            <w:shd w:val="clear" w:fill="FFF4D6"/>
          </w:tcPr>
          <w:p>
            <w:pPr>
              <w:spacing w:after="20"/>
            </w:pPr>
            <w:r>
              <w:rPr>
                <w:b/>
                <w:sz w:val="16"/>
              </w:rPr>
              <w:t>Draft available</w:t>
            </w:r>
          </w:p>
        </w:tc>
      </w:tr>
      <w:tr>
        <w:trPr>
          <w:cantSplit/>
        </w:trPr>
        <w:tc>
          <w:tcPr>
            <w:tcW w:type="dxa" w:w="1296"/>
          </w:tcPr>
          <w:p>
            <w:pPr>
              <w:spacing w:after="20"/>
            </w:pPr>
            <w:r>
              <w:rPr>
                <w:b/>
                <w:sz w:val="16"/>
              </w:rPr>
              <w:t>6.h</w:t>
            </w:r>
          </w:p>
        </w:tc>
        <w:tc>
          <w:tcPr>
            <w:tcW w:type="dxa" w:w="4032"/>
          </w:tcPr>
          <w:p>
            <w:pPr>
              <w:spacing w:after="20"/>
            </w:pPr>
            <w:r>
              <w:rPr>
                <w:sz w:val="16"/>
              </w:rPr>
              <w:t>Nameplate (gas only, −20…+60 °C)</w:t>
            </w:r>
          </w:p>
        </w:tc>
        <w:tc>
          <w:tcPr>
            <w:tcW w:type="dxa" w:w="1872"/>
          </w:tcPr>
          <w:p>
            <w:pPr>
              <w:spacing w:after="20"/>
            </w:pPr>
            <w:r>
              <w:rPr>
                <w:sz w:val="16"/>
              </w:rPr>
              <w:t>2.6.h, 2.6.h.1</w:t>
            </w:r>
          </w:p>
        </w:tc>
        <w:tc>
          <w:tcPr>
            <w:tcW w:type="dxa" w:w="2304"/>
          </w:tcPr>
          <w:p>
            <w:pPr>
              <w:spacing w:after="20"/>
            </w:pPr>
            <w:r>
              <w:rPr>
                <w:b/>
                <w:sz w:val="16"/>
              </w:rPr>
              <w:t>Proposed</w:t>
            </w:r>
          </w:p>
        </w:tc>
      </w:tr>
      <w:tr>
        <w:trPr>
          <w:cantSplit/>
        </w:trPr>
        <w:tc>
          <w:tcPr>
            <w:tcW w:type="dxa" w:w="1296"/>
          </w:tcPr>
          <w:p>
            <w:pPr>
              <w:spacing w:after="20"/>
            </w:pPr>
            <w:r>
              <w:rPr>
                <w:b/>
                <w:sz w:val="16"/>
              </w:rPr>
              <w:t>6.i</w:t>
            </w:r>
          </w:p>
        </w:tc>
        <w:tc>
          <w:tcPr>
            <w:tcW w:type="dxa" w:w="4032"/>
          </w:tcPr>
          <w:p>
            <w:pPr>
              <w:spacing w:after="20"/>
            </w:pPr>
            <w:r>
              <w:rPr>
                <w:sz w:val="16"/>
              </w:rPr>
              <w:t>Ex component certificates</w:t>
            </w:r>
          </w:p>
        </w:tc>
        <w:tc>
          <w:tcPr>
            <w:tcW w:type="dxa" w:w="1872"/>
          </w:tcPr>
          <w:p>
            <w:pPr>
              <w:spacing w:after="20"/>
            </w:pPr>
            <w:r>
              <w:rPr>
                <w:sz w:val="16"/>
              </w:rPr>
              <w:t>2.6.i, 2.6.i.1</w:t>
            </w:r>
          </w:p>
        </w:tc>
        <w:tc>
          <w:tcPr>
            <w:tcW w:type="dxa" w:w="2304"/>
            <w:shd w:val="clear" w:fill="FBEEE4"/>
          </w:tcPr>
          <w:p>
            <w:pPr>
              <w:spacing w:after="20"/>
            </w:pPr>
            <w:r>
              <w:rPr>
                <w:b/>
                <w:sz w:val="16"/>
              </w:rPr>
              <w:t>Pending certificate</w:t>
            </w:r>
          </w:p>
        </w:tc>
      </w:tr>
      <w:tr>
        <w:trPr>
          <w:cantSplit/>
        </w:trPr>
        <w:tc>
          <w:tcPr>
            <w:tcW w:type="dxa" w:w="1296"/>
          </w:tcPr>
          <w:p>
            <w:pPr>
              <w:spacing w:after="20"/>
            </w:pPr>
            <w:r>
              <w:rPr>
                <w:b/>
                <w:sz w:val="16"/>
              </w:rPr>
              <w:t>3.1–3.2</w:t>
            </w:r>
          </w:p>
        </w:tc>
        <w:tc>
          <w:tcPr>
            <w:tcW w:type="dxa" w:w="4032"/>
          </w:tcPr>
          <w:p>
            <w:pPr>
              <w:spacing w:after="20"/>
            </w:pPr>
            <w:r>
              <w:rPr>
                <w:sz w:val="16"/>
              </w:rPr>
              <w:t>Sample and fixtures</w:t>
            </w:r>
          </w:p>
        </w:tc>
        <w:tc>
          <w:tcPr>
            <w:tcW w:type="dxa" w:w="1872"/>
          </w:tcPr>
          <w:p>
            <w:pPr>
              <w:spacing w:after="20"/>
            </w:pPr>
            <w:r>
              <w:rPr>
                <w:sz w:val="16"/>
              </w:rPr>
              <w:t>3.1–3.4</w:t>
            </w:r>
          </w:p>
        </w:tc>
        <w:tc>
          <w:tcPr>
            <w:tcW w:type="dxa" w:w="2304"/>
            <w:shd w:val="clear" w:fill="E3F1E6"/>
          </w:tcPr>
          <w:p>
            <w:pPr>
              <w:spacing w:after="20"/>
            </w:pPr>
            <w:r>
              <w:rPr>
                <w:b/>
                <w:sz w:val="16"/>
              </w:rPr>
              <w:t>Final</w:t>
            </w:r>
          </w:p>
        </w:tc>
      </w:tr>
    </w:tbl>
    <w:p>
      <w:pPr>
        <w:spacing w:after="40"/>
      </w:pPr>
    </w:p>
    <w:sectPr w:rsidR="00FC693F" w:rsidRPr="0006063C" w:rsidSect="00034616">
      <w:headerReference w:type="default" r:id="rId9"/>
      <w:footerReference w:type="default" r:id="rId10"/>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pPr>
    <w:r>
      <w:rPr>
        <w:color w:val="4A4A4A"/>
        <w:sz w:val="16"/>
      </w:rPr>
      <w:t>GMI/GLD/IECEX-CIR/2026-001  ·  Rev. 1.1</w:t>
    </w:r>
    <w:r>
      <w:rPr>
        <w:color w:val="4A4A4A"/>
        <w:sz w:val="16"/>
      </w:rPr>
      <w:tab/>
    </w:r>
    <w:r>
      <w:rPr>
        <w:color w:val="4A4A4A"/>
        <w:sz w:val="16"/>
      </w:rPr>
      <w:fldChar w:fldCharType="begin"/>
      <w:instrText xml:space="preserve">PAGE</w:instrText>
    </w:r>
    <w:r>
      <w:rPr>
        <w:color w:val="4A4A4A"/>
        <w:sz w:val="16"/>
      </w:rPr>
      <w:fldChar w:fldCharType="separate"/>
    </w:r>
    <w:r>
      <w:rPr>
        <w:color w:val="4A4A4A"/>
        <w:sz w:val="16"/>
      </w:rPr>
      <w:t>1</w:t>
    </w:r>
    <w:r>
      <w:rPr>
        <w:color w:val="4A4A4A"/>
        <w:sz w:val="16"/>
      </w:rPr>
      <w:fldChar w:fldCharType="end"/>
    </w:r>
    <w:r>
      <w:rPr>
        <w:color w:val="4A4A4A"/>
        <w:sz w:val="16"/>
      </w:rPr>
      <w:t xml:space="preserve"> of </w:t>
    </w:r>
    <w:r>
      <w:rPr>
        <w:color w:val="4A4A4A"/>
        <w:sz w:val="16"/>
      </w:rPr>
      <w:fldChar w:fldCharType="begin"/>
      <w:instrText xml:space="preserve">NUMPAGES</w:instrText>
    </w:r>
    <w:r>
      <w:rPr>
        <w:color w:val="4A4A4A"/>
        <w:sz w:val="16"/>
      </w:rPr>
      <w:fldChar w:fldCharType="separate"/>
    </w:r>
    <w:r>
      <w:rPr>
        <w:color w:val="4A4A4A"/>
        <w:sz w:val="16"/>
      </w:rPr>
      <w:t>1</w:t>
    </w:r>
    <w:r>
      <w:rPr>
        <w:color w:val="4A4A4A"/>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color w:val="4A4A4A"/>
        <w:sz w:val="16"/>
      </w:rPr>
      <w:t>IECEx/ATEX Certification Information Requirements — GLD V2 (Filled)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00" w:lineRule="auto"/>
    </w:pPr>
    <w:rPr>
      <w:rFonts w:ascii="Calibri" w:hAnsi="Calibri"/>
      <w:color w:val="2B2B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color w:val="1A2B3D"/>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A2B3D"/>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A2B3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pPr>
      <w:spacing w:before="0" w:after="40"/>
    </w:pPr>
    <w:rPr>
      <w:rFonts w:ascii="Calibri" w:hAnsi="Calibri"/>
      <w:sz w:val="21"/>
    </w:rPr>
  </w:style>
  <w:style w:type="paragraph" w:customStyle="1" w:styleId="TOC2">
    <w:name w:val="TOC 2"/>
    <w:pPr>
      <w:spacing w:before="0" w:after="40"/>
    </w:pPr>
    <w:rPr>
      <w:rFonts w:ascii="Calibri" w:hAnsi="Calibri"/>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 Id="rId19" Type="http://schemas.openxmlformats.org/officeDocument/2006/relationships/image" Target="media/image9.jpg"/><Relationship Id="rId20" Type="http://schemas.openxmlformats.org/officeDocument/2006/relationships/image" Target="media/image10.jpg"/><Relationship Id="rId21" Type="http://schemas.openxmlformats.org/officeDocument/2006/relationships/image" Target="media/image11.jpg"/><Relationship Id="rId22" Type="http://schemas.openxmlformats.org/officeDocument/2006/relationships/image" Target="media/image12.jpg"/><Relationship Id="rId23" Type="http://schemas.openxmlformats.org/officeDocument/2006/relationships/image" Target="media/image13.jpg"/><Relationship Id="rId24" Type="http://schemas.openxmlformats.org/officeDocument/2006/relationships/image" Target="media/image14.jpg"/><Relationship Id="rId25" Type="http://schemas.openxmlformats.org/officeDocument/2006/relationships/image" Target="media/image15.jpg"/><Relationship Id="rId26" Type="http://schemas.openxmlformats.org/officeDocument/2006/relationships/image" Target="media/image16.jpg"/><Relationship Id="rId27" Type="http://schemas.openxmlformats.org/officeDocument/2006/relationships/image" Target="media/image17.jpg"/><Relationship Id="rId28" Type="http://schemas.openxmlformats.org/officeDocument/2006/relationships/image" Target="media/image18.jpg"/><Relationship Id="rId29" Type="http://schemas.openxmlformats.org/officeDocument/2006/relationships/image" Target="media/image19.jpg"/><Relationship Id="rId30" Type="http://schemas.openxmlformats.org/officeDocument/2006/relationships/image" Target="media/image20.jpg"/><Relationship Id="rId31" Type="http://schemas.openxmlformats.org/officeDocument/2006/relationships/image" Target="media/image21.jpg"/><Relationship Id="rId32" Type="http://schemas.openxmlformats.org/officeDocument/2006/relationships/image" Target="media/image22.jpg"/><Relationship Id="rId33" Type="http://schemas.openxmlformats.org/officeDocument/2006/relationships/image" Target="media/image23.jpg"/><Relationship Id="rId34" Type="http://schemas.openxmlformats.org/officeDocument/2006/relationships/image" Target="media/image24.jpg"/><Relationship Id="rId35" Type="http://schemas.openxmlformats.org/officeDocument/2006/relationships/image" Target="media/image25.jp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jpg"/><Relationship Id="rId42" Type="http://schemas.openxmlformats.org/officeDocument/2006/relationships/image" Target="media/image32.jpg"/><Relationship Id="rId43" Type="http://schemas.openxmlformats.org/officeDocument/2006/relationships/image" Target="media/image33.jpg"/><Relationship Id="rId44" Type="http://schemas.openxmlformats.org/officeDocument/2006/relationships/image" Target="media/image34.jpg"/><Relationship Id="rId45" Type="http://schemas.openxmlformats.org/officeDocument/2006/relationships/image" Target="media/image35.jpg"/><Relationship Id="rId46" Type="http://schemas.openxmlformats.org/officeDocument/2006/relationships/image" Target="media/image36.jpg"/><Relationship Id="rId47" Type="http://schemas.openxmlformats.org/officeDocument/2006/relationships/image" Target="media/image37.jpg"/><Relationship Id="rId48" Type="http://schemas.openxmlformats.org/officeDocument/2006/relationships/image" Target="media/image38.jpg"/><Relationship Id="rId49" Type="http://schemas.openxmlformats.org/officeDocument/2006/relationships/image" Target="media/image39.jpg"/><Relationship Id="rId50" Type="http://schemas.openxmlformats.org/officeDocument/2006/relationships/image" Target="media/image40.jpg"/><Relationship Id="rId51" Type="http://schemas.openxmlformats.org/officeDocument/2006/relationships/image" Target="media/image41.jpg"/><Relationship Id="rId52" Type="http://schemas.openxmlformats.org/officeDocument/2006/relationships/image" Target="media/image42.jpg"/><Relationship Id="rId53" Type="http://schemas.openxmlformats.org/officeDocument/2006/relationships/image" Target="media/image43.jpg"/><Relationship Id="rId54" Type="http://schemas.openxmlformats.org/officeDocument/2006/relationships/image" Target="media/image44.jpg"/><Relationship Id="rId55" Type="http://schemas.openxmlformats.org/officeDocument/2006/relationships/image" Target="media/image45.jpg"/><Relationship Id="rId56" Type="http://schemas.openxmlformats.org/officeDocument/2006/relationships/image" Target="media/image46.jpg"/><Relationship Id="rId57" Type="http://schemas.openxmlformats.org/officeDocument/2006/relationships/image" Target="media/image47.jpg"/><Relationship Id="rId58" Type="http://schemas.openxmlformats.org/officeDocument/2006/relationships/image" Target="media/image48.jpg"/><Relationship Id="rId59" Type="http://schemas.openxmlformats.org/officeDocument/2006/relationships/image" Target="media/image49.jpg"/><Relationship Id="rId60" Type="http://schemas.openxmlformats.org/officeDocument/2006/relationships/image" Target="media/image50.jpg"/><Relationship Id="rId61" Type="http://schemas.openxmlformats.org/officeDocument/2006/relationships/image" Target="media/image51.jpg"/><Relationship Id="rId62" Type="http://schemas.openxmlformats.org/officeDocument/2006/relationships/image" Target="media/image52.jpg"/><Relationship Id="rId63" Type="http://schemas.openxmlformats.org/officeDocument/2006/relationships/image" Target="media/image53.jpg"/><Relationship Id="rId64" Type="http://schemas.openxmlformats.org/officeDocument/2006/relationships/image" Target="media/image54.jpg"/><Relationship Id="rId65" Type="http://schemas.openxmlformats.org/officeDocument/2006/relationships/image" Target="media/image55.jpg"/><Relationship Id="rId66" Type="http://schemas.openxmlformats.org/officeDocument/2006/relationships/image" Target="media/image56.jpg"/><Relationship Id="rId67" Type="http://schemas.openxmlformats.org/officeDocument/2006/relationships/image" Target="media/image57.jpg"/><Relationship Id="rId68" Type="http://schemas.openxmlformats.org/officeDocument/2006/relationships/image" Target="media/image58.jpg"/><Relationship Id="rId69" Type="http://schemas.openxmlformats.org/officeDocument/2006/relationships/image" Target="media/image59.jpg"/><Relationship Id="rId70" Type="http://schemas.openxmlformats.org/officeDocument/2006/relationships/image" Target="media/image60.jpg"/><Relationship Id="rId71" Type="http://schemas.openxmlformats.org/officeDocument/2006/relationships/image" Target="media/image61.jpg"/><Relationship Id="rId72" Type="http://schemas.openxmlformats.org/officeDocument/2006/relationships/image" Target="media/image62.jpg"/><Relationship Id="rId73" Type="http://schemas.openxmlformats.org/officeDocument/2006/relationships/image" Target="media/image63.jpg"/><Relationship Id="rId74" Type="http://schemas.openxmlformats.org/officeDocument/2006/relationships/image" Target="media/image64.jpg"/><Relationship Id="rId75" Type="http://schemas.openxmlformats.org/officeDocument/2006/relationships/image" Target="media/image65.jpg"/><Relationship Id="rId76" Type="http://schemas.openxmlformats.org/officeDocument/2006/relationships/image" Target="media/image66.jpg"/><Relationship Id="rId77" Type="http://schemas.openxmlformats.org/officeDocument/2006/relationships/image" Target="media/image67.jpg"/><Relationship Id="rId78" Type="http://schemas.openxmlformats.org/officeDocument/2006/relationships/image" Target="media/image68.jpg"/><Relationship Id="rId79" Type="http://schemas.openxmlformats.org/officeDocument/2006/relationships/image" Target="media/image69.jpg"/><Relationship Id="rId80" Type="http://schemas.openxmlformats.org/officeDocument/2006/relationships/image" Target="media/image70.jpg"/><Relationship Id="rId81" Type="http://schemas.openxmlformats.org/officeDocument/2006/relationships/image" Target="media/image71.jpg"/><Relationship Id="rId82" Type="http://schemas.openxmlformats.org/officeDocument/2006/relationships/image" Target="media/image72.jpg"/><Relationship Id="rId83" Type="http://schemas.openxmlformats.org/officeDocument/2006/relationships/image" Target="media/image73.jpg"/><Relationship Id="rId84" Type="http://schemas.openxmlformats.org/officeDocument/2006/relationships/image" Target="media/image74.png"/><Relationship Id="rId85" Type="http://schemas.openxmlformats.org/officeDocument/2006/relationships/image" Target="media/image75.png"/><Relationship Id="rId86" Type="http://schemas.openxmlformats.org/officeDocument/2006/relationships/image" Target="media/image76.png"/><Relationship Id="rId87" Type="http://schemas.openxmlformats.org/officeDocument/2006/relationships/image" Target="media/image77.png"/><Relationship Id="rId88" Type="http://schemas.openxmlformats.org/officeDocument/2006/relationships/image" Target="media/image78.png"/><Relationship Id="rId89" Type="http://schemas.openxmlformats.org/officeDocument/2006/relationships/image" Target="media/image79.png"/><Relationship Id="rId90" Type="http://schemas.openxmlformats.org/officeDocument/2006/relationships/image" Target="media/image80.png"/><Relationship Id="rId91" Type="http://schemas.openxmlformats.org/officeDocument/2006/relationships/image" Target="media/image81.png"/><Relationship Id="rId92" Type="http://schemas.openxmlformats.org/officeDocument/2006/relationships/image" Target="media/image82.png"/><Relationship Id="rId93" Type="http://schemas.openxmlformats.org/officeDocument/2006/relationships/image" Target="media/image83.png"/><Relationship Id="rId94" Type="http://schemas.openxmlformats.org/officeDocument/2006/relationships/image" Target="media/image84.png"/><Relationship Id="rId95" Type="http://schemas.openxmlformats.org/officeDocument/2006/relationships/image" Target="media/image85.png"/><Relationship Id="rId96" Type="http://schemas.openxmlformats.org/officeDocument/2006/relationships/image" Target="media/image86.png"/><Relationship Id="rId97" Type="http://schemas.openxmlformats.org/officeDocument/2006/relationships/image" Target="media/image87.png"/><Relationship Id="rId98" Type="http://schemas.openxmlformats.org/officeDocument/2006/relationships/image" Target="media/image88.png"/><Relationship Id="rId99" Type="http://schemas.openxmlformats.org/officeDocument/2006/relationships/image" Target="media/image89.png"/><Relationship Id="rId100" Type="http://schemas.openxmlformats.org/officeDocument/2006/relationships/image" Target="media/image90.png"/><Relationship Id="rId101" Type="http://schemas.openxmlformats.org/officeDocument/2006/relationships/image" Target="media/image91.png"/><Relationship Id="rId102" Type="http://schemas.openxmlformats.org/officeDocument/2006/relationships/image" Target="media/image92.png"/><Relationship Id="rId103" Type="http://schemas.openxmlformats.org/officeDocument/2006/relationships/image" Target="media/image93.png"/><Relationship Id="rId104" Type="http://schemas.openxmlformats.org/officeDocument/2006/relationships/image" Target="media/image94.png"/><Relationship Id="rId105" Type="http://schemas.openxmlformats.org/officeDocument/2006/relationships/image" Target="media/image95.png"/><Relationship Id="rId106" Type="http://schemas.openxmlformats.org/officeDocument/2006/relationships/image" Target="media/image96.jpg"/><Relationship Id="rId107" Type="http://schemas.openxmlformats.org/officeDocument/2006/relationships/image" Target="media/image97.jpg"/><Relationship Id="rId108" Type="http://schemas.openxmlformats.org/officeDocument/2006/relationships/image" Target="media/image98.jpg"/><Relationship Id="rId109" Type="http://schemas.openxmlformats.org/officeDocument/2006/relationships/image" Target="media/image99.jpg"/><Relationship Id="rId110" Type="http://schemas.openxmlformats.org/officeDocument/2006/relationships/image" Target="media/image100.jpg"/><Relationship Id="rId111" Type="http://schemas.openxmlformats.org/officeDocument/2006/relationships/image" Target="media/image101.jpg"/><Relationship Id="rId112" Type="http://schemas.openxmlformats.org/officeDocument/2006/relationships/image" Target="media/image102.jpg"/><Relationship Id="rId113" Type="http://schemas.openxmlformats.org/officeDocument/2006/relationships/image" Target="media/image103.jpg"/><Relationship Id="rId114" Type="http://schemas.openxmlformats.org/officeDocument/2006/relationships/image" Target="media/image104.jpg"/><Relationship Id="rId115" Type="http://schemas.openxmlformats.org/officeDocument/2006/relationships/image" Target="media/image10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