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0.2</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2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 dan tindak lanjut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nomor seri sampel GLD2-0x1001 telah ditetapkan pada formulir aplikasi; lembar identifikasi sampel bertanda tangan sedang disiapkan.</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Uji termal internal 30 Sep 2026 telah dilaksanakan (8 titik thermocouple, 3 kondisi beban, 180 menit); uji mekanik, sealing/IP pra-uji, dan fault condition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Iterasi desain tersedia: PCB Node Sensor GLD telah melalui lima versi (V1 hingga V5) dan casing berkembang dari ATEX Casing v2 ke v3 (8 Sep 2026). Log keterkaitan revisi dengan temuan uji sedang dirangkum.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dan dossier teknis telah diajukan ke GTS (agen sertifikasi) sekitar 29 Sep 2026; pengujian di laboratorium terakreditasi dilakukan sesudah tahap ini, sehingga urutan tahap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pekerjaan per 2 Oktober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(`Laporan_Pemenuhan_Deliverable_Termin_1_FieldTesting_GLD_Rev02`).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tindak lanjut untuk setiap syarat pada Bagian 2, berdasarkan status pekerjaan per 2 Oktober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prototipe, tiga di antaranya menunjukkan urutan perakitan motherboard, pemasangan delapan sensor, hingga unit terakit lengkap (metadata foto utama tercatat 26 Agustus 2026). Desain mekanik pendukung tersedia pada gambar CAD ATEX Casing v2 (STEP/OBJ) dan desain bracket U-bolt.</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SEBAGIAN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pPr>
        <w:spacing w:after="120" w:line="276" w:lineRule="auto"/>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pPr>
        <w:pStyle w:val="Heading2"/>
        <w:keepNext/>
        <w:spacing w:before="160" w:after="100"/>
      </w:pPr>
      <w:r>
        <w:rPr>
          <w:rFonts w:ascii="Arial" w:hAnsi="Arial"/>
          <w:b/>
          <w:color w:val="9A6500"/>
          <w:sz w:val="23"/>
        </w:rPr>
        <w:t>3.3 Ada iterasi perbaikan desain berbasis hasil uji — SEBAGIAN</w:t>
      </w:r>
    </w:p>
    <w:p>
      <w:pPr>
        <w:spacing w:after="120" w:line="276" w:lineRule="auto"/>
      </w:pPr>
      <w:r>
        <w:rPr>
          <w:rFonts w:ascii="Arial" w:hAnsi="Arial"/>
          <w:b/>
          <w:color w:val="20262B"/>
          <w:sz w:val="21"/>
        </w:rPr>
        <w:t xml:space="preserve">Bukti yang ditemukan. </w:t>
      </w:r>
      <w:r>
        <w:rPr>
          <w:rFonts w:ascii="Arial" w:hAnsi="Arial"/>
          <w:color w:val="20262B"/>
          <w:sz w:val="21"/>
        </w:rPr>
        <w:t>Iterasi desain perangkat keras telah dilakukan pada dua komponen utama: (1) PCB Node Sensor GLD telah melalui lima versi, V1 hingga V5 (Gambar 3.3): V1 memuat soket delapan sensor MQ langsung pada papan utama; versi berikutnya memakai modul sensor MQ terpisah dengan penyempurnaan tata letak motherboard; V5 menggunakan susunan beberapa papan dengan konektor antar-papan dan terminal blok untuk kabel daya. Dokumentasi BOM dan layout PCB (EasyEDA) tersedia per 9–11 September 2026; (2) casing berkembang dari ATEX Casing v2 (desain mounting U-bolt) ke GLD ATEX Case v3 (8 September 2026) dengan mesh filter stainless steel, kipas DC, dan dimensi yang disesuaikan untuk kebutuhan sertifikasi Ex d.</w:t>
      </w:r>
    </w:p>
    <w:p>
      <w:pPr>
        <w:spacing w:after="120" w:line="276" w:lineRule="auto"/>
      </w:pPr>
      <w:r>
        <w:rPr>
          <w:rFonts w:ascii="Arial" w:hAnsi="Arial"/>
          <w:color w:val="20262B"/>
          <w:sz w:val="21"/>
        </w:rPr>
        <w:t>Change log formal yang menautkan setiap revisi dengan temuan uji, tindakan koreksi, bukti implementasi, dan hasil uji ulang (termasuk hasil uji termal 30 September 2026) sedang dirangkum.</w:t>
      </w:r>
    </w:p>
    <w:p>
      <w:pPr>
        <w:jc w:val="center"/>
      </w:pPr>
      <w:r>
        <w:drawing>
          <wp:inline xmlns:a="http://schemas.openxmlformats.org/drawingml/2006/main" xmlns:pic="http://schemas.openxmlformats.org/drawingml/2006/picture">
            <wp:extent cx="5760720" cy="2317263"/>
            <wp:docPr id="1" name="Picture 1"/>
            <wp:cNvGraphicFramePr>
              <a:graphicFrameLocks noChangeAspect="1"/>
            </wp:cNvGraphicFramePr>
            <a:graphic>
              <a:graphicData uri="http://schemas.openxmlformats.org/drawingml/2006/picture">
                <pic:pic>
                  <pic:nvPicPr>
                    <pic:cNvPr id="0" name="gld_pcb_v1_v5.png"/>
                    <pic:cNvPicPr/>
                  </pic:nvPicPr>
                  <pic:blipFill>
                    <a:blip r:embed="rId11"/>
                    <a:stretch>
                      <a:fillRect/>
                    </a:stretch>
                  </pic:blipFill>
                  <pic:spPr>
                    <a:xfrm>
                      <a:off x="0" y="0"/>
                      <a:ext cx="5760720" cy="2317263"/>
                    </a:xfrm>
                    <a:prstGeom prst="rect"/>
                  </pic:spPr>
                </pic:pic>
              </a:graphicData>
            </a:graphic>
          </wp:inline>
        </w:drawing>
      </w:r>
    </w:p>
    <w:p>
      <w:pPr>
        <w:spacing w:after="160"/>
        <w:jc w:val="center"/>
      </w:pPr>
      <w:r>
        <w:rPr>
          <w:rFonts w:ascii="Arial" w:hAnsi="Arial"/>
          <w:i/>
          <w:color w:val="5B6670"/>
          <w:sz w:val="17"/>
        </w:rPr>
        <w:t>Gambar 3.3 Iterasi PCB Node Sensor GLD, versi V1 hingga V5 (tampak atas dan bawah)</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tersedia di `Template_Berita_Acara_Validasi_Prototipe.md`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2" name="Picture 2"/>
            <wp:cNvGraphicFramePr>
              <a:graphicFrameLocks noChangeAspect="1"/>
            </wp:cNvGraphicFramePr>
            <a:graphic>
              <a:graphicData uri="http://schemas.openxmlformats.org/drawingml/2006/picture">
                <pic:pic>
                  <pic:nvPicPr>
                    <pic:cNvPr id="0" name="proto3.jpg"/>
                    <pic:cNvPicPr/>
                  </pic:nvPicPr>
                  <pic:blipFill>
                    <a:blip r:embed="rId12"/>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metrik berikut: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sertifikasi (21 butir checklist ExCB, berbobot)</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 (per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Kelengkapan dokumentasi teknis; tidak termasuk pelaksanaan pengujian di laboratorium.</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Pengajuan ke agen sertifikasi (GTS)</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Diajukan ± 29 September 2026</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ATEX + dossier teknis; iterasi dokumen mengikuti tanggapan GTS.</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Uji termal internal</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Indikasi positif kelas suhu T4 (± 114 °C vs batas 130 °C).</w:t>
            </w:r>
          </w:p>
        </w:tc>
      </w:tr>
    </w:tbl>
    <w:p>
      <w:pPr>
        <w:spacing w:after="0"/>
      </w:pPr>
    </w:p>
    <w:p>
      <w:pPr>
        <w:spacing w:after="120" w:line="276" w:lineRule="auto"/>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pPr>
        <w:jc w:val="center"/>
      </w:pPr>
      <w:r>
        <w:drawing>
          <wp:inline xmlns:a="http://schemas.openxmlformats.org/drawingml/2006/main" xmlns:pic="http://schemas.openxmlformats.org/drawingml/2006/picture">
            <wp:extent cx="5760720" cy="3909766"/>
            <wp:docPr id="3" name="Picture 3"/>
            <wp:cNvGraphicFramePr>
              <a:graphicFrameLocks noChangeAspect="1"/>
            </wp:cNvGraphicFramePr>
            <a:graphic>
              <a:graphicData uri="http://schemas.openxmlformats.org/drawingml/2006/picture">
                <pic:pic>
                  <pic:nvPicPr>
                    <pic:cNvPr id="0" name="GLD U-Bolt Bracket V2.png"/>
                    <pic:cNvPicPr/>
                  </pic:nvPicPr>
                  <pic:blipFill>
                    <a:blip r:embed="rId13"/>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+ 4 foto komponen di `sertifikasi-atex-gld-v2-2026/GLD/`.</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`Dokumen_spesifikasi_input_2.docx`, `Parameter spesifikasi EMC_lengkap.docx`.</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gap analysis 4 track, dan rubrik interpretasi progres.</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kesiapan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sertifikasi, laporan analisis kesiapan, dan status per butir.</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Persiapan_Termin_1.md dan 3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Matriks gap awal (10 September 2026) dan template log uji, berita acara, serta laporan pekerjaan.</w:t>
            </w:r>
          </w:p>
        </w:tc>
      </w:tr>
    </w:tbl>
    <w:p>
      <w:pPr>
        <w:spacing w:after="0"/>
      </w:pPr>
    </w:p>
    <w:p>
      <w:pPr>
        <w:pStyle w:val="Heading1"/>
        <w:keepNext/>
        <w:spacing w:before="240" w:after="100"/>
      </w:pPr>
      <w:r>
        <w:rPr>
          <w:rFonts w:ascii="Arial" w:hAnsi="Arial"/>
          <w:b/>
          <w:color w:val="000000"/>
          <w:sz w:val="30"/>
        </w:rPr>
        <w:t>6 Dokumen Tahap Lanjutan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`Template_Log_Uji_dan_Iterasi_Enclosure.md`</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`Template_Berita_Acara_Validasi_Prototipe.md`</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