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1D3F8F"/>
          <w:sz w:val="17"/>
          <w:szCs w:val="17"/>
        </w:rPr>
        <w:t xml:space="preserve">NOTULENSI RAPAT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62321"/>
          <w:sz w:val="34"/>
          <w:szCs w:val="34"/>
        </w:rPr>
        <w:t xml:space="preserve">Pengembangan &amp; Persiapan Implementasi Sistem Gas Leak Detection (GLD)</w:t>
      </w:r>
    </w:p>
    <w:p>
      <w:pPr>
        <w:spacing w:after="220"/>
      </w:pPr>
      <w:r>
        <w:rPr>
          <w:rFonts w:ascii="Calibri" w:cs="Calibri" w:eastAsia="Calibri" w:hAnsi="Calibri"/>
          <w:color w:val="6B7480"/>
          <w:sz w:val="20"/>
          <w:szCs w:val="20"/>
        </w:rPr>
        <w:t xml:space="preserve">di Kilang Pertamina — Program GLD Tahap 2</w:t>
      </w:r>
    </w:p>
    <w:tbl>
      <w:tblPr>
        <w:tblW w:type="dxa" w:w="9700"/>
        <w:tblBorders>
          <w:top w:val="none" w:color="FFFFFF" w:sz="0"/>
          <w:left w:val="single" w:color="2B5FC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100"/>
        <w:gridCol w:w="1500"/>
        <w:gridCol w:w="3600"/>
      </w:tblGrid>
      <w:tr>
        <w:tc>
          <w:tcPr>
            <w:tcW w:type="dxa" w:w="15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3F8F"/>
                <w:sz w:val="20"/>
                <w:szCs w:val="20"/>
              </w:rPr>
              <w:t xml:space="preserve">TANGGAL</w:t>
            </w:r>
          </w:p>
        </w:tc>
        <w:tc>
          <w:tcPr>
            <w:tcW w:type="dxa" w:w="31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6 Agustus 2026</w:t>
            </w:r>
          </w:p>
        </w:tc>
        <w:tc>
          <w:tcPr>
            <w:tcW w:type="dxa" w:w="15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3F8F"/>
                <w:sz w:val="20"/>
                <w:szCs w:val="20"/>
              </w:rPr>
              <w:t xml:space="preserve">TEMPAT</w:t>
            </w:r>
          </w:p>
        </w:tc>
        <w:tc>
          <w:tcPr>
            <w:tcW w:type="dxa" w:w="36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>Lab IoT, Instrumentation and Computations, Gedung Laboratorium Fisika Terpadu, Institut Teknologi Bandung</w:t>
            </w:r>
          </w:p>
        </w:tc>
      </w:tr>
      <w:tr>
        <w:tc>
          <w:tcPr>
            <w:tcW w:type="dxa" w:w="15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3F8F"/>
                <w:sz w:val="20"/>
                <w:szCs w:val="20"/>
              </w:rPr>
              <w:t xml:space="preserve">PESERTA</w:t>
            </w:r>
          </w:p>
        </w:tc>
        <w:tc>
          <w:tcPr>
            <w:tcW w:type="dxa" w:w="8200"/>
            <w:gridSpan w:val="3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454B57"/>
                <w:sz w:val="20"/>
                <w:szCs w:val="20"/>
              </w:rPr>
              <w:t>LAPI Ganesha Utama, Lab IoT/Instrumentation and Computation ITB, dan PT Pertamina Patra Niaga.</w:t>
            </w:r>
          </w:p>
        </w:tc>
      </w:tr>
    </w:tbl>
    <w:p>
      <w:pPr>
        <w:spacing w:after="200"/>
      </w:pPr>
    </w:p>
    <w:p>
      <w:pPr>
        <w:pBdr>
          <w:bottom w:val="single" w:color="DCE3EE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2B5FCB"/>
          <w:sz w:val="26"/>
          <w:szCs w:val="26"/>
        </w:rPr>
        <w:t xml:space="preserve">00  </w:t>
      </w:r>
      <w:r>
        <w:rPr>
          <w:rFonts w:ascii="Calibri" w:cs="Calibri" w:eastAsia="Calibri" w:hAnsi="Calibri"/>
          <w:b/>
          <w:bCs/>
          <w:color w:val="262321"/>
          <w:sz w:val="26"/>
          <w:szCs w:val="26"/>
        </w:rPr>
        <w:t xml:space="preserve">Agenda Rapat</w:t>
      </w:r>
    </w:p>
    <w:p>
      <w:pPr>
        <w:spacing w:after="16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Pembahasan kesiapan teknis, mekanik, jaringan komunikasi, serta strategi instalasi dan implementasi sistem Gas Leak Detection (GLD) pada lingkungan kilang Pertamina.</w:t>
      </w:r>
    </w:p>
    <w:p>
      <w:pPr>
        <w:pBdr>
          <w:bottom w:val="single" w:color="DCE3EE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2B5FCB"/>
          <w:sz w:val="26"/>
          <w:szCs w:val="26"/>
        </w:rPr>
        <w:t xml:space="preserve">01  </w:t>
      </w:r>
      <w:r>
        <w:rPr>
          <w:rFonts w:ascii="Calibri" w:cs="Calibri" w:eastAsia="Calibri" w:hAnsi="Calibri"/>
          <w:b/>
          <w:bCs/>
          <w:color w:val="262321"/>
          <w:sz w:val="26"/>
          <w:szCs w:val="26"/>
        </w:rPr>
        <w:t xml:space="preserve">Desain Mekanik dan Instalasi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Sistem mounting perangkat GLD akan disesuaikan dengan standar mounting yang telah digunakan di kilang sehingga tidak memerlukan desain struktur baru.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Instalasi diupayakan memanfaatkan bracket tipe L maupun U-clamp yang dipasang pada struktur eksisting tanpa melakukan pengeboran maupun pengelasan.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Pemilihan bracket harus disesuaikan dengan kebutuhan pemasangan Gateway, Cluster Head (CH), maupun sensor GLD.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Vendor mekanik akan dilibatkan sejak awal untuk mempermudah proses desain dan instalasi.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Tim diminta menyusun skenario instalasi secara lengkap, termasuk dimensi pemasangan, kebutuhan bracket, baut, mur, dan komponen pendukung lainnya.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Material PVC dihindari untuk komponen instalasi karena dinilai kurang sesuai untuk lingkungan kilang.</w:t>
      </w:r>
    </w:p>
    <w:p>
      <w:pPr>
        <w:pBdr>
          <w:bottom w:val="single" w:color="DCE3EE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2B5FCB"/>
          <w:sz w:val="26"/>
          <w:szCs w:val="26"/>
        </w:rPr>
        <w:t xml:space="preserve">02  </w:t>
      </w:r>
      <w:r>
        <w:rPr>
          <w:rFonts w:ascii="Calibri" w:cs="Calibri" w:eastAsia="Calibri" w:hAnsi="Calibri"/>
          <w:b/>
          <w:bCs/>
          <w:color w:val="262321"/>
          <w:sz w:val="26"/>
          <w:szCs w:val="26"/>
        </w:rPr>
        <w:t xml:space="preserve">Arsitektur Jaringan Komunikasi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Cluster Head (CH) memiliki dimensi lebih besar karena mendukung jangkauan LoRa yang lebih luas, kapasitas komunikasi yang lebih besar, serta mendukung pengembangan sistem di masa mendatang.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Sistem yang dikembangkan telah menggunakan arsitektur multi-channel, berbeda dengan implementasi sebelumnya di Kasim yang masih menggunakan single channel.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Jumlah Cluster Head diupayakan seminimal mungkin untuk mengurangi kompleksitas instalasi.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Pengalaman pengujian di ITB menunjukkan dua Cluster Head telah mampu mencakup area pengujian secara memadai.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Posisi tiga repeater yang telah terpasang di kilang dapat dijadikan referensi penempatan perangkat karena telah terbukti memberikan cakupan komunikasi yang baik.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Sistem GLD diharapkan dapat mengadopsi topologi tersebut sehingga Cluster Head juga dapat berfungsi sebagai repeater.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Tim diminta mengevaluasi kapasitas Gateway dan Cluster Head terhadap jumlah sensor yang dapat dilayani serta menyediakan indikator apabila diperlukan penambahan perangkat.</w:t>
      </w:r>
    </w:p>
    <w:p>
      <w:pPr>
        <w:pBdr>
          <w:bottom w:val="single" w:color="DCE3EE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2B5FCB"/>
          <w:sz w:val="26"/>
          <w:szCs w:val="26"/>
        </w:rPr>
        <w:t xml:space="preserve">03  </w:t>
      </w:r>
      <w:r>
        <w:rPr>
          <w:rFonts w:ascii="Calibri" w:cs="Calibri" w:eastAsia="Calibri" w:hAnsi="Calibri"/>
          <w:b/>
          <w:bCs/>
          <w:color w:val="262321"/>
          <w:sz w:val="26"/>
          <w:szCs w:val="26"/>
        </w:rPr>
        <w:t xml:space="preserve">Aspek Keselamatan dan Sertifikasi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Instalasi perangkat harus memperhatikan aspek keselamatan baik secara teknis maupun visual sehingga tidak menimbulkan persepsi negatif bagi operator maupun personel di lapangan.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Mengingat lokasi implementasi berada di area kilang, perangkat harus memenuhi persyaratan sertifikasi yang berlaku.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Pada tahap uji coba, pemasangan perangkat dibatasi pada ketinggian setara tinggi manusia karena perangkat belum memperoleh sertifikasi untuk instalasi permanen di area tertentu.</w:t>
      </w:r>
    </w:p>
    <w:p>
      <w:pPr>
        <w:pBdr>
          <w:bottom w:val="single" w:color="DCE3EE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2B5FCB"/>
          <w:sz w:val="26"/>
          <w:szCs w:val="26"/>
        </w:rPr>
        <w:t xml:space="preserve">04  </w:t>
      </w:r>
      <w:r>
        <w:rPr>
          <w:rFonts w:ascii="Calibri" w:cs="Calibri" w:eastAsia="Calibri" w:hAnsi="Calibri"/>
          <w:b/>
          <w:bCs/>
          <w:color w:val="262321"/>
          <w:sz w:val="26"/>
          <w:szCs w:val="26"/>
        </w:rPr>
        <w:t xml:space="preserve">Pengembangan Sistem GLD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Sistem dirancang juga agar mampu mendeteksi gas: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Benzene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Carbon Monoxide (CO)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Hydrogen Sulfide (</w:t>
      </w:r>
      <w:r>
        <w:rPr>
          <w:rFonts w:ascii="Calibri" w:cs="Calibri" w:eastAsia="Calibri" w:hAnsi="Calibri"/>
          <w:color w:val="454B57"/>
          <w:sz w:val="22"/>
          <w:szCs w:val="22"/>
        </w:rPr>
        <w:t xml:space="preserve">H</w:t>
      </w:r>
      <w:r>
        <w:rPr>
          <w:rFonts w:ascii="Calibri" w:cs="Calibri" w:eastAsia="Calibri" w:hAnsi="Calibri"/>
          <w:color w:val="454B57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color w:val="454B57"/>
          <w:sz w:val="22"/>
          <w:szCs w:val="22"/>
        </w:rPr>
        <w:t xml:space="preserve">S</w:t>
      </w:r>
      <w:r>
        <w:rPr>
          <w:rFonts w:ascii="Calibri" w:cs="Calibri" w:eastAsia="Calibri" w:hAnsi="Calibri"/>
          <w:color w:val="454B57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Sampel gas tidak diambil langsung di area kilang. Sampel akan disiapkan dan dibawa oleh tim Pertamina ke lokasi pengujian.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Sistem harus menampilkan nilai konsentrasi gas (ppm) secara real-time.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Alarm harus dapat dikonfigurasi berdasarkan nilai ambang (threshold):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Untuk gas mudah terbakar, alarm aktif setelah konsentrasi melampaui batas bahaya kebakaran.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Untuk gas beracun seperti CO dan </w:t>
      </w:r>
      <w:r>
        <w:rPr>
          <w:rFonts w:ascii="Calibri" w:cs="Calibri" w:eastAsia="Calibri" w:hAnsi="Calibri"/>
          <w:color w:val="454B57"/>
          <w:sz w:val="22"/>
          <w:szCs w:val="22"/>
        </w:rPr>
        <w:t xml:space="preserve">H</w:t>
      </w:r>
      <w:r>
        <w:rPr>
          <w:rFonts w:ascii="Calibri" w:cs="Calibri" w:eastAsia="Calibri" w:hAnsi="Calibri"/>
          <w:color w:val="454B57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color w:val="454B57"/>
          <w:sz w:val="22"/>
          <w:szCs w:val="22"/>
        </w:rPr>
        <w:t xml:space="preserve">S</w:t>
      </w:r>
      <w:r>
        <w:rPr>
          <w:rFonts w:ascii="Calibri" w:cs="Calibri" w:eastAsia="Calibri" w:hAnsi="Calibri"/>
          <w:color w:val="454B57"/>
          <w:sz w:val="22"/>
          <w:szCs w:val="22"/>
        </w:rPr>
        <w:t xml:space="preserve">, alarm harus aktif segera ketika konsentrasi melebihi ambang batas keselamatan.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Aplikasi perlu menampilkan informasi lokasi perangkat, termasuk kolom Area dan identitas peralatan agar setiap sensor dapat diidentifikasi dengan mudah.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Jalur pembuangan gas setelah proses pengambilan sampel perlu dievaluasi agar tidak menimbulkan paparan terhadap pengguna maupun lingkungan sekitar.</w:t>
      </w:r>
    </w:p>
    <w:p>
      <w:pPr>
        <w:pBdr>
          <w:bottom w:val="single" w:color="DCE3EE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2B5FCB"/>
          <w:sz w:val="26"/>
          <w:szCs w:val="26"/>
        </w:rPr>
        <w:t xml:space="preserve">05  </w:t>
      </w:r>
      <w:r>
        <w:rPr>
          <w:rFonts w:ascii="Calibri" w:cs="Calibri" w:eastAsia="Calibri" w:hAnsi="Calibri"/>
          <w:b/>
          <w:bCs/>
          <w:color w:val="262321"/>
          <w:sz w:val="26"/>
          <w:szCs w:val="26"/>
        </w:rPr>
        <w:t xml:space="preserve">Evaluasi Teknologi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Menarik untuk membandingkan performa jaringan GLD dengan sistem corrosion monitoring komersial, misalnya Emerson, termasuk kemungkinan penggunaan konsep WirelessHART.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Pemilihan teknologi komunikasi selanjutnya perlu mempertimbangkan chipset yang digunakan sehingga implementasi tidak perlu dikembangkan sepenuhnya dari awal.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Perbedaan kebutuhan komunikasi antara sistem GLD dan corrosion monitoring perlu menjadi pertimbangan karena: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GLD berorientasi pada aspek safety dan memerlukan komunikasi lebih intensif.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Corrosion monitoring lebih menekankan keandalan alat dengan frekuensi pengiriman data yang relatif rendah (sekitar dua kali per hari).</w:t>
      </w:r>
    </w:p>
    <w:p>
      <w:pPr>
        <w:pBdr>
          <w:bottom w:val="single" w:color="DCE3EE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2B5FCB"/>
          <w:sz w:val="26"/>
          <w:szCs w:val="26"/>
        </w:rPr>
        <w:t xml:space="preserve">06  </w:t>
      </w:r>
      <w:r>
        <w:rPr>
          <w:rFonts w:ascii="Calibri" w:cs="Calibri" w:eastAsia="Calibri" w:hAnsi="Calibri"/>
          <w:b/>
          <w:bCs/>
          <w:color w:val="262321"/>
          <w:sz w:val="26"/>
          <w:szCs w:val="26"/>
        </w:rPr>
        <w:t xml:space="preserve">Status Perangkat</w:t>
      </w:r>
    </w:p>
    <w:p>
      <w:pPr>
        <w:spacing w:after="16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Disampaikan perkembangan jumlah perangkat yang telah diproduksi: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E3EE" w:sz="4"/>
          <w:insideV w:val="none" w:color="FFFFFF" w:sz="0"/>
        </w:tblBorders>
      </w:tblPr>
      <w:tblGrid>
        <w:gridCol w:w="6700"/>
        <w:gridCol w:w="3000"/>
      </w:tblGrid>
      <w:tr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Cluster Head — Besar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9 unit</w:t>
            </w:r>
          </w:p>
        </w:tc>
      </w:tr>
      <w:tr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Cluster Head — Kecil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7 unit</w:t>
            </w:r>
          </w:p>
        </w:tc>
      </w:tr>
      <w:tr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GLD (sesuai permintaan saat ini)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4 unit</w:t>
            </w:r>
          </w:p>
        </w:tc>
      </w:tr>
    </w:tbl>
    <w:p>
      <w:pPr>
        <w:spacing w:after="200"/>
      </w:pPr>
    </w:p>
    <w:p>
      <w:pPr>
        <w:pBdr>
          <w:bottom w:val="single" w:color="DCE3EE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2B5FCB"/>
          <w:sz w:val="26"/>
          <w:szCs w:val="26"/>
        </w:rPr>
        <w:t xml:space="preserve">07  </w:t>
      </w:r>
      <w:r>
        <w:rPr>
          <w:rFonts w:ascii="Calibri" w:cs="Calibri" w:eastAsia="Calibri" w:hAnsi="Calibri"/>
          <w:b/>
          <w:bCs/>
          <w:color w:val="262321"/>
          <w:sz w:val="26"/>
          <w:szCs w:val="26"/>
        </w:rPr>
        <w:t xml:space="preserve">Catu Daya (Solar Panel)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Pak Raihan (RU VII Kasim) menanyakan kebutuhan solar panel apabila GLD menggunakan kombinasi baterai dan solar panel.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Pertamina menyatakan ukuran fisik solar panel yang besar tidak menjadi masalah, dicontohkan setara panel lampu penerangan jalan umum (PJU) atau lebih besar.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Tim diminta menyusun cost-benefit analysis antara solar panel dan catu daya kabel, termasuk CAPEX kabel (biaya pengadaan dan instalasi kabel) sebagai pembanding.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454B57"/>
          <w:sz w:val="22"/>
          <w:szCs w:val="22"/>
        </w:rPr>
        <w:t xml:space="preserve">Perhitungan kebutuhan daya (Wp) dan cost-benefit analysis akan disusun oleh Tim ITB Fisika.</w:t>
      </w:r>
    </w:p>
    <w:p>
      <w:pPr>
        <w:pBdr>
          <w:bottom w:val="single" w:color="DCE3EE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2B5FCB"/>
          <w:sz w:val="26"/>
          <w:szCs w:val="26"/>
        </w:rPr>
        <w:t xml:space="preserve">→  </w:t>
      </w:r>
      <w:r>
        <w:rPr>
          <w:rFonts w:ascii="Calibri" w:cs="Calibri" w:eastAsia="Calibri" w:hAnsi="Calibri"/>
          <w:b/>
          <w:bCs/>
          <w:color w:val="262321"/>
          <w:sz w:val="26"/>
          <w:szCs w:val="26"/>
        </w:rPr>
        <w:t xml:space="preserve">Tindak Lanjut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600"/>
        <w:gridCol w:w="2700"/>
      </w:tblGrid>
      <w:tr>
        <w:trPr>
          <w:tblHeader/>
        </w:trPr>
        <w:tc>
          <w:tcPr>
            <w:tcW w:type="dxa" w:w="700"/>
            <w:shd w:fill="2B5FC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6600"/>
            <w:shd w:fill="2B5FC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Tindak Lanjut</w:t>
            </w:r>
          </w:p>
        </w:tc>
        <w:tc>
          <w:tcPr>
            <w:tcW w:type="dxa" w:w="2700"/>
            <w:shd w:fill="2B5FC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Penanggung Jawab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Menyusun desain mounting dan bracket sesuai standar kilang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Tim Mekanik ITB</w:t>
            </w:r>
          </w:p>
        </w:tc>
      </w:tr>
      <w:tr>
        <w:tc>
          <w:tcPr>
            <w:tcW w:type="dxa" w:w="7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2</w:t>
            </w:r>
          </w:p>
        </w:tc>
        <w:tc>
          <w:tcPr>
            <w:tcW w:type="dxa" w:w="66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Menyusun skenario instalasi lengkap beserta dimensi pemasangan</w:t>
            </w:r>
          </w:p>
        </w:tc>
        <w:tc>
          <w:tcPr>
            <w:tcW w:type="dxa" w:w="27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Tim Mekanik dan Vendor Mekanik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3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Mengevaluasi kapasitas Gateway dan Cluster Head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Tim Komunikasi ITB</w:t>
            </w:r>
          </w:p>
        </w:tc>
      </w:tr>
      <w:tr>
        <w:tc>
          <w:tcPr>
            <w:tcW w:type="dxa" w:w="7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4</w:t>
            </w:r>
          </w:p>
        </w:tc>
        <w:tc>
          <w:tcPr>
            <w:tcW w:type="dxa" w:w="66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Mengembangkan fitur alarm berbasis threshold gas</w:t>
            </w:r>
          </w:p>
        </w:tc>
        <w:tc>
          <w:tcPr>
            <w:tcW w:type="dxa" w:w="27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Tim AI ITB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5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Menambahkan informasi Area dan Equipment pada dashboard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Tim UI ITB</w:t>
            </w:r>
          </w:p>
        </w:tc>
      </w:tr>
      <w:tr>
        <w:tc>
          <w:tcPr>
            <w:tcW w:type="dxa" w:w="7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6</w:t>
            </w:r>
          </w:p>
        </w:tc>
        <w:tc>
          <w:tcPr>
            <w:tcW w:type="dxa" w:w="66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Mengkaji sistem pembuangan gas setelah proses sampling</w:t>
            </w:r>
          </w:p>
        </w:tc>
        <w:tc>
          <w:tcPr>
            <w:tcW w:type="dxa" w:w="27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Tim Instrumentasi ITB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7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Melakukan studi perbandingan topologi jaringan dengan sistem Emerson/WirelessHART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Tim Komunikasi ITB</w:t>
            </w:r>
          </w:p>
        </w:tc>
      </w:tr>
      <w:tr>
        <w:tc>
          <w:tcPr>
            <w:tcW w:type="dxa" w:w="7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8</w:t>
            </w:r>
          </w:p>
        </w:tc>
        <w:tc>
          <w:tcPr>
            <w:tcW w:type="dxa" w:w="66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Menyusun rencana sertifikasi perangkat untuk implementasi di kilang</w:t>
            </w:r>
          </w:p>
        </w:tc>
        <w:tc>
          <w:tcPr>
            <w:tcW w:type="dxa" w:w="2700"/>
            <w:shd w:fill="ED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Tim ITB bersama Pertamina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9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Menghitung kebutuhan solar panel (Wp) dan cost-benefit analysis vs catu daya kabel (termasuk CAPEX kabel)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54B57"/>
                <w:sz w:val="20"/>
                <w:szCs w:val="20"/>
              </w:rPr>
              <w:t xml:space="preserve">Beny (ITB Fisika)</w:t>
            </w:r>
          </w:p>
        </w:tc>
      </w:tr>
    </w:tbl>
    <w:p>
      <w:pPr>
        <w:spacing w:before="240"/>
      </w:pPr>
    </w:p>
    <w:p>
      <w:r>
        <w:rPr>
          <w:rFonts w:ascii="Calibri" w:cs="Calibri" w:eastAsia="Calibri" w:hAnsi="Calibri"/>
          <w:i/>
          <w:iCs/>
          <w:color w:val="6B7480"/>
          <w:sz w:val="20"/>
          <w:szCs w:val="20"/>
        </w:rPr>
        <w:t xml:space="preserve">Notulensi ini telah disusun berdasarkan poin-poin pembahasan dalam dokumen rapat dengan penyusunan ulang agar lebih sistematis dan mudah ditindaklanjuti. Bagian 07 (Catu Daya/Solar Panel) ditambahkan berdasarkan konfirmasi tim bahwa topik tersebut turut dibahas dalam rapat.</w:t>
      </w:r>
    </w:p>
    <w:sectPr>
      <w:headerReference w:type="default" r:id="rId7"/>
      <w:footerReference w:type="default" r:id="rId8"/>
      <w:pgSz w:w="11906" w:h="16838" w:orient="portrait"/>
      <w:pgMar w:top="900" w:right="1134" w:bottom="900" w:left="1134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E" w:sz="6" w:space="4"/>
      </w:pBdr>
      <w:tabs>
        <w:tab w:val="right" w:pos="9026"/>
      </w:tabs>
      <w:spacing w:before="120"/>
    </w:pPr>
    <w:r>
      <w:rPr>
        <w:rFonts w:ascii="Calibri" w:cs="Calibri" w:eastAsia="Calibri" w:hAnsi="Calibri"/>
        <w:color w:val="6B7480"/>
        <w:sz w:val="16"/>
        <w:szCs w:val="16"/>
      </w:rPr>
      <w:t xml:space="preserve">Notulensi Rapat GLD — 6 Agustus 2026</w:t>
    </w:r>
    <w:r>
      <w:rPr>
        <w:rFonts w:ascii="Calibri" w:cs="Calibri" w:eastAsia="Calibri" w:hAnsi="Calibri"/>
        <w:color w:val="6B7480"/>
        <w:sz w:val="16"/>
        <w:szCs w:val="16"/>
      </w:rPr>
      <w:t xml:space="preserve">	Halaman </w:t>
    </w:r>
    <w:r>
      <w:rPr>
        <w:rFonts w:ascii="Calibri" w:cs="Calibri" w:eastAsia="Calibri" w:hAnsi="Calibri"/>
        <w:color w:val="6B74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000"/>
      <w:gridCol w:w="4700"/>
    </w:tblGrid>
    <w:tr>
      <w:tc>
        <w:tcPr>
          <w:tcW w:type="dxa" w:w="5000"/>
          <w:shd w:fill="2B5FCB" w:val="clear"/>
          <w:tcMar>
            <w:top w:type="dxa" w:w="140"/>
            <w:left w:type="dxa" w:w="0"/>
            <w:bottom w:type="dxa" w:w="140"/>
            <w:right w:type="dxa" w:w="10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7"/>
              <w:szCs w:val="17"/>
            </w:rPr>
            <w:t xml:space="preserve">GAS LEAK DETECTION  ·  PROGRAM TAHAP 2</w:t>
          </w:r>
        </w:p>
      </w:tc>
      <w:tc>
        <w:tcPr>
          <w:tcW w:type="dxa" w:w="4700"/>
          <w:shd w:fill="2B5FCB" w:val="clear"/>
          <w:tcMar>
            <w:top w:type="dxa" w:w="140"/>
            <w:left w:type="dxa" w:w="100"/>
            <w:bottom w:type="dxa" w:w="14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FFFFFF"/>
              <w:sz w:val="17"/>
              <w:szCs w:val="17"/>
            </w:rPr>
            <w:t xml:space="preserve">LAPI Ganesha Utama · ITB · Pertamina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2026-08-09T13:28:21.044Z</dcterms:created>
  <dcterms:modified xsi:type="dcterms:W3CDTF">2026-08-09T13:28:21.058Z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