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2041"/>
        <w:gridCol w:w="5443"/>
        <w:gridCol w:w="2041"/>
      </w:tblGrid>
      <w:tr>
        <w:tc>
          <w:tcPr>
            <w:tcW w:type="dxa" w:w="2041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347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g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47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43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23"/>
                <w:u w:val="none"/>
              </w:rPr>
              <w:t>DOKUMEN PEMENUHAN KLAUSUL TERMIN 1</w:t>
            </w:r>
          </w:p>
        </w:tc>
        <w:tc>
          <w:tcPr>
            <w:tcW w:type="dxa" w:w="2041"/>
            <w:vMerge w:val="restart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319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ertamin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319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041"/>
            <w:vMerge/>
          </w:tcPr>
          <w:p/>
        </w:tc>
        <w:tc>
          <w:tcPr>
            <w:tcW w:type="dxa" w:w="5443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Program Sertifikasi Hazardous Area (ATEX/IECEx)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Gas Leak Detector (GLD) Tahap 2 — SP-001/KPI43400/2026-S0</w:t>
            </w:r>
          </w:p>
        </w:tc>
        <w:tc>
          <w:tcPr>
            <w:tcW w:type="dxa" w:w="2041"/>
            <w:vMerge/>
          </w:tcPr>
          <w:p/>
        </w:tc>
      </w:tr>
    </w:tbl>
    <w:p>
      <w:pPr>
        <w:spacing w:after="40" w:before="0" w:line="276" w:lineRule="auto"/>
        <w:jc w:val="both"/>
      </w:pPr>
      <w:r>
        <w:rPr>
          <w:rFonts w:ascii="Arial" w:hAnsi="Arial" w:eastAsia="Arial"/>
          <w:b w:val="0"/>
          <w:i w:val="0"/>
          <w:sz w:val="20"/>
          <w:u w:val="none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2608"/>
        <w:gridCol w:w="6917"/>
      </w:tblGrid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Nomor Surat Pesanan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SP-001/KPI43400/2026-S0 — Sertifikasi</w:t>
            </w:r>
          </w:p>
        </w:tc>
      </w:tr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Nomor dokumen / Revisi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LGU-GLD-SP001-T1-2026-001 / Rev. 1.0</w:t>
            </w:r>
          </w:p>
        </w:tc>
      </w:tr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Tanggal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Oktober 2026</w:t>
            </w:r>
          </w:p>
        </w:tc>
      </w:tr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Pelaksana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PT LAPI Ganesha Utama, bersama Lab IoT &amp; Fisika Institut Teknologi Bandung</w:t>
            </w:r>
          </w:p>
        </w:tc>
      </w:tr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Ditujukan kepada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PT Pertamina Patra Niaga</w:t>
            </w:r>
          </w:p>
        </w:tc>
      </w:tr>
      <w:tr>
        <w:tc>
          <w:tcPr>
            <w:tcW w:type="dxa" w:w="2608"/>
            <w:vAlign w:val="center"/>
            <w:shd w:val="clear" w:color="auto" w:fill="EDEDED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Objek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8"/>
                <w:u w:val="none"/>
              </w:rPr>
              <w:t>Prototipe Node Sensor Gas Leak Detector (GLD) V2 — sampel S/N GLD2-0x1001</w:t>
            </w:r>
          </w:p>
        </w:tc>
      </w:tr>
    </w:tbl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4"/>
          <w:u w:val="none"/>
        </w:rPr>
        <w:t>1. Klausul Termin yang Dipenuhi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i w:val="0"/>
          <w:sz w:val="20"/>
          <w:u w:val="none"/>
        </w:rPr>
        <w:t>Ketentuan pembayaran Termin 1 pada Surat Pesanan SP-001/KPI43400/2026-S0 (Sertifikasi) berbunyi: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9524"/>
      </w:tblGrid>
      <w:tr>
        <w:tc>
          <w:tcPr>
            <w:tcW w:type="dxa" w:w="9524"/>
            <w:shd w:val="clear" w:color="auto" w:fill="F3F6FC"/>
            <w:vAlign w:val="center"/>
          </w:tcPr>
          <w:p>
            <w:pPr>
              <w:spacing w:after="80" w:before="80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u w:val="none"/>
              </w:rPr>
              <w:t>“Tersedia prototype GLD yang telah diuji dan diperbaiki desainnya. Dilampirkan foto perangkatnya, dan foto-foto waktu kami kunjungan ke ITB.”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Arial" w:hAnsi="Arial" w:eastAsia="Arial"/>
          <w:b w:val="0"/>
          <w:i w:val="0"/>
          <w:sz w:val="20"/>
          <w:u w:val="none"/>
        </w:rPr>
        <w:t>Dokumen ini menguraikan pemenuhan setiap unsur klausul tersebut beserta buktinya. Penilaian akhir pemenuhan dan persetujuan pembayaran merupakan kewenangan PT Pertamina Patra Niaga.</w:t>
      </w:r>
    </w:p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4"/>
          <w:u w:val="none"/>
        </w:rPr>
        <w:t>2. Matriks Pemenuhan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510"/>
        <w:gridCol w:w="1701"/>
        <w:gridCol w:w="4649"/>
        <w:gridCol w:w="1474"/>
        <w:gridCol w:w="1191"/>
      </w:tblGrid>
      <w:tr>
        <w:tc>
          <w:tcPr>
            <w:tcW w:type="dxa" w:w="510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No</w:t>
            </w:r>
          </w:p>
        </w:tc>
        <w:tc>
          <w:tcPr>
            <w:tcW w:type="dxa" w:w="1701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Unsur klausul</w:t>
            </w:r>
          </w:p>
        </w:tc>
        <w:tc>
          <w:tcPr>
            <w:tcW w:type="dxa" w:w="4649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Bukti pemenuhan</w:t>
            </w:r>
          </w:p>
        </w:tc>
        <w:tc>
          <w:tcPr>
            <w:tcW w:type="dxa" w:w="1474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Rujukan</w:t>
            </w:r>
          </w:p>
        </w:tc>
        <w:tc>
          <w:tcPr>
            <w:tcW w:type="dxa" w:w="1191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Status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Tersedia prototype GLD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Prototipe Node Sensor GLD V2 telah terakit lengkap: casing die-cast aluminium dengan tutup ber-mesh stainless steel, 8 sensor gas (MQ-2/3B/4/5/6/7B/8/135), kipas DC, motherboard ESP32-S3 dengan PCB cover terminal (V4), radio LoRa, catu 24 VDC. Unit yang diajukan untuk sertifikasi ber-S/N GLD2-0x1001; total 4 unit GLD tersedia (3 untuk RU IV + 1 cadangan).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Lampiran 1 (Foto 1–8)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Tersedia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Telah diuji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(a) Factory Acceptance Test laboratorium FAT-01 s.d. FAT-07, 7 dari 7 item lulus (Laporan FAT No. LGU/GLD/FAT/2026-001 Rev 1.4). (b) Uji termal internal 30 Sep 2026: 8 kanal thermocouple, 3 kondisi (normal, beban maksimum, kipas mati), 180 menit. (c) Pengukuran dimensi enclosure dengan jangka sorong, 7 Okt 2026.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Bagian 3.1; Laporan FAT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Tersedia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Diperbaiki desainnya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PCB Node Sensor GLD diiterasi V1 s.d. V5 dengan catatan perubahan per versi; casing berkembang dari ATEX Casing v2 ke GLD ATEX Case v3; antena dipindah ke muka atas base; PCB cover terminal kabel &amp; lubang baut motherboard ditambahkan; konsep proteksi diarahkan ke Ex d (flameproof).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Bagian 3.2; Gambar 1; Lampiran 1 (Foto 7–8)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Tersedia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Dilampirkan foto perangkat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Foto prototipe terkini (tampak depan, belakang, samping, bagian dalam, motherboard, tutup ber-mesh) serta foto iterasi sebelumnya sebagai pembanding perbaikan desain.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Lampiran 1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Terlampir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Dilampirkan foto kunjungan ke ITB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Dokumentasi kunjungan PT Pertamina Patra Niaga ke Lab IoT, Instrumentation and Computations, Gedung Laboratorium Fisika Terpadu, Institut Teknologi Bandung, 6 Agustus 2026 (peninjauan prototipe dan demonstrasi integrasi sistem).</w:t>
            </w:r>
          </w:p>
        </w:tc>
        <w:tc>
          <w:tcPr>
            <w:tcW w:type="dxa" w:w="1474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Lampiran 2</w:t>
            </w:r>
          </w:p>
        </w:tc>
        <w:tc>
          <w:tcPr>
            <w:tcW w:type="dxa" w:w="1191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Terlampir</w:t>
            </w:r>
          </w:p>
        </w:tc>
      </w:tr>
    </w:tbl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4"/>
          <w:u w:val="none"/>
        </w:rPr>
        <w:t>3. Uraian Pemenuhan</w:t>
      </w:r>
    </w:p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1"/>
          <w:u w:val="none"/>
        </w:rPr>
        <w:t>3.1 Prototipe telah diuji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2381"/>
        <w:gridCol w:w="2381"/>
        <w:gridCol w:w="4762"/>
      </w:tblGrid>
      <w:tr>
        <w:tc>
          <w:tcPr>
            <w:tcW w:type="dxa" w:w="2381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Pengujian</w:t>
            </w:r>
          </w:p>
        </w:tc>
        <w:tc>
          <w:tcPr>
            <w:tcW w:type="dxa" w:w="2381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Waktu / tempat</w:t>
            </w:r>
          </w:p>
        </w:tc>
        <w:tc>
          <w:tcPr>
            <w:tcW w:type="dxa" w:w="4762"/>
            <w:vAlign w:val="center"/>
            <w:shd w:val="clear" w:color="auto" w:fill="D9E2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8"/>
                <w:u w:val="none"/>
              </w:rPr>
              <w:t>Hasil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Factory Acceptance Test (FAT) laboratorium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Lab IoT ITB, Mei–Agustus 2026; disaksikan PT Pertamina Patra Niaga 6 Agustus 2026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7/7 item lulus: pembacaan 8 kanal sensor, klasifikasi gas AI di perangkat (ESP32-S3), komunikasi LoRa, mesh &amp; failover Cluster Head, integrasi end-to-end, alarm otomatis, serta monitoring data dan alarm di dashboard.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Uji termal internal (persiapan kelas suhu T4)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30 September 2026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8 kanal thermocouple; kondisi normal, beban maksimum, dan kipas mati; 180 menit. Ekstrapolasi ke suhu ambien +60 °C: titik terpanas ±114 °C, di bawah batas efektif T4 (130 °C). Titik ukur komponen daya akan dilengkapi pada uji laboratorium.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/>
                <w:i w:val="0"/>
                <w:sz w:val="17"/>
                <w:u w:val="none"/>
              </w:rPr>
              <w:t>Pengukuran dimensi enclosure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7 Oktober 2026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b w:val="0"/>
                <w:i w:val="0"/>
                <w:sz w:val="17"/>
                <w:u w:val="none"/>
              </w:rPr>
              <w:t>Jangka sorong: dinding leher ulir 10,50 mm (pangkal) / 5,80 mm (atas), tinggi leher berulir ±14,8 mm, diameter dalam ±84,7 mm, penampang O-ring 2,70 mm — data masukan dossier Ex d.</w:t>
            </w:r>
          </w:p>
        </w:tc>
      </w:tr>
    </w:tbl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1"/>
          <w:u w:val="none"/>
        </w:rPr>
        <w:t>3.2 Desain telah diperbaiki</w:t>
      </w:r>
    </w:p>
    <w:p>
      <w:pPr>
        <w:pStyle w:val="ListBullet"/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0"/>
          <w:u w:val="none"/>
        </w:rPr>
        <w:t xml:space="preserve">PCB Node Sensor GLD V1 → V5. </w:t>
      </w:r>
      <w:r>
        <w:rPr>
          <w:rFonts w:ascii="Arial" w:hAnsi="Arial" w:eastAsia="Arial"/>
          <w:b w:val="0"/>
          <w:i w:val="0"/>
          <w:sz w:val="20"/>
          <w:u w:val="none"/>
        </w:rPr>
        <w:t>V2 memisahkan rangkaian sensor MQ ke sensor board dengan saklar daya; V3 memperbaiki temuan V2 (jalur catu +5VA, soket kipas 5 V); V4 menambahkan PCB cover dengan terminal kabel dan lubang baut pemasangan motherboard; V5 memisahkan fungsi akuisisi ke Sensor PCB terhubung konektor 16-pin, motherboard mempertahankan ESP32 dan watchdog (Gambar 1).</w:t>
      </w:r>
    </w:p>
    <w:p>
      <w:pPr>
        <w:pStyle w:val="ListBullet"/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0"/>
          <w:u w:val="none"/>
        </w:rPr>
        <w:t xml:space="preserve">Casing / enclosure. </w:t>
      </w:r>
      <w:r>
        <w:rPr>
          <w:rFonts w:ascii="Arial" w:hAnsi="Arial" w:eastAsia="Arial"/>
          <w:b w:val="0"/>
          <w:i w:val="0"/>
          <w:sz w:val="20"/>
          <w:u w:val="none"/>
        </w:rPr>
        <w:t>Berkembang dari ATEX Casing v2 ke GLD ATEX Case v3 (8 September 2026) dengan tutup ber-mesh stainless steel, kipas DC, dan dimensi yang disesuaikan untuk konsep proteksi Ex d.</w:t>
      </w:r>
    </w:p>
    <w:p>
      <w:pPr>
        <w:pStyle w:val="ListBullet"/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0"/>
          <w:u w:val="none"/>
        </w:rPr>
        <w:t xml:space="preserve">Antena dan tata letak. </w:t>
      </w:r>
      <w:r>
        <w:rPr>
          <w:rFonts w:ascii="Arial" w:hAnsi="Arial" w:eastAsia="Arial"/>
          <w:b w:val="0"/>
          <w:i w:val="0"/>
          <w:sz w:val="20"/>
          <w:u w:val="none"/>
        </w:rPr>
        <w:t>Antena LoRa dipindah dari sisi samping ke muka atas base; posisi nameplate ditetapkan di samping antena (bandingkan Foto 7–8 dengan Foto 1–2).</w:t>
      </w:r>
    </w:p>
    <w:p>
      <w:pPr>
        <w:pStyle w:val="ListBullet"/>
        <w:spacing w:after="120" w:line="276" w:lineRule="auto"/>
        <w:jc w:val="both"/>
      </w:pPr>
      <w:r>
        <w:rPr>
          <w:rFonts w:ascii="Arial" w:hAnsi="Arial" w:eastAsia="Arial"/>
          <w:b/>
          <w:i w:val="0"/>
          <w:sz w:val="20"/>
          <w:u w:val="none"/>
        </w:rPr>
        <w:t xml:space="preserve">Arah sertifikasi. </w:t>
      </w:r>
      <w:r>
        <w:rPr>
          <w:rFonts w:ascii="Arial" w:hAnsi="Arial" w:eastAsia="Arial"/>
          <w:b w:val="0"/>
          <w:i w:val="0"/>
          <w:sz w:val="20"/>
          <w:u w:val="none"/>
        </w:rPr>
        <w:t>Konsep proteksi Ex d, marking usulan II 2G Ex db IIC T4 Gb; formulir aplikasi dan dossier teknis telah diajukan ke GTS (agen sertifikasi) sekitar 29 September 2026, dan surat pengantar sampel S/N GLD2-0x1001 ke GTS Shanghai diterbitkan 12 Oktober 2026.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245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4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 w:line="276" w:lineRule="auto"/>
        <w:jc w:val="center"/>
      </w:pPr>
      <w:r>
        <w:rPr>
          <w:rFonts w:ascii="Arial" w:hAnsi="Arial" w:eastAsia="Arial"/>
          <w:b w:val="0"/>
          <w:i/>
          <w:sz w:val="17"/>
          <w:u w:val="none"/>
        </w:rPr>
        <w:t>Gambar 1. Iterasi PCB Node Sensor GLD, versi V1 hingga V5</w:t>
      </w:r>
    </w:p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4"/>
          <w:u w:val="none"/>
        </w:rPr>
        <w:t>4. Pernyataan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i w:val="0"/>
          <w:sz w:val="20"/>
          <w:u w:val="none"/>
        </w:rPr>
        <w:t>Berdasarkan uraian dan lampiran di atas, PT LAPI Ganesha Utama menyatakan bahwa ketentuan Termin 1 pada Surat Pesanan SP-001/KPI43400/2026-S0 (Sertifikasi) — tersedianya prototipe GLD yang telah diuji dan diperbaiki desainnya, disertai foto perangkat dan foto kunjungan ke ITB — telah dipenuhi, dan mengajukan dokumen ini kepada PT Pertamina Patra Niaga untuk diperiksa dan disetujui sebagai dasar proses pembayaran Termin 1.</w:t>
      </w:r>
    </w:p>
    <w:p>
      <w:r>
        <w:br w:type="page"/>
      </w:r>
    </w:p>
    <w:p>
      <w:pPr>
        <w:keepNext/>
        <w:spacing w:after="120" w:before="200" w:line="276" w:lineRule="auto"/>
        <w:jc w:val="left"/>
      </w:pPr>
      <w:r>
        <w:rPr>
          <w:rFonts w:ascii="Arial" w:hAnsi="Arial" w:eastAsia="Arial"/>
          <w:b/>
          <w:i w:val="0"/>
          <w:sz w:val="24"/>
          <w:u w:val="none"/>
        </w:rPr>
        <w:t>5. Lembar Pengesahan</w:t>
      </w:r>
    </w:p>
    <w:p>
      <w:pPr>
        <w:spacing w:after="160" w:before="0" w:line="276" w:lineRule="auto"/>
        <w:jc w:val="left"/>
      </w:pPr>
      <w:r>
        <w:rPr>
          <w:rFonts w:ascii="Arial" w:hAnsi="Arial" w:eastAsia="Arial"/>
          <w:b w:val="0"/>
          <w:i w:val="0"/>
          <w:sz w:val="20"/>
          <w:u w:val="none"/>
        </w:rPr>
        <w:t>Bandung, ........ Oktober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  <w:tblLayout w:type="fixed"/>
      </w:tblPr>
      <w:tblGrid>
        <w:gridCol w:w="4762"/>
        <w:gridCol w:w="4762"/>
      </w:tblGrid>
      <w:tr>
        <w:tc>
          <w:tcPr>
            <w:tcW w:type="dxa" w:w="4762"/>
            <w:vAlign w:val="center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  <w:u w:val="none"/>
              </w:rPr>
              <w:t>Diajukan oleh,</w:t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19"/>
                <w:u w:val="none"/>
              </w:rPr>
              <w:t>PT LAPI Ganesha Utama</w:t>
            </w:r>
          </w:p>
        </w:tc>
        <w:tc>
          <w:tcPr>
            <w:tcW w:type="dxa" w:w="4762"/>
            <w:vAlign w:val="center"/>
            <w:shd w:val="clear" w:color="auto" w:fill="EDEDE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sz w:val="19"/>
                <w:u w:val="none"/>
              </w:rPr>
              <w:t>Diperiksa dan disetujui oleh,</w:t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19"/>
                <w:u w:val="none"/>
              </w:rPr>
              <w:t>PT Pertamina Patra Niaga</w:t>
            </w:r>
          </w:p>
        </w:tc>
      </w:tr>
      <w:tr>
        <w:tc>
          <w:tcPr>
            <w:tcW w:type="dxa" w:w="4762"/>
          </w:tcPr>
          <w:p/>
          <w:tbl>
            <w:tblPr>
              <w:tblW w:type="auto" w:w="0"/>
              <w:tblLook w:firstColumn="1" w:firstRow="1" w:lastColumn="0" w:lastRow="0" w:noHBand="0" w:noVBand="1" w:val="04A0"/>
              <w:tblLayout w:type="fixed"/>
            </w:tblPr>
            <w:tblGrid>
              <w:gridCol w:w="2211"/>
              <w:gridCol w:w="2211"/>
            </w:tblGrid>
            <w:tr>
              <w:tc>
                <w:tcPr>
                  <w:tcW w:type="dxa" w:w="2211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sz w:val="18"/>
                      <w:u w:val="none"/>
                    </w:rPr>
                    <w:t>Team Leader,</w:t>
                  </w:r>
                </w:p>
              </w:tc>
              <w:tc>
                <w:tcPr>
                  <w:tcW w:type="dxa" w:w="2211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sz w:val="18"/>
                      <w:u w:val="none"/>
                    </w:rPr>
                    <w:t>Direktur Utama,</w:t>
                  </w:r>
                </w:p>
              </w:tc>
            </w:tr>
            <w:tr>
              <w:trPr>
                <w:trHeight w:val="1361"/>
              </w:trPr>
              <w:tc>
                <w:tcPr>
                  <w:tcW w:type="dxa" w:w="2211"/>
                </w:tcPr>
                <w:p/>
              </w:tc>
              <w:tc>
                <w:tcPr>
                  <w:tcW w:type="dxa" w:w="2211"/>
                </w:tcPr>
                <w:p/>
              </w:tc>
            </w:tr>
            <w:tr>
              <w:tc>
                <w:tcPr>
                  <w:tcW w:type="dxa" w:w="2211"/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sz w:val="18"/>
                      <w:u w:val="single"/>
                    </w:rPr>
                    <w:t>Dr. Maman Budiman</w:t>
                  </w:r>
                </w:p>
              </w:tc>
              <w:tc>
                <w:tcPr>
                  <w:tcW w:type="dxa" w:w="2211"/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sz w:val="18"/>
                      <w:u w:val="single"/>
                    </w:rPr>
                    <w:t>Ir. Harry Fardiman</w:t>
                  </w:r>
                </w:p>
              </w:tc>
            </w:tr>
          </w:tbl>
          <w:p/>
        </w:tc>
        <w:tc>
          <w:tcPr>
            <w:tcW w:type="dxa" w:w="4762"/>
          </w:tcPr>
          <w:p/>
          <w:tbl>
            <w:tblPr>
              <w:tblW w:type="auto" w:w="0"/>
              <w:tblLook w:firstColumn="1" w:firstRow="1" w:lastColumn="0" w:lastRow="0" w:noHBand="0" w:noVBand="1" w:val="04A0"/>
              <w:tblLayout w:type="fixed"/>
            </w:tblPr>
            <w:tblGrid>
              <w:gridCol w:w="4422"/>
            </w:tblGrid>
            <w:tr>
              <w:tc>
                <w:tcPr>
                  <w:tcW w:type="dxa" w:w="4422"/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sz w:val="18"/>
                      <w:u w:val="none"/>
                    </w:rPr>
                    <w:t>Manager Domestic Product Content &amp; Digitalization,</w:t>
                  </w:r>
                </w:p>
              </w:tc>
            </w:tr>
            <w:tr>
              <w:trPr>
                <w:trHeight w:val="1361"/>
              </w:trPr>
              <w:tc>
                <w:tcPr>
                  <w:tcW w:type="dxa" w:w="4422"/>
                </w:tcPr>
                <w:p/>
              </w:tc>
            </w:tr>
            <w:tr>
              <w:tc>
                <w:tcPr>
                  <w:tcW w:type="dxa" w:w="4422"/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sz w:val="18"/>
                      <w:u w:val="single"/>
                    </w:rPr>
                    <w:t>Agustinus Pindoan Panjaitan</w:t>
                  </w:r>
                </w:p>
              </w:tc>
            </w:tr>
          </w:tbl>
          <w:p/>
        </w:tc>
      </w:tr>
    </w:tbl>
    <w:p>
      <w:pPr>
        <w:spacing w:after="40" w:before="200" w:line="276" w:lineRule="auto"/>
        <w:jc w:val="left"/>
      </w:pPr>
      <w:r>
        <w:rPr>
          <w:rFonts w:ascii="Arial" w:hAnsi="Arial" w:eastAsia="Arial"/>
          <w:b/>
          <w:i w:val="0"/>
          <w:sz w:val="18"/>
          <w:u w:val="none"/>
        </w:rPr>
        <w:t>Catatan pemeriksaan PT Pertamina Patra Niaga:</w:t>
      </w:r>
    </w:p>
    <w:p>
      <w:pPr>
        <w:spacing w:after="40" w:before="0" w:line="276" w:lineRule="auto"/>
        <w:jc w:val="left"/>
      </w:pPr>
      <w:r>
        <w:rPr>
          <w:rFonts w:ascii="Arial" w:hAnsi="Arial" w:eastAsia="Arial"/>
          <w:b w:val="0"/>
          <w:i w:val="0"/>
          <w:sz w:val="16"/>
          <w:u w:val="none"/>
        </w:rPr>
        <w:t>......................................................................................................................................................</w:t>
      </w:r>
    </w:p>
    <w:p>
      <w:pPr>
        <w:spacing w:after="40" w:before="0" w:line="276" w:lineRule="auto"/>
        <w:jc w:val="left"/>
      </w:pPr>
      <w:r>
        <w:rPr>
          <w:rFonts w:ascii="Arial" w:hAnsi="Arial" w:eastAsia="Arial"/>
          <w:b w:val="0"/>
          <w:i w:val="0"/>
          <w:sz w:val="16"/>
          <w:u w:val="none"/>
        </w:rPr>
        <w:t>......................................................................................................................................................</w:t>
      </w:r>
    </w:p>
    <w:p>
      <w:pPr>
        <w:spacing w:after="40" w:before="0" w:line="276" w:lineRule="auto"/>
        <w:jc w:val="left"/>
      </w:pPr>
      <w:r>
        <w:rPr>
          <w:rFonts w:ascii="Arial" w:hAnsi="Arial" w:eastAsia="Arial"/>
          <w:b w:val="0"/>
          <w:i w:val="0"/>
          <w:sz w:val="16"/>
          <w:u w:val="none"/>
        </w:rPr>
        <w:t>......................................................................................................................................................</w:t>
      </w:r>
    </w:p>
    <w:p>
      <w:r>
        <w:br w:type="page"/>
      </w:r>
    </w:p>
    <w:p>
      <w:pPr>
        <w:spacing w:after="40" w:before="0" w:line="276" w:lineRule="auto"/>
        <w:jc w:val="center"/>
      </w:pPr>
      <w:r>
        <w:rPr>
          <w:rFonts w:ascii="Arial" w:hAnsi="Arial" w:eastAsia="Arial"/>
          <w:b/>
          <w:i w:val="0"/>
          <w:sz w:val="24"/>
          <w:u w:val="none"/>
        </w:rPr>
        <w:t>LAMPIRAN 1 — FOTO PERANGKAT PROTOTIPE GLD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 w:val="0"/>
          <w:i w:val="0"/>
          <w:sz w:val="18"/>
          <w:u w:val="none"/>
        </w:rPr>
        <w:t>Gas Leak Detector GLD V2 · S/N GLD2-0x1001 · Lab IoT ITB, Oktober 2026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9254" cy="158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254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 — Tampak depan, tertutup (tutup ber-mesh stainless steel)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0541" cy="158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541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2 — Tampak belakang, antena LoRa di muka atas base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22581" cy="158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581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3 — Tampak samping, cable entry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79745" cy="1584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745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4 — Bagian dalam: 8 sensor gas pada sensor board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158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5 — Motherboard dengan PCB cover terminal (V4) di dalam base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41860" cy="1584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86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6 — Tutup ber-mesh dengan kipas DC dan modul sensor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57189" cy="1584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189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7 — Iterasi sebelumnya (Agustus 2026): antena di sisi samping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1584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8 — Iterasi sebelumnya (Agustus 2026), tampak belakang</w:t>
            </w:r>
          </w:p>
        </w:tc>
      </w:tr>
    </w:tbl>
    <w:p>
      <w:r>
        <w:br w:type="page"/>
      </w:r>
    </w:p>
    <w:p>
      <w:pPr>
        <w:spacing w:after="40" w:before="0" w:line="276" w:lineRule="auto"/>
        <w:jc w:val="center"/>
      </w:pPr>
      <w:r>
        <w:rPr>
          <w:rFonts w:ascii="Arial" w:hAnsi="Arial" w:eastAsia="Arial"/>
          <w:b/>
          <w:i w:val="0"/>
          <w:sz w:val="24"/>
          <w:u w:val="none"/>
        </w:rPr>
        <w:t>LAMPIRAN 2 — FOTO KUNJUNGAN PT PERTAMINA PATRA NIAGA KE ITB</w:t>
      </w:r>
    </w:p>
    <w:p>
      <w:pPr>
        <w:spacing w:after="160" w:before="0" w:line="276" w:lineRule="auto"/>
        <w:jc w:val="center"/>
      </w:pPr>
      <w:r>
        <w:rPr>
          <w:rFonts w:ascii="Arial" w:hAnsi="Arial" w:eastAsia="Arial"/>
          <w:b w:val="0"/>
          <w:i w:val="0"/>
          <w:sz w:val="18"/>
          <w:u w:val="none"/>
        </w:rPr>
        <w:t>Lab IoT, Instrumentation and Computations, Gedung Laboratorium Fisika Terpadu, Institut Teknologi Bandung · 6 Agustus 2026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649"/>
        <w:gridCol w:w="4649"/>
      </w:tblGrid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2000" cy="1584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9 — Rapat pembahasan progres GLD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2000" cy="1584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10 — Rapat pembahasan progres GLD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2000" cy="1584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11 — Rapat pembahasan progres GLD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66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12 — Paparan data 8 sensor MQ di dashboard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8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13 — Demonstrasi dashboard monitoring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6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6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14 — Peninjauan prototipe GLD dan data sensor board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20000" cy="1418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418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15 — Peninjauan perakitan prototipe di Lab IoT ITB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0434" cy="1584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34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16 — Peninjauan perakitan prototipe di Lab IoT ITB</w:t>
            </w:r>
          </w:p>
        </w:tc>
      </w:tr>
      <w:tr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2000" cy="1584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17 — Rapat pembahasan progres GLD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12000" cy="1584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000" cy="15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hAnsi="Arial" w:eastAsia="Arial"/>
                <w:b w:val="0"/>
                <w:i/>
                <w:sz w:val="17"/>
                <w:u w:val="none"/>
              </w:rPr>
              <w:t>Foto 18 — Rapat pembahasan progres GLD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sz w:val="16"/>
        <w:u w:val="none"/>
      </w:rPr>
      <w:t xml:space="preserve">LGU-GLD-SP001-T1-2026-001  ·  Rev. 1.0  ·  Halaman </w:t>
    </w:r>
    <w:r>
      <w:rPr>
        <w:rFonts w:ascii="Arial" w:hAnsi="Arial"/>
        <w:sz w:val="16"/>
      </w:rPr>
      <w:fldChar w:fldCharType="begin"/>
    </w:r>
    <w:r>
      <w:rPr>
        <w:rFonts w:ascii="Arial" w:hAnsi="Arial"/>
        <w:sz w:val="16"/>
      </w:rPr>
      <w:instrText xml:space="preserve">PAGE</w:instrText>
    </w:r>
    <w:r>
      <w:rPr>
        <w:rFonts w:ascii="Arial" w:hAnsi="Arial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