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2041"/>
        <w:gridCol w:w="5443"/>
        <w:gridCol w:w="2041"/>
      </w:tblGrid>
      <w:tr>
        <w:tc>
          <w:tcPr>
            <w:tcW w:type="dxa" w:w="2041"/>
            <w:vMerge w:val="restart"/>
            <w:vAlign w:val="center"/>
          </w:tcPr>
          <w:p>
            <w:pPr>
              <w:jc w:val="center"/>
            </w:pPr>
            <w:r>
              <w:drawing>
                <wp:inline xmlns:a="http://schemas.openxmlformats.org/drawingml/2006/main" xmlns:pic="http://schemas.openxmlformats.org/drawingml/2006/picture">
                  <wp:extent cx="883470" cy="468000"/>
                  <wp:docPr id="1" name="Picture 1"/>
                  <wp:cNvGraphicFramePr>
                    <a:graphicFrameLocks noChangeAspect="1"/>
                  </wp:cNvGraphicFramePr>
                  <a:graphic>
                    <a:graphicData uri="http://schemas.openxmlformats.org/drawingml/2006/picture">
                      <pic:pic>
                        <pic:nvPicPr>
                          <pic:cNvPr id="0" name="logo_lgu.png"/>
                          <pic:cNvPicPr/>
                        </pic:nvPicPr>
                        <pic:blipFill>
                          <a:blip r:embed="rId10"/>
                          <a:stretch>
                            <a:fillRect/>
                          </a:stretch>
                        </pic:blipFill>
                        <pic:spPr>
                          <a:xfrm>
                            <a:off x="0" y="0"/>
                            <a:ext cx="883470" cy="468000"/>
                          </a:xfrm>
                          <a:prstGeom prst="rect"/>
                        </pic:spPr>
                      </pic:pic>
                    </a:graphicData>
                  </a:graphic>
                </wp:inline>
              </w:drawing>
            </w:r>
          </w:p>
        </w:tc>
        <w:tc>
          <w:tcPr>
            <w:tcW w:type="dxa" w:w="5443"/>
            <w:vAlign w:val="center"/>
          </w:tcPr>
          <w:p>
            <w:pPr>
              <w:spacing w:after="0"/>
              <w:jc w:val="center"/>
            </w:pPr>
            <w:r>
              <w:rPr>
                <w:rFonts w:ascii="Arial" w:hAnsi="Arial" w:eastAsia="Arial"/>
                <w:b/>
                <w:i w:val="0"/>
                <w:sz w:val="23"/>
                <w:u w:val="none"/>
              </w:rPr>
              <w:t>DOKUMEN PEMENUHAN KLAUSUL TERMIN 1</w:t>
            </w:r>
          </w:p>
        </w:tc>
        <w:tc>
          <w:tcPr>
            <w:tcW w:type="dxa" w:w="2041"/>
            <w:vMerge w:val="restart"/>
            <w:vAlign w:val="center"/>
          </w:tcPr>
          <w:p>
            <w:pPr>
              <w:jc w:val="center"/>
            </w:pPr>
            <w:r>
              <w:drawing>
                <wp:inline xmlns:a="http://schemas.openxmlformats.org/drawingml/2006/main" xmlns:pic="http://schemas.openxmlformats.org/drawingml/2006/picture">
                  <wp:extent cx="1080000" cy="319592"/>
                  <wp:docPr id="2" name="Picture 2"/>
                  <wp:cNvGraphicFramePr>
                    <a:graphicFrameLocks noChangeAspect="1"/>
                  </wp:cNvGraphicFramePr>
                  <a:graphic>
                    <a:graphicData uri="http://schemas.openxmlformats.org/drawingml/2006/picture">
                      <pic:pic>
                        <pic:nvPicPr>
                          <pic:cNvPr id="0" name="logo_pertamina.png"/>
                          <pic:cNvPicPr/>
                        </pic:nvPicPr>
                        <pic:blipFill>
                          <a:blip r:embed="rId11"/>
                          <a:stretch>
                            <a:fillRect/>
                          </a:stretch>
                        </pic:blipFill>
                        <pic:spPr>
                          <a:xfrm>
                            <a:off x="0" y="0"/>
                            <a:ext cx="1080000" cy="319592"/>
                          </a:xfrm>
                          <a:prstGeom prst="rect"/>
                        </pic:spPr>
                      </pic:pic>
                    </a:graphicData>
                  </a:graphic>
                </wp:inline>
              </w:drawing>
            </w:r>
          </w:p>
        </w:tc>
      </w:tr>
      <w:tr>
        <w:tc>
          <w:tcPr>
            <w:tcW w:type="dxa" w:w="2041"/>
            <w:vMerge/>
          </w:tcPr>
          <w:p/>
        </w:tc>
        <w:tc>
          <w:tcPr>
            <w:tcW w:type="dxa" w:w="5443"/>
            <w:vAlign w:val="center"/>
          </w:tcPr>
          <w:p>
            <w:pPr>
              <w:spacing w:after="0"/>
              <w:jc w:val="center"/>
            </w:pPr>
            <w:r>
              <w:rPr>
                <w:rFonts w:ascii="Arial" w:hAnsi="Arial" w:eastAsia="Arial"/>
                <w:b w:val="0"/>
                <w:i w:val="0"/>
                <w:sz w:val="18"/>
                <w:u w:val="none"/>
              </w:rPr>
              <w:t>Program Sertifikasi Hazardous Area (ATEX/IECEx)</w:t>
            </w:r>
            <w:r>
              <w:br/>
            </w:r>
            <w:r>
              <w:rPr>
                <w:rFonts w:ascii="Arial" w:hAnsi="Arial" w:eastAsia="Arial"/>
                <w:b w:val="0"/>
                <w:i w:val="0"/>
                <w:sz w:val="18"/>
                <w:u w:val="none"/>
              </w:rPr>
              <w:t>Gas Leak Detector (GLD) Tahap 2 — SP-001/KPI43400/2026-S0</w:t>
            </w:r>
          </w:p>
        </w:tc>
        <w:tc>
          <w:tcPr>
            <w:tcW w:type="dxa" w:w="2041"/>
            <w:vMerge/>
          </w:tcPr>
          <w:p/>
        </w:tc>
      </w:tr>
    </w:tbl>
    <w:p>
      <w:pPr>
        <w:spacing w:after="40" w:before="0" w:line="276" w:lineRule="auto"/>
        <w:jc w:val="both"/>
      </w:pPr>
      <w:r>
        <w:rPr>
          <w:rFonts w:ascii="Arial" w:hAnsi="Arial" w:eastAsia="Arial"/>
          <w:b w:val="0"/>
          <w:i w:val="0"/>
          <w:sz w:val="20"/>
          <w:u w:val="none"/>
        </w:rPr>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2608"/>
        <w:gridCol w:w="6917"/>
      </w:tblGrid>
      <w:tr>
        <w:tc>
          <w:tcPr>
            <w:tcW w:type="dxa" w:w="2608"/>
            <w:vAlign w:val="center"/>
            <w:shd w:val="clear" w:color="auto" w:fill="EDEDED"/>
          </w:tcPr>
          <w:p>
            <w:pPr>
              <w:spacing w:after="0"/>
              <w:jc w:val="left"/>
            </w:pPr>
            <w:r>
              <w:rPr>
                <w:rFonts w:ascii="Arial" w:hAnsi="Arial" w:eastAsia="Arial"/>
                <w:b/>
                <w:i w:val="0"/>
                <w:sz w:val="18"/>
                <w:u w:val="none"/>
              </w:rPr>
              <w:t>Nomor Surat Pesanan</w:t>
            </w:r>
          </w:p>
        </w:tc>
        <w:tc>
          <w:tcPr>
            <w:tcW w:type="dxa" w:w="6917"/>
            <w:vAlign w:val="center"/>
          </w:tcPr>
          <w:p>
            <w:pPr>
              <w:spacing w:after="0"/>
              <w:jc w:val="left"/>
            </w:pPr>
            <w:r>
              <w:rPr>
                <w:rFonts w:ascii="Arial" w:hAnsi="Arial" w:eastAsia="Arial"/>
                <w:b w:val="0"/>
                <w:i w:val="0"/>
                <w:sz w:val="18"/>
                <w:u w:val="none"/>
              </w:rPr>
              <w:t>SP-001/KPI43400/2026-S0 — Sertifikasi</w:t>
            </w:r>
          </w:p>
        </w:tc>
      </w:tr>
      <w:tr>
        <w:tc>
          <w:tcPr>
            <w:tcW w:type="dxa" w:w="2608"/>
            <w:vAlign w:val="center"/>
            <w:shd w:val="clear" w:color="auto" w:fill="EDEDED"/>
          </w:tcPr>
          <w:p>
            <w:pPr>
              <w:spacing w:after="0"/>
              <w:jc w:val="left"/>
            </w:pPr>
            <w:r>
              <w:rPr>
                <w:rFonts w:ascii="Arial" w:hAnsi="Arial" w:eastAsia="Arial"/>
                <w:b/>
                <w:i w:val="0"/>
                <w:sz w:val="18"/>
                <w:u w:val="none"/>
              </w:rPr>
              <w:t>Nomor dokumen / Revisi</w:t>
            </w:r>
          </w:p>
        </w:tc>
        <w:tc>
          <w:tcPr>
            <w:tcW w:type="dxa" w:w="6917"/>
            <w:vAlign w:val="center"/>
          </w:tcPr>
          <w:p>
            <w:pPr>
              <w:spacing w:after="0"/>
              <w:jc w:val="left"/>
            </w:pPr>
            <w:r>
              <w:rPr>
                <w:rFonts w:ascii="Arial" w:hAnsi="Arial" w:eastAsia="Arial"/>
                <w:b w:val="0"/>
                <w:i w:val="0"/>
                <w:sz w:val="18"/>
                <w:u w:val="none"/>
              </w:rPr>
              <w:t>LGU-GLD-SP001-T1-2026-001 / Rev. 1.0</w:t>
            </w:r>
          </w:p>
        </w:tc>
      </w:tr>
      <w:tr>
        <w:tc>
          <w:tcPr>
            <w:tcW w:type="dxa" w:w="2608"/>
            <w:vAlign w:val="center"/>
            <w:shd w:val="clear" w:color="auto" w:fill="EDEDED"/>
          </w:tcPr>
          <w:p>
            <w:pPr>
              <w:spacing w:after="0"/>
              <w:jc w:val="left"/>
            </w:pPr>
            <w:r>
              <w:rPr>
                <w:rFonts w:ascii="Arial" w:hAnsi="Arial" w:eastAsia="Arial"/>
                <w:b/>
                <w:i w:val="0"/>
                <w:sz w:val="18"/>
                <w:u w:val="none"/>
              </w:rPr>
              <w:t>Tanggal</w:t>
            </w:r>
          </w:p>
        </w:tc>
        <w:tc>
          <w:tcPr>
            <w:tcW w:type="dxa" w:w="6917"/>
            <w:vAlign w:val="center"/>
          </w:tcPr>
          <w:p>
            <w:pPr>
              <w:spacing w:after="0"/>
              <w:jc w:val="left"/>
            </w:pPr>
            <w:r>
              <w:rPr>
                <w:rFonts w:ascii="Arial" w:hAnsi="Arial" w:eastAsia="Arial"/>
                <w:b w:val="0"/>
                <w:i w:val="0"/>
                <w:sz w:val="18"/>
                <w:u w:val="none"/>
              </w:rPr>
              <w:t>Oktober 2026</w:t>
            </w:r>
          </w:p>
        </w:tc>
      </w:tr>
      <w:tr>
        <w:tc>
          <w:tcPr>
            <w:tcW w:type="dxa" w:w="2608"/>
            <w:vAlign w:val="center"/>
            <w:shd w:val="clear" w:color="auto" w:fill="EDEDED"/>
          </w:tcPr>
          <w:p>
            <w:pPr>
              <w:spacing w:after="0"/>
              <w:jc w:val="left"/>
            </w:pPr>
            <w:r>
              <w:rPr>
                <w:rFonts w:ascii="Arial" w:hAnsi="Arial" w:eastAsia="Arial"/>
                <w:b/>
                <w:i w:val="0"/>
                <w:sz w:val="18"/>
                <w:u w:val="none"/>
              </w:rPr>
              <w:t>Pelaksana</w:t>
            </w:r>
          </w:p>
        </w:tc>
        <w:tc>
          <w:tcPr>
            <w:tcW w:type="dxa" w:w="6917"/>
            <w:vAlign w:val="center"/>
          </w:tcPr>
          <w:p>
            <w:pPr>
              <w:spacing w:after="0"/>
              <w:jc w:val="left"/>
            </w:pPr>
            <w:r>
              <w:rPr>
                <w:rFonts w:ascii="Arial" w:hAnsi="Arial" w:eastAsia="Arial"/>
                <w:b w:val="0"/>
                <w:i w:val="0"/>
                <w:sz w:val="18"/>
                <w:u w:val="none"/>
              </w:rPr>
              <w:t>PT LAPI Ganesha Utama, bersama Lab IoT &amp; Fisika Institut Teknologi Bandung</w:t>
            </w:r>
          </w:p>
        </w:tc>
      </w:tr>
      <w:tr>
        <w:tc>
          <w:tcPr>
            <w:tcW w:type="dxa" w:w="2608"/>
            <w:vAlign w:val="center"/>
            <w:shd w:val="clear" w:color="auto" w:fill="EDEDED"/>
          </w:tcPr>
          <w:p>
            <w:pPr>
              <w:spacing w:after="0"/>
              <w:jc w:val="left"/>
            </w:pPr>
            <w:r>
              <w:rPr>
                <w:rFonts w:ascii="Arial" w:hAnsi="Arial" w:eastAsia="Arial"/>
                <w:b/>
                <w:i w:val="0"/>
                <w:sz w:val="18"/>
                <w:u w:val="none"/>
              </w:rPr>
              <w:t>Ditujukan kepada</w:t>
            </w:r>
          </w:p>
        </w:tc>
        <w:tc>
          <w:tcPr>
            <w:tcW w:type="dxa" w:w="6917"/>
            <w:vAlign w:val="center"/>
          </w:tcPr>
          <w:p>
            <w:pPr>
              <w:spacing w:after="0"/>
              <w:jc w:val="left"/>
            </w:pPr>
            <w:r>
              <w:rPr>
                <w:rFonts w:ascii="Arial" w:hAnsi="Arial" w:eastAsia="Arial"/>
                <w:b w:val="0"/>
                <w:i w:val="0"/>
                <w:sz w:val="18"/>
                <w:u w:val="none"/>
              </w:rPr>
              <w:t>PT Pertamina Patra Niaga</w:t>
            </w:r>
          </w:p>
        </w:tc>
      </w:tr>
      <w:tr>
        <w:tc>
          <w:tcPr>
            <w:tcW w:type="dxa" w:w="2608"/>
            <w:vAlign w:val="center"/>
            <w:shd w:val="clear" w:color="auto" w:fill="EDEDED"/>
          </w:tcPr>
          <w:p>
            <w:pPr>
              <w:spacing w:after="0"/>
              <w:jc w:val="left"/>
            </w:pPr>
            <w:r>
              <w:rPr>
                <w:rFonts w:ascii="Arial" w:hAnsi="Arial" w:eastAsia="Arial"/>
                <w:b/>
                <w:i w:val="0"/>
                <w:sz w:val="18"/>
                <w:u w:val="none"/>
              </w:rPr>
              <w:t>Objek</w:t>
            </w:r>
          </w:p>
        </w:tc>
        <w:tc>
          <w:tcPr>
            <w:tcW w:type="dxa" w:w="6917"/>
            <w:vAlign w:val="center"/>
          </w:tcPr>
          <w:p>
            <w:pPr>
              <w:spacing w:after="0"/>
              <w:jc w:val="left"/>
            </w:pPr>
            <w:r>
              <w:rPr>
                <w:rFonts w:ascii="Arial" w:hAnsi="Arial" w:eastAsia="Arial"/>
                <w:b w:val="0"/>
                <w:i w:val="0"/>
                <w:sz w:val="18"/>
                <w:u w:val="none"/>
              </w:rPr>
              <w:t>Prototipe Node Sensor Gas Leak Detector (GLD) V2 — sampel S/N GLD2-0x1001</w:t>
            </w:r>
          </w:p>
        </w:tc>
      </w:tr>
    </w:tbl>
    <w:p>
      <w:pPr>
        <w:keepNext/>
        <w:spacing w:after="120" w:before="200" w:line="276" w:lineRule="auto"/>
        <w:jc w:val="left"/>
      </w:pPr>
      <w:r>
        <w:rPr>
          <w:rFonts w:ascii="Arial" w:hAnsi="Arial" w:eastAsia="Arial"/>
          <w:b/>
          <w:i w:val="0"/>
          <w:sz w:val="24"/>
          <w:u w:val="none"/>
        </w:rPr>
        <w:t>1. Klausul Termin yang Dipenuhi</w:t>
      </w:r>
    </w:p>
    <w:p>
      <w:pPr>
        <w:spacing w:after="120" w:before="0" w:line="276" w:lineRule="auto"/>
        <w:jc w:val="both"/>
      </w:pPr>
      <w:r>
        <w:rPr>
          <w:rFonts w:ascii="Arial" w:hAnsi="Arial" w:eastAsia="Arial"/>
          <w:b w:val="0"/>
          <w:i w:val="0"/>
          <w:sz w:val="20"/>
          <w:u w:val="none"/>
        </w:rPr>
        <w:t>Ketentuan pembayaran Termin 1 pada Surat Pesanan SP-001/KPI43400/2026-S0 (Sertifikasi) berbunyi:</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9524"/>
      </w:tblGrid>
      <w:tr>
        <w:tc>
          <w:tcPr>
            <w:tcW w:type="dxa" w:w="9524"/>
            <w:shd w:val="clear" w:color="auto" w:fill="F3F6FC"/>
            <w:vAlign w:val="center"/>
          </w:tcPr>
          <w:p>
            <w:pPr>
              <w:spacing w:after="80" w:before="80"/>
              <w:jc w:val="left"/>
            </w:pPr>
            <w:r>
              <w:rPr>
                <w:rFonts w:ascii="Arial" w:hAnsi="Arial" w:eastAsia="Arial"/>
                <w:b/>
                <w:i w:val="0"/>
                <w:sz w:val="20"/>
                <w:u w:val="none"/>
              </w:rPr>
              <w:t>“Tersedia prototype GLD yang telah diuji dan diperbaiki desainnya. Dilampirkan foto perangkatnya, dan foto-foto waktu kami kunjungan ke ITB.”</w:t>
            </w:r>
          </w:p>
        </w:tc>
      </w:tr>
    </w:tbl>
    <w:p>
      <w:pPr>
        <w:spacing w:after="120" w:before="120" w:line="276" w:lineRule="auto"/>
        <w:jc w:val="both"/>
      </w:pPr>
      <w:r>
        <w:rPr>
          <w:rFonts w:ascii="Arial" w:hAnsi="Arial" w:eastAsia="Arial"/>
          <w:b w:val="0"/>
          <w:i w:val="0"/>
          <w:sz w:val="20"/>
          <w:u w:val="none"/>
        </w:rPr>
        <w:t>Dokumen ini menguraikan pemenuhan setiap unsur klausul tersebut beserta buktinya. Penilaian akhir pemenuhan dan persetujuan pembayaran merupakan kewenangan PT Pertamina Patra Niaga.</w:t>
      </w:r>
    </w:p>
    <w:p>
      <w:pPr>
        <w:keepNext/>
        <w:spacing w:after="120" w:before="200" w:line="276" w:lineRule="auto"/>
        <w:jc w:val="left"/>
      </w:pPr>
      <w:r>
        <w:rPr>
          <w:rFonts w:ascii="Arial" w:hAnsi="Arial" w:eastAsia="Arial"/>
          <w:b/>
          <w:i w:val="0"/>
          <w:sz w:val="24"/>
          <w:u w:val="none"/>
        </w:rPr>
        <w:t>2. Matriks Pemenuhan</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510"/>
        <w:gridCol w:w="1701"/>
        <w:gridCol w:w="4649"/>
        <w:gridCol w:w="1474"/>
        <w:gridCol w:w="1191"/>
      </w:tblGrid>
      <w:tr>
        <w:tc>
          <w:tcPr>
            <w:tcW w:type="dxa" w:w="510"/>
            <w:vAlign w:val="center"/>
            <w:shd w:val="clear" w:color="auto" w:fill="D9E2F3"/>
          </w:tcPr>
          <w:p>
            <w:pPr>
              <w:spacing w:after="0"/>
              <w:jc w:val="center"/>
            </w:pPr>
            <w:r>
              <w:rPr>
                <w:rFonts w:ascii="Arial" w:hAnsi="Arial" w:eastAsia="Arial"/>
                <w:b/>
                <w:i w:val="0"/>
                <w:sz w:val="18"/>
                <w:u w:val="none"/>
              </w:rPr>
              <w:t>No</w:t>
            </w:r>
          </w:p>
        </w:tc>
        <w:tc>
          <w:tcPr>
            <w:tcW w:type="dxa" w:w="1701"/>
            <w:vAlign w:val="center"/>
            <w:shd w:val="clear" w:color="auto" w:fill="D9E2F3"/>
          </w:tcPr>
          <w:p>
            <w:pPr>
              <w:spacing w:after="0"/>
              <w:jc w:val="center"/>
            </w:pPr>
            <w:r>
              <w:rPr>
                <w:rFonts w:ascii="Arial" w:hAnsi="Arial" w:eastAsia="Arial"/>
                <w:b/>
                <w:i w:val="0"/>
                <w:sz w:val="18"/>
                <w:u w:val="none"/>
              </w:rPr>
              <w:t>Unsur klausul</w:t>
            </w:r>
          </w:p>
        </w:tc>
        <w:tc>
          <w:tcPr>
            <w:tcW w:type="dxa" w:w="4649"/>
            <w:vAlign w:val="center"/>
            <w:shd w:val="clear" w:color="auto" w:fill="D9E2F3"/>
          </w:tcPr>
          <w:p>
            <w:pPr>
              <w:spacing w:after="0"/>
              <w:jc w:val="center"/>
            </w:pPr>
            <w:r>
              <w:rPr>
                <w:rFonts w:ascii="Arial" w:hAnsi="Arial" w:eastAsia="Arial"/>
                <w:b/>
                <w:i w:val="0"/>
                <w:sz w:val="18"/>
                <w:u w:val="none"/>
              </w:rPr>
              <w:t>Bukti pemenuhan</w:t>
            </w:r>
          </w:p>
        </w:tc>
        <w:tc>
          <w:tcPr>
            <w:tcW w:type="dxa" w:w="1474"/>
            <w:vAlign w:val="center"/>
            <w:shd w:val="clear" w:color="auto" w:fill="D9E2F3"/>
          </w:tcPr>
          <w:p>
            <w:pPr>
              <w:spacing w:after="0"/>
              <w:jc w:val="center"/>
            </w:pPr>
            <w:r>
              <w:rPr>
                <w:rFonts w:ascii="Arial" w:hAnsi="Arial" w:eastAsia="Arial"/>
                <w:b/>
                <w:i w:val="0"/>
                <w:sz w:val="18"/>
                <w:u w:val="none"/>
              </w:rPr>
              <w:t>Rujukan</w:t>
            </w:r>
          </w:p>
        </w:tc>
        <w:tc>
          <w:tcPr>
            <w:tcW w:type="dxa" w:w="1191"/>
            <w:vAlign w:val="center"/>
            <w:shd w:val="clear" w:color="auto" w:fill="D9E2F3"/>
          </w:tcPr>
          <w:p>
            <w:pPr>
              <w:spacing w:after="0"/>
              <w:jc w:val="center"/>
            </w:pPr>
            <w:r>
              <w:rPr>
                <w:rFonts w:ascii="Arial" w:hAnsi="Arial" w:eastAsia="Arial"/>
                <w:b/>
                <w:i w:val="0"/>
                <w:sz w:val="18"/>
                <w:u w:val="none"/>
              </w:rPr>
              <w:t>Status</w:t>
            </w:r>
          </w:p>
        </w:tc>
      </w:tr>
      <w:tr>
        <w:tc>
          <w:tcPr>
            <w:tcW w:type="dxa" w:w="510"/>
            <w:vAlign w:val="center"/>
          </w:tcPr>
          <w:p>
            <w:pPr>
              <w:spacing w:after="0"/>
              <w:jc w:val="center"/>
            </w:pPr>
            <w:r>
              <w:rPr>
                <w:rFonts w:ascii="Arial" w:hAnsi="Arial" w:eastAsia="Arial"/>
                <w:b w:val="0"/>
                <w:i w:val="0"/>
                <w:sz w:val="17"/>
                <w:u w:val="none"/>
              </w:rPr>
              <w:t>1</w:t>
            </w:r>
          </w:p>
        </w:tc>
        <w:tc>
          <w:tcPr>
            <w:tcW w:type="dxa" w:w="1701"/>
            <w:vAlign w:val="center"/>
          </w:tcPr>
          <w:p>
            <w:pPr>
              <w:spacing w:after="0"/>
              <w:jc w:val="left"/>
            </w:pPr>
            <w:r>
              <w:rPr>
                <w:rFonts w:ascii="Arial" w:hAnsi="Arial" w:eastAsia="Arial"/>
                <w:b/>
                <w:i w:val="0"/>
                <w:sz w:val="17"/>
                <w:u w:val="none"/>
              </w:rPr>
              <w:t>Tersedia prototype GLD</w:t>
            </w:r>
          </w:p>
        </w:tc>
        <w:tc>
          <w:tcPr>
            <w:tcW w:type="dxa" w:w="4649"/>
            <w:vAlign w:val="center"/>
          </w:tcPr>
          <w:p>
            <w:pPr>
              <w:spacing w:after="0"/>
              <w:jc w:val="left"/>
            </w:pPr>
            <w:r>
              <w:rPr>
                <w:rFonts w:ascii="Arial" w:hAnsi="Arial" w:eastAsia="Arial"/>
                <w:b w:val="0"/>
                <w:i w:val="0"/>
                <w:sz w:val="17"/>
                <w:u w:val="none"/>
              </w:rPr>
              <w:t>Prototipe Node Sensor GLD V2 telah terakit lengkap: casing die-cast aluminium dengan tutup ber-mesh stainless steel, 8 sensor gas (MQ-2/3B/4/5/6/7B/8/135), kipas DC, motherboard ESP32-S3 dengan PCB cover terminal (V4), radio LoRa, catu 24 VDC. Unit yang diajukan untuk sertifikasi ber-S/N GLD2-0x1001; total 4 unit GLD tersedia (3 untuk RU IV + 1 cadangan).</w:t>
            </w:r>
          </w:p>
        </w:tc>
        <w:tc>
          <w:tcPr>
            <w:tcW w:type="dxa" w:w="1474"/>
            <w:vAlign w:val="center"/>
          </w:tcPr>
          <w:p>
            <w:pPr>
              <w:spacing w:after="0"/>
              <w:jc w:val="left"/>
            </w:pPr>
            <w:r>
              <w:rPr>
                <w:rFonts w:ascii="Arial" w:hAnsi="Arial" w:eastAsia="Arial"/>
                <w:b w:val="0"/>
                <w:i w:val="0"/>
                <w:sz w:val="17"/>
                <w:u w:val="none"/>
              </w:rPr>
              <w:t>Lampiran 1 (Foto 1–8)</w:t>
            </w:r>
          </w:p>
        </w:tc>
        <w:tc>
          <w:tcPr>
            <w:tcW w:type="dxa" w:w="1191"/>
            <w:vAlign w:val="center"/>
          </w:tcPr>
          <w:p>
            <w:pPr>
              <w:spacing w:after="0"/>
              <w:jc w:val="center"/>
            </w:pPr>
            <w:r>
              <w:rPr>
                <w:rFonts w:ascii="Arial" w:hAnsi="Arial" w:eastAsia="Arial"/>
                <w:b/>
                <w:i w:val="0"/>
                <w:sz w:val="17"/>
                <w:u w:val="none"/>
              </w:rPr>
              <w:t>Tersedia</w:t>
            </w:r>
          </w:p>
        </w:tc>
      </w:tr>
      <w:tr>
        <w:tc>
          <w:tcPr>
            <w:tcW w:type="dxa" w:w="510"/>
            <w:vAlign w:val="center"/>
          </w:tcPr>
          <w:p>
            <w:pPr>
              <w:spacing w:after="0"/>
              <w:jc w:val="center"/>
            </w:pPr>
            <w:r>
              <w:rPr>
                <w:rFonts w:ascii="Arial" w:hAnsi="Arial" w:eastAsia="Arial"/>
                <w:b w:val="0"/>
                <w:i w:val="0"/>
                <w:sz w:val="17"/>
                <w:u w:val="none"/>
              </w:rPr>
              <w:t>2</w:t>
            </w:r>
          </w:p>
        </w:tc>
        <w:tc>
          <w:tcPr>
            <w:tcW w:type="dxa" w:w="1701"/>
            <w:vAlign w:val="center"/>
          </w:tcPr>
          <w:p>
            <w:pPr>
              <w:spacing w:after="0"/>
              <w:jc w:val="left"/>
            </w:pPr>
            <w:r>
              <w:rPr>
                <w:rFonts w:ascii="Arial" w:hAnsi="Arial" w:eastAsia="Arial"/>
                <w:b/>
                <w:i w:val="0"/>
                <w:sz w:val="17"/>
                <w:u w:val="none"/>
              </w:rPr>
              <w:t>Telah diuji</w:t>
            </w:r>
          </w:p>
        </w:tc>
        <w:tc>
          <w:tcPr>
            <w:tcW w:type="dxa" w:w="4649"/>
            <w:vAlign w:val="center"/>
          </w:tcPr>
          <w:p>
            <w:pPr>
              <w:spacing w:after="0"/>
              <w:jc w:val="left"/>
            </w:pPr>
            <w:r>
              <w:rPr>
                <w:rFonts w:ascii="Arial" w:hAnsi="Arial" w:eastAsia="Arial"/>
                <w:b w:val="0"/>
                <w:i w:val="0"/>
                <w:sz w:val="17"/>
                <w:u w:val="none"/>
              </w:rPr>
              <w:t>(a) Factory Acceptance Test laboratorium FAT-01 s.d. FAT-07, 7 dari 7 item lulus (Laporan FAT No. LGU/GLD/FAT/2026-001 Rev 1.4). (b) Uji termal internal 30 Sep 2026: 8 kanal thermocouple, 3 kondisi (normal, beban maksimum, kipas mati), 180 menit. (c) Pengukuran dimensi enclosure dengan jangka sorong, 7 Okt 2026.</w:t>
            </w:r>
          </w:p>
        </w:tc>
        <w:tc>
          <w:tcPr>
            <w:tcW w:type="dxa" w:w="1474"/>
            <w:vAlign w:val="center"/>
          </w:tcPr>
          <w:p>
            <w:pPr>
              <w:spacing w:after="0"/>
              <w:jc w:val="left"/>
            </w:pPr>
            <w:r>
              <w:rPr>
                <w:rFonts w:ascii="Arial" w:hAnsi="Arial" w:eastAsia="Arial"/>
                <w:b w:val="0"/>
                <w:i w:val="0"/>
                <w:sz w:val="17"/>
                <w:u w:val="none"/>
              </w:rPr>
              <w:t>Bagian 3.1; Laporan FAT</w:t>
            </w:r>
          </w:p>
        </w:tc>
        <w:tc>
          <w:tcPr>
            <w:tcW w:type="dxa" w:w="1191"/>
            <w:vAlign w:val="center"/>
          </w:tcPr>
          <w:p>
            <w:pPr>
              <w:spacing w:after="0"/>
              <w:jc w:val="center"/>
            </w:pPr>
            <w:r>
              <w:rPr>
                <w:rFonts w:ascii="Arial" w:hAnsi="Arial" w:eastAsia="Arial"/>
                <w:b/>
                <w:i w:val="0"/>
                <w:sz w:val="17"/>
                <w:u w:val="none"/>
              </w:rPr>
              <w:t>Tersedia</w:t>
            </w:r>
          </w:p>
        </w:tc>
      </w:tr>
      <w:tr>
        <w:tc>
          <w:tcPr>
            <w:tcW w:type="dxa" w:w="510"/>
            <w:vAlign w:val="center"/>
          </w:tcPr>
          <w:p>
            <w:pPr>
              <w:spacing w:after="0"/>
              <w:jc w:val="center"/>
            </w:pPr>
            <w:r>
              <w:rPr>
                <w:rFonts w:ascii="Arial" w:hAnsi="Arial" w:eastAsia="Arial"/>
                <w:b w:val="0"/>
                <w:i w:val="0"/>
                <w:sz w:val="17"/>
                <w:u w:val="none"/>
              </w:rPr>
              <w:t>3</w:t>
            </w:r>
          </w:p>
        </w:tc>
        <w:tc>
          <w:tcPr>
            <w:tcW w:type="dxa" w:w="1701"/>
            <w:vAlign w:val="center"/>
          </w:tcPr>
          <w:p>
            <w:pPr>
              <w:spacing w:after="0"/>
              <w:jc w:val="left"/>
            </w:pPr>
            <w:r>
              <w:rPr>
                <w:rFonts w:ascii="Arial" w:hAnsi="Arial" w:eastAsia="Arial"/>
                <w:b/>
                <w:i w:val="0"/>
                <w:sz w:val="17"/>
                <w:u w:val="none"/>
              </w:rPr>
              <w:t>Diperbaiki desainnya</w:t>
            </w:r>
          </w:p>
        </w:tc>
        <w:tc>
          <w:tcPr>
            <w:tcW w:type="dxa" w:w="4649"/>
            <w:vAlign w:val="center"/>
          </w:tcPr>
          <w:p>
            <w:pPr>
              <w:spacing w:after="0"/>
              <w:jc w:val="left"/>
            </w:pPr>
            <w:r>
              <w:rPr>
                <w:rFonts w:ascii="Arial" w:hAnsi="Arial" w:eastAsia="Arial"/>
                <w:b w:val="0"/>
                <w:i w:val="0"/>
                <w:sz w:val="17"/>
                <w:u w:val="none"/>
              </w:rPr>
              <w:t>PCB Node Sensor GLD diiterasi V1 s.d. V5 dengan catatan perubahan per versi; casing berkembang dari ATEX Casing v2 ke GLD ATEX Case v3; antena dipindah ke muka atas base; PCB cover terminal kabel &amp; lubang baut motherboard ditambahkan; konsep proteksi diarahkan ke Ex d (flameproof).</w:t>
            </w:r>
          </w:p>
        </w:tc>
        <w:tc>
          <w:tcPr>
            <w:tcW w:type="dxa" w:w="1474"/>
            <w:vAlign w:val="center"/>
          </w:tcPr>
          <w:p>
            <w:pPr>
              <w:spacing w:after="0"/>
              <w:jc w:val="left"/>
            </w:pPr>
            <w:r>
              <w:rPr>
                <w:rFonts w:ascii="Arial" w:hAnsi="Arial" w:eastAsia="Arial"/>
                <w:b w:val="0"/>
                <w:i w:val="0"/>
                <w:sz w:val="17"/>
                <w:u w:val="none"/>
              </w:rPr>
              <w:t>Bagian 3.2; Gambar 1; Lampiran 1 (Foto 7–8)</w:t>
            </w:r>
          </w:p>
        </w:tc>
        <w:tc>
          <w:tcPr>
            <w:tcW w:type="dxa" w:w="1191"/>
            <w:vAlign w:val="center"/>
          </w:tcPr>
          <w:p>
            <w:pPr>
              <w:spacing w:after="0"/>
              <w:jc w:val="center"/>
            </w:pPr>
            <w:r>
              <w:rPr>
                <w:rFonts w:ascii="Arial" w:hAnsi="Arial" w:eastAsia="Arial"/>
                <w:b/>
                <w:i w:val="0"/>
                <w:sz w:val="17"/>
                <w:u w:val="none"/>
              </w:rPr>
              <w:t>Tersedia</w:t>
            </w:r>
          </w:p>
        </w:tc>
      </w:tr>
      <w:tr>
        <w:tc>
          <w:tcPr>
            <w:tcW w:type="dxa" w:w="510"/>
            <w:vAlign w:val="center"/>
          </w:tcPr>
          <w:p>
            <w:pPr>
              <w:spacing w:after="0"/>
              <w:jc w:val="center"/>
            </w:pPr>
            <w:r>
              <w:rPr>
                <w:rFonts w:ascii="Arial" w:hAnsi="Arial" w:eastAsia="Arial"/>
                <w:b w:val="0"/>
                <w:i w:val="0"/>
                <w:sz w:val="17"/>
                <w:u w:val="none"/>
              </w:rPr>
              <w:t>4</w:t>
            </w:r>
          </w:p>
        </w:tc>
        <w:tc>
          <w:tcPr>
            <w:tcW w:type="dxa" w:w="1701"/>
            <w:vAlign w:val="center"/>
          </w:tcPr>
          <w:p>
            <w:pPr>
              <w:spacing w:after="0"/>
              <w:jc w:val="left"/>
            </w:pPr>
            <w:r>
              <w:rPr>
                <w:rFonts w:ascii="Arial" w:hAnsi="Arial" w:eastAsia="Arial"/>
                <w:b/>
                <w:i w:val="0"/>
                <w:sz w:val="17"/>
                <w:u w:val="none"/>
              </w:rPr>
              <w:t>Dilampirkan foto perangkat</w:t>
            </w:r>
          </w:p>
        </w:tc>
        <w:tc>
          <w:tcPr>
            <w:tcW w:type="dxa" w:w="4649"/>
            <w:vAlign w:val="center"/>
          </w:tcPr>
          <w:p>
            <w:pPr>
              <w:spacing w:after="0"/>
              <w:jc w:val="left"/>
            </w:pPr>
            <w:r>
              <w:rPr>
                <w:rFonts w:ascii="Arial" w:hAnsi="Arial" w:eastAsia="Arial"/>
                <w:b w:val="0"/>
                <w:i w:val="0"/>
                <w:sz w:val="17"/>
                <w:u w:val="none"/>
              </w:rPr>
              <w:t>Foto prototipe terkini (tampak depan, belakang, samping, bagian dalam, motherboard, tutup ber-mesh) serta foto iterasi sebelumnya sebagai pembanding perbaikan desain.</w:t>
            </w:r>
          </w:p>
        </w:tc>
        <w:tc>
          <w:tcPr>
            <w:tcW w:type="dxa" w:w="1474"/>
            <w:vAlign w:val="center"/>
          </w:tcPr>
          <w:p>
            <w:pPr>
              <w:spacing w:after="0"/>
              <w:jc w:val="left"/>
            </w:pPr>
            <w:r>
              <w:rPr>
                <w:rFonts w:ascii="Arial" w:hAnsi="Arial" w:eastAsia="Arial"/>
                <w:b w:val="0"/>
                <w:i w:val="0"/>
                <w:sz w:val="17"/>
                <w:u w:val="none"/>
              </w:rPr>
              <w:t>Lampiran 1</w:t>
            </w:r>
          </w:p>
        </w:tc>
        <w:tc>
          <w:tcPr>
            <w:tcW w:type="dxa" w:w="1191"/>
            <w:vAlign w:val="center"/>
          </w:tcPr>
          <w:p>
            <w:pPr>
              <w:spacing w:after="0"/>
              <w:jc w:val="center"/>
            </w:pPr>
            <w:r>
              <w:rPr>
                <w:rFonts w:ascii="Arial" w:hAnsi="Arial" w:eastAsia="Arial"/>
                <w:b/>
                <w:i w:val="0"/>
                <w:sz w:val="17"/>
                <w:u w:val="none"/>
              </w:rPr>
              <w:t>Terlampir</w:t>
            </w:r>
          </w:p>
        </w:tc>
      </w:tr>
      <w:tr>
        <w:tc>
          <w:tcPr>
            <w:tcW w:type="dxa" w:w="510"/>
            <w:vAlign w:val="center"/>
          </w:tcPr>
          <w:p>
            <w:pPr>
              <w:spacing w:after="0"/>
              <w:jc w:val="center"/>
            </w:pPr>
            <w:r>
              <w:rPr>
                <w:rFonts w:ascii="Arial" w:hAnsi="Arial" w:eastAsia="Arial"/>
                <w:b w:val="0"/>
                <w:i w:val="0"/>
                <w:sz w:val="17"/>
                <w:u w:val="none"/>
              </w:rPr>
              <w:t>5</w:t>
            </w:r>
          </w:p>
        </w:tc>
        <w:tc>
          <w:tcPr>
            <w:tcW w:type="dxa" w:w="1701"/>
            <w:vAlign w:val="center"/>
          </w:tcPr>
          <w:p>
            <w:pPr>
              <w:spacing w:after="0"/>
              <w:jc w:val="left"/>
            </w:pPr>
            <w:r>
              <w:rPr>
                <w:rFonts w:ascii="Arial" w:hAnsi="Arial" w:eastAsia="Arial"/>
                <w:b/>
                <w:i w:val="0"/>
                <w:sz w:val="17"/>
                <w:u w:val="none"/>
              </w:rPr>
              <w:t>Dilampirkan foto kunjungan ke ITB</w:t>
            </w:r>
          </w:p>
        </w:tc>
        <w:tc>
          <w:tcPr>
            <w:tcW w:type="dxa" w:w="4649"/>
            <w:vAlign w:val="center"/>
          </w:tcPr>
          <w:p>
            <w:pPr>
              <w:spacing w:after="0"/>
              <w:jc w:val="left"/>
            </w:pPr>
            <w:r>
              <w:rPr>
                <w:rFonts w:ascii="Arial" w:hAnsi="Arial" w:eastAsia="Arial"/>
                <w:b w:val="0"/>
                <w:i w:val="0"/>
                <w:sz w:val="17"/>
                <w:u w:val="none"/>
              </w:rPr>
              <w:t>Dokumentasi kunjungan PT Pertamina Patra Niaga ke Lab IoT, Instrumentation and Computations, Gedung Laboratorium Fisika Terpadu, Institut Teknologi Bandung, 6 Agustus 2026 (peninjauan prototipe dan demonstrasi integrasi sistem).</w:t>
            </w:r>
          </w:p>
        </w:tc>
        <w:tc>
          <w:tcPr>
            <w:tcW w:type="dxa" w:w="1474"/>
            <w:vAlign w:val="center"/>
          </w:tcPr>
          <w:p>
            <w:pPr>
              <w:spacing w:after="0"/>
              <w:jc w:val="left"/>
            </w:pPr>
            <w:r>
              <w:rPr>
                <w:rFonts w:ascii="Arial" w:hAnsi="Arial" w:eastAsia="Arial"/>
                <w:b w:val="0"/>
                <w:i w:val="0"/>
                <w:sz w:val="17"/>
                <w:u w:val="none"/>
              </w:rPr>
              <w:t>Lampiran 2</w:t>
            </w:r>
          </w:p>
        </w:tc>
        <w:tc>
          <w:tcPr>
            <w:tcW w:type="dxa" w:w="1191"/>
            <w:vAlign w:val="center"/>
          </w:tcPr>
          <w:p>
            <w:pPr>
              <w:spacing w:after="0"/>
              <w:jc w:val="center"/>
            </w:pPr>
            <w:r>
              <w:rPr>
                <w:rFonts w:ascii="Arial" w:hAnsi="Arial" w:eastAsia="Arial"/>
                <w:b/>
                <w:i w:val="0"/>
                <w:sz w:val="17"/>
                <w:u w:val="none"/>
              </w:rPr>
              <w:t>Terlampir</w:t>
            </w:r>
          </w:p>
        </w:tc>
      </w:tr>
    </w:tbl>
    <w:p>
      <w:pPr>
        <w:keepNext/>
        <w:spacing w:after="120" w:before="200" w:line="276" w:lineRule="auto"/>
        <w:jc w:val="left"/>
      </w:pPr>
      <w:r>
        <w:rPr>
          <w:rFonts w:ascii="Arial" w:hAnsi="Arial" w:eastAsia="Arial"/>
          <w:b/>
          <w:i w:val="0"/>
          <w:sz w:val="24"/>
          <w:u w:val="none"/>
        </w:rPr>
        <w:t>3. Uraian Pemenuhan</w:t>
      </w:r>
    </w:p>
    <w:p>
      <w:pPr>
        <w:keepNext/>
        <w:spacing w:after="120" w:before="200" w:line="276" w:lineRule="auto"/>
        <w:jc w:val="left"/>
      </w:pPr>
      <w:r>
        <w:rPr>
          <w:rFonts w:ascii="Arial" w:hAnsi="Arial" w:eastAsia="Arial"/>
          <w:b/>
          <w:i w:val="0"/>
          <w:sz w:val="21"/>
          <w:u w:val="none"/>
        </w:rPr>
        <w:t>3.1 Prototipe telah diuji</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2381"/>
        <w:gridCol w:w="2381"/>
        <w:gridCol w:w="4762"/>
      </w:tblGrid>
      <w:tr>
        <w:tc>
          <w:tcPr>
            <w:tcW w:type="dxa" w:w="2381"/>
            <w:vAlign w:val="center"/>
            <w:shd w:val="clear" w:color="auto" w:fill="D9E2F3"/>
          </w:tcPr>
          <w:p>
            <w:pPr>
              <w:spacing w:after="0"/>
              <w:jc w:val="center"/>
            </w:pPr>
            <w:r>
              <w:rPr>
                <w:rFonts w:ascii="Arial" w:hAnsi="Arial" w:eastAsia="Arial"/>
                <w:b/>
                <w:i w:val="0"/>
                <w:sz w:val="18"/>
                <w:u w:val="none"/>
              </w:rPr>
              <w:t>Pengujian</w:t>
            </w:r>
          </w:p>
        </w:tc>
        <w:tc>
          <w:tcPr>
            <w:tcW w:type="dxa" w:w="2381"/>
            <w:vAlign w:val="center"/>
            <w:shd w:val="clear" w:color="auto" w:fill="D9E2F3"/>
          </w:tcPr>
          <w:p>
            <w:pPr>
              <w:spacing w:after="0"/>
              <w:jc w:val="center"/>
            </w:pPr>
            <w:r>
              <w:rPr>
                <w:rFonts w:ascii="Arial" w:hAnsi="Arial" w:eastAsia="Arial"/>
                <w:b/>
                <w:i w:val="0"/>
                <w:sz w:val="18"/>
                <w:u w:val="none"/>
              </w:rPr>
              <w:t>Waktu / tempat</w:t>
            </w:r>
          </w:p>
        </w:tc>
        <w:tc>
          <w:tcPr>
            <w:tcW w:type="dxa" w:w="4762"/>
            <w:vAlign w:val="center"/>
            <w:shd w:val="clear" w:color="auto" w:fill="D9E2F3"/>
          </w:tcPr>
          <w:p>
            <w:pPr>
              <w:spacing w:after="0"/>
              <w:jc w:val="center"/>
            </w:pPr>
            <w:r>
              <w:rPr>
                <w:rFonts w:ascii="Arial" w:hAnsi="Arial" w:eastAsia="Arial"/>
                <w:b/>
                <w:i w:val="0"/>
                <w:sz w:val="18"/>
                <w:u w:val="none"/>
              </w:rPr>
              <w:t>Hasil</w:t>
            </w:r>
          </w:p>
        </w:tc>
      </w:tr>
      <w:tr>
        <w:tc>
          <w:tcPr>
            <w:tcW w:type="dxa" w:w="2381"/>
            <w:vAlign w:val="center"/>
          </w:tcPr>
          <w:p>
            <w:pPr>
              <w:spacing w:after="0"/>
              <w:jc w:val="left"/>
            </w:pPr>
            <w:r>
              <w:rPr>
                <w:rFonts w:ascii="Arial" w:hAnsi="Arial" w:eastAsia="Arial"/>
                <w:b/>
                <w:i w:val="0"/>
                <w:sz w:val="17"/>
                <w:u w:val="none"/>
              </w:rPr>
              <w:t>Factory Acceptance Test (FAT) laboratorium</w:t>
            </w:r>
          </w:p>
        </w:tc>
        <w:tc>
          <w:tcPr>
            <w:tcW w:type="dxa" w:w="2381"/>
            <w:vAlign w:val="center"/>
          </w:tcPr>
          <w:p>
            <w:pPr>
              <w:spacing w:after="0"/>
              <w:jc w:val="left"/>
            </w:pPr>
            <w:r>
              <w:rPr>
                <w:rFonts w:ascii="Arial" w:hAnsi="Arial" w:eastAsia="Arial"/>
                <w:b w:val="0"/>
                <w:i w:val="0"/>
                <w:sz w:val="17"/>
                <w:u w:val="none"/>
              </w:rPr>
              <w:t>Lab IoT ITB, Mei–Agustus 2026; disaksikan PT Pertamina Patra Niaga 6 Agustus 2026</w:t>
            </w:r>
          </w:p>
        </w:tc>
        <w:tc>
          <w:tcPr>
            <w:tcW w:type="dxa" w:w="4762"/>
            <w:vAlign w:val="center"/>
          </w:tcPr>
          <w:p>
            <w:pPr>
              <w:spacing w:after="0"/>
              <w:jc w:val="left"/>
            </w:pPr>
            <w:r>
              <w:rPr>
                <w:rFonts w:ascii="Arial" w:hAnsi="Arial" w:eastAsia="Arial"/>
                <w:b w:val="0"/>
                <w:i w:val="0"/>
                <w:sz w:val="17"/>
                <w:u w:val="none"/>
              </w:rPr>
              <w:t>7/7 item lulus: pembacaan 8 kanal sensor, klasifikasi gas AI di perangkat (ESP32-S3), komunikasi LoRa, mesh &amp; failover Cluster Head, integrasi end-to-end, alarm otomatis, serta monitoring data dan alarm di dashboard.</w:t>
            </w:r>
          </w:p>
        </w:tc>
      </w:tr>
      <w:tr>
        <w:tc>
          <w:tcPr>
            <w:tcW w:type="dxa" w:w="2381"/>
            <w:vAlign w:val="center"/>
          </w:tcPr>
          <w:p>
            <w:pPr>
              <w:spacing w:after="0"/>
              <w:jc w:val="left"/>
            </w:pPr>
            <w:r>
              <w:rPr>
                <w:rFonts w:ascii="Arial" w:hAnsi="Arial" w:eastAsia="Arial"/>
                <w:b/>
                <w:i w:val="0"/>
                <w:sz w:val="17"/>
                <w:u w:val="none"/>
              </w:rPr>
              <w:t>Uji termal internal (persiapan kelas suhu T4)</w:t>
            </w:r>
          </w:p>
        </w:tc>
        <w:tc>
          <w:tcPr>
            <w:tcW w:type="dxa" w:w="2381"/>
            <w:vAlign w:val="center"/>
          </w:tcPr>
          <w:p>
            <w:pPr>
              <w:spacing w:after="0"/>
              <w:jc w:val="left"/>
            </w:pPr>
            <w:r>
              <w:rPr>
                <w:rFonts w:ascii="Arial" w:hAnsi="Arial" w:eastAsia="Arial"/>
                <w:b w:val="0"/>
                <w:i w:val="0"/>
                <w:sz w:val="17"/>
                <w:u w:val="none"/>
              </w:rPr>
              <w:t>30 September 2026</w:t>
            </w:r>
          </w:p>
        </w:tc>
        <w:tc>
          <w:tcPr>
            <w:tcW w:type="dxa" w:w="4762"/>
            <w:vAlign w:val="center"/>
          </w:tcPr>
          <w:p>
            <w:pPr>
              <w:spacing w:after="0"/>
              <w:jc w:val="left"/>
            </w:pPr>
            <w:r>
              <w:rPr>
                <w:rFonts w:ascii="Arial" w:hAnsi="Arial" w:eastAsia="Arial"/>
                <w:b w:val="0"/>
                <w:i w:val="0"/>
                <w:sz w:val="17"/>
                <w:u w:val="none"/>
              </w:rPr>
              <w:t>8 kanal thermocouple; kondisi normal, beban maksimum, dan kipas mati; 180 menit. Ekstrapolasi ke suhu ambien +60 °C: titik terpanas ±114 °C, di bawah batas efektif T4 (130 °C). Titik ukur komponen daya akan dilengkapi pada uji laboratorium.</w:t>
            </w:r>
          </w:p>
        </w:tc>
      </w:tr>
      <w:tr>
        <w:tc>
          <w:tcPr>
            <w:tcW w:type="dxa" w:w="2381"/>
            <w:vAlign w:val="center"/>
          </w:tcPr>
          <w:p>
            <w:pPr>
              <w:spacing w:after="0"/>
              <w:jc w:val="left"/>
            </w:pPr>
            <w:r>
              <w:rPr>
                <w:rFonts w:ascii="Arial" w:hAnsi="Arial" w:eastAsia="Arial"/>
                <w:b/>
                <w:i w:val="0"/>
                <w:sz w:val="17"/>
                <w:u w:val="none"/>
              </w:rPr>
              <w:t>Pengukuran dimensi enclosure</w:t>
            </w:r>
          </w:p>
        </w:tc>
        <w:tc>
          <w:tcPr>
            <w:tcW w:type="dxa" w:w="2381"/>
            <w:vAlign w:val="center"/>
          </w:tcPr>
          <w:p>
            <w:pPr>
              <w:spacing w:after="0"/>
              <w:jc w:val="left"/>
            </w:pPr>
            <w:r>
              <w:rPr>
                <w:rFonts w:ascii="Arial" w:hAnsi="Arial" w:eastAsia="Arial"/>
                <w:b w:val="0"/>
                <w:i w:val="0"/>
                <w:sz w:val="17"/>
                <w:u w:val="none"/>
              </w:rPr>
              <w:t>7 Oktober 2026</w:t>
            </w:r>
          </w:p>
        </w:tc>
        <w:tc>
          <w:tcPr>
            <w:tcW w:type="dxa" w:w="4762"/>
            <w:vAlign w:val="center"/>
          </w:tcPr>
          <w:p>
            <w:pPr>
              <w:spacing w:after="0"/>
              <w:jc w:val="left"/>
            </w:pPr>
            <w:r>
              <w:rPr>
                <w:rFonts w:ascii="Arial" w:hAnsi="Arial" w:eastAsia="Arial"/>
                <w:b w:val="0"/>
                <w:i w:val="0"/>
                <w:sz w:val="17"/>
                <w:u w:val="none"/>
              </w:rPr>
              <w:t>Jangka sorong: dinding leher ulir 10,50 mm (pangkal) / 5,80 mm (atas), tinggi leher berulir ±14,8 mm, diameter dalam ±84,7 mm, penampang O-ring 2,70 mm — data masukan dossier Ex d.</w:t>
            </w:r>
          </w:p>
        </w:tc>
      </w:tr>
    </w:tbl>
    <w:p>
      <w:pPr>
        <w:keepNext/>
        <w:spacing w:after="120" w:before="200" w:line="276" w:lineRule="auto"/>
        <w:jc w:val="left"/>
      </w:pPr>
      <w:r>
        <w:rPr>
          <w:rFonts w:ascii="Arial" w:hAnsi="Arial" w:eastAsia="Arial"/>
          <w:b/>
          <w:i w:val="0"/>
          <w:sz w:val="21"/>
          <w:u w:val="none"/>
        </w:rPr>
        <w:t>3.2 Desain telah diperbaiki</w:t>
      </w:r>
    </w:p>
    <w:p>
      <w:pPr>
        <w:spacing w:after="120" w:before="0" w:line="276" w:lineRule="auto"/>
        <w:jc w:val="both"/>
      </w:pPr>
      <w:r>
        <w:rPr>
          <w:rFonts w:ascii="Arial" w:hAnsi="Arial" w:eastAsia="Arial"/>
          <w:b w:val="0"/>
          <w:i w:val="0"/>
          <w:sz w:val="20"/>
          <w:u w:val="none"/>
        </w:rPr>
        <w:t>Perbaikan desain dilakukan bertahap pada dua komponen utama: papan elektronik (PCB) Node Sensor GLD dan casing/enclosure. Tabel berikut merinci perubahan setiap versi dan kontribusinya terhadap persyaratan sertifikasi hazardous area (konsep proteksi usulan Ex d, II 2G Ex db IIC T4 Gb, mengacu IEC 60079-0 dan IEC 60079-1).</w:t>
      </w:r>
    </w:p>
    <w:p>
      <w:pPr>
        <w:spacing w:after="60" w:before="120" w:line="276" w:lineRule="auto"/>
        <w:jc w:val="left"/>
      </w:pPr>
      <w:r>
        <w:rPr>
          <w:rFonts w:ascii="Arial" w:hAnsi="Arial" w:eastAsia="Arial"/>
          <w:b/>
          <w:i w:val="0"/>
          <w:sz w:val="18"/>
          <w:u w:val="none"/>
        </w:rPr>
        <w:t>Tabel 1. Iterasi PCB Node Sensor GLD dan kontribusinya menuju sertifikasi</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1304"/>
        <w:gridCol w:w="1361"/>
        <w:gridCol w:w="3402"/>
        <w:gridCol w:w="3458"/>
      </w:tblGrid>
      <w:tr>
        <w:tc>
          <w:tcPr>
            <w:tcW w:type="dxa" w:w="1304"/>
            <w:vAlign w:val="center"/>
            <w:shd w:val="clear" w:color="auto" w:fill="D9E2F3"/>
          </w:tcPr>
          <w:p>
            <w:pPr>
              <w:spacing w:after="0"/>
              <w:jc w:val="center"/>
            </w:pPr>
            <w:r>
              <w:rPr>
                <w:rFonts w:ascii="Arial" w:hAnsi="Arial" w:eastAsia="Arial"/>
                <w:b/>
                <w:i w:val="0"/>
                <w:sz w:val="18"/>
                <w:u w:val="none"/>
              </w:rPr>
              <w:t>Versi</w:t>
            </w:r>
          </w:p>
        </w:tc>
        <w:tc>
          <w:tcPr>
            <w:tcW w:type="dxa" w:w="1361"/>
            <w:vAlign w:val="center"/>
            <w:shd w:val="clear" w:color="auto" w:fill="D9E2F3"/>
          </w:tcPr>
          <w:p>
            <w:pPr>
              <w:spacing w:after="0"/>
              <w:jc w:val="center"/>
            </w:pPr>
            <w:r>
              <w:rPr>
                <w:rFonts w:ascii="Arial" w:hAnsi="Arial" w:eastAsia="Arial"/>
                <w:b/>
                <w:i w:val="0"/>
                <w:sz w:val="18"/>
                <w:u w:val="none"/>
              </w:rPr>
              <w:t>Fokus</w:t>
            </w:r>
          </w:p>
        </w:tc>
        <w:tc>
          <w:tcPr>
            <w:tcW w:type="dxa" w:w="3402"/>
            <w:vAlign w:val="center"/>
            <w:shd w:val="clear" w:color="auto" w:fill="D9E2F3"/>
          </w:tcPr>
          <w:p>
            <w:pPr>
              <w:spacing w:after="0"/>
              <w:jc w:val="center"/>
            </w:pPr>
            <w:r>
              <w:rPr>
                <w:rFonts w:ascii="Arial" w:hAnsi="Arial" w:eastAsia="Arial"/>
                <w:b/>
                <w:i w:val="0"/>
                <w:sz w:val="18"/>
                <w:u w:val="none"/>
              </w:rPr>
              <w:t>Perubahan yang dilakukan</w:t>
            </w:r>
          </w:p>
        </w:tc>
        <w:tc>
          <w:tcPr>
            <w:tcW w:type="dxa" w:w="3458"/>
            <w:vAlign w:val="center"/>
            <w:shd w:val="clear" w:color="auto" w:fill="D9E2F3"/>
          </w:tcPr>
          <w:p>
            <w:pPr>
              <w:spacing w:after="0"/>
              <w:jc w:val="center"/>
            </w:pPr>
            <w:r>
              <w:rPr>
                <w:rFonts w:ascii="Arial" w:hAnsi="Arial" w:eastAsia="Arial"/>
                <w:b/>
                <w:i w:val="0"/>
                <w:sz w:val="18"/>
                <w:u w:val="none"/>
              </w:rPr>
              <w:t>Peningkatan menuju sertifikasi</w:t>
            </w:r>
          </w:p>
        </w:tc>
      </w:tr>
      <w:tr>
        <w:tc>
          <w:tcPr>
            <w:tcW w:type="dxa" w:w="1304"/>
            <w:vAlign w:val="center"/>
          </w:tcPr>
          <w:p>
            <w:pPr>
              <w:spacing w:after="0"/>
              <w:jc w:val="center"/>
            </w:pPr>
            <w:r>
              <w:rPr>
                <w:rFonts w:ascii="Arial" w:hAnsi="Arial" w:eastAsia="Arial"/>
                <w:b/>
                <w:i w:val="0"/>
                <w:sz w:val="17"/>
                <w:u w:val="none"/>
              </w:rPr>
              <w:t>V1</w:t>
            </w:r>
          </w:p>
        </w:tc>
        <w:tc>
          <w:tcPr>
            <w:tcW w:type="dxa" w:w="1361"/>
            <w:vAlign w:val="center"/>
          </w:tcPr>
          <w:p>
            <w:pPr>
              <w:spacing w:after="0"/>
              <w:jc w:val="left"/>
            </w:pPr>
            <w:r>
              <w:rPr>
                <w:rFonts w:ascii="Arial" w:hAnsi="Arial" w:eastAsia="Arial"/>
                <w:b/>
                <w:i w:val="0"/>
                <w:sz w:val="17"/>
                <w:u w:val="none"/>
              </w:rPr>
              <w:t>Baseline</w:t>
            </w:r>
          </w:p>
        </w:tc>
        <w:tc>
          <w:tcPr>
            <w:tcW w:type="dxa" w:w="3402"/>
            <w:vAlign w:val="center"/>
          </w:tcPr>
          <w:p>
            <w:pPr>
              <w:spacing w:after="0"/>
              <w:jc w:val="left"/>
            </w:pPr>
            <w:r>
              <w:rPr>
                <w:rFonts w:ascii="Arial" w:hAnsi="Arial" w:eastAsia="Arial"/>
                <w:b w:val="0"/>
                <w:i w:val="0"/>
                <w:sz w:val="17"/>
                <w:u w:val="none"/>
              </w:rPr>
              <w:t>ESP32, ADC ADS1256, multiplexer TCA9548, DAC MCP4725, jalur analog INA333/OPA333/LM321 serta bridge sensor MQ berada pada satu motherboard. ULN2003 menggerakkan buzzer, alarm 5 V, dan kipas DC; TPL5010 mengatur watchdog/wake-up.</w:t>
            </w:r>
          </w:p>
        </w:tc>
        <w:tc>
          <w:tcPr>
            <w:tcW w:type="dxa" w:w="3458"/>
            <w:vAlign w:val="center"/>
          </w:tcPr>
          <w:p>
            <w:pPr>
              <w:spacing w:after="0"/>
              <w:jc w:val="left"/>
            </w:pPr>
            <w:r>
              <w:rPr>
                <w:rFonts w:ascii="Arial" w:hAnsi="Arial" w:eastAsia="Arial"/>
                <w:b w:val="0"/>
                <w:i w:val="0"/>
                <w:sz w:val="17"/>
                <w:u w:val="none"/>
              </w:rPr>
              <w:t>Membuktikan fungsi dasar (akuisisi 8 sensor, AI, LoRa). Menjadi acuan identifikasi masalah: heater sensor MQ (sumber panas utama) bercampur dengan elektronika digital di satu papan.</w:t>
            </w:r>
          </w:p>
        </w:tc>
      </w:tr>
      <w:tr>
        <w:tc>
          <w:tcPr>
            <w:tcW w:type="dxa" w:w="1304"/>
            <w:vAlign w:val="center"/>
          </w:tcPr>
          <w:p>
            <w:pPr>
              <w:spacing w:after="0"/>
              <w:jc w:val="center"/>
            </w:pPr>
            <w:r>
              <w:rPr>
                <w:rFonts w:ascii="Arial" w:hAnsi="Arial" w:eastAsia="Arial"/>
                <w:b/>
                <w:i w:val="0"/>
                <w:sz w:val="17"/>
                <w:u w:val="none"/>
              </w:rPr>
              <w:t>V2</w:t>
            </w:r>
          </w:p>
        </w:tc>
        <w:tc>
          <w:tcPr>
            <w:tcW w:type="dxa" w:w="1361"/>
            <w:vAlign w:val="center"/>
          </w:tcPr>
          <w:p>
            <w:pPr>
              <w:spacing w:after="0"/>
              <w:jc w:val="left"/>
            </w:pPr>
            <w:r>
              <w:rPr>
                <w:rFonts w:ascii="Arial" w:hAnsi="Arial" w:eastAsia="Arial"/>
                <w:b/>
                <w:i w:val="0"/>
                <w:sz w:val="17"/>
                <w:u w:val="none"/>
              </w:rPr>
              <w:t>Pemisahan sensor</w:t>
            </w:r>
          </w:p>
        </w:tc>
        <w:tc>
          <w:tcPr>
            <w:tcW w:type="dxa" w:w="3402"/>
            <w:vAlign w:val="center"/>
          </w:tcPr>
          <w:p>
            <w:pPr>
              <w:spacing w:after="0"/>
              <w:jc w:val="left"/>
            </w:pPr>
            <w:r>
              <w:rPr>
                <w:rFonts w:ascii="Arial" w:hAnsi="Arial" w:eastAsia="Arial"/>
                <w:b w:val="0"/>
                <w:i w:val="0"/>
                <w:sz w:val="17"/>
                <w:u w:val="none"/>
              </w:rPr>
              <w:t>Bridge sensor MQ, INA333, dan MCP4725 dipindah ke SensorBoardMQ terpisah dengan saklar daya TPS22919; LM321 diganti OPA320; ditambah PCF8574 (ekspander I/O) dan SHT40 (suhu &amp; kelembapan internal). Pin alarm 24 V; pemilih catu 24 V/baterai/5 V tanpa jumper.</w:t>
            </w:r>
          </w:p>
        </w:tc>
        <w:tc>
          <w:tcPr>
            <w:tcW w:type="dxa" w:w="3458"/>
            <w:vAlign w:val="center"/>
          </w:tcPr>
          <w:p>
            <w:pPr>
              <w:spacing w:after="0"/>
              <w:jc w:val="left"/>
            </w:pPr>
            <w:r>
              <w:rPr>
                <w:rFonts w:ascii="Arial" w:hAnsi="Arial" w:eastAsia="Arial"/>
                <w:b w:val="0"/>
                <w:i w:val="0"/>
                <w:sz w:val="17"/>
                <w:u w:val="none"/>
              </w:rPr>
              <w:t>Sumber panas (heater MQ) dipisahkan dari logika dan dayanya dapat diputus terkendali, mendukung pengendalian suhu permukaan (kelas suhu T4) dan pembatasan energi saat gangguan. SHT40 memberi pemantauan suhu/kelembapan di dalam enclosure. Pemilih catu tanpa jumper mengurangi risiko salah konfigurasi di lapangan.</w:t>
            </w:r>
          </w:p>
        </w:tc>
      </w:tr>
      <w:tr>
        <w:tc>
          <w:tcPr>
            <w:tcW w:type="dxa" w:w="1304"/>
            <w:vAlign w:val="center"/>
          </w:tcPr>
          <w:p>
            <w:pPr>
              <w:spacing w:after="0"/>
              <w:jc w:val="center"/>
            </w:pPr>
            <w:r>
              <w:rPr>
                <w:rFonts w:ascii="Arial" w:hAnsi="Arial" w:eastAsia="Arial"/>
                <w:b/>
                <w:i w:val="0"/>
                <w:sz w:val="17"/>
                <w:u w:val="none"/>
              </w:rPr>
              <w:t>V3</w:t>
            </w:r>
          </w:p>
        </w:tc>
        <w:tc>
          <w:tcPr>
            <w:tcW w:type="dxa" w:w="1361"/>
            <w:vAlign w:val="center"/>
          </w:tcPr>
          <w:p>
            <w:pPr>
              <w:spacing w:after="0"/>
              <w:jc w:val="left"/>
            </w:pPr>
            <w:r>
              <w:rPr>
                <w:rFonts w:ascii="Arial" w:hAnsi="Arial" w:eastAsia="Arial"/>
                <w:b/>
                <w:i w:val="0"/>
                <w:sz w:val="17"/>
                <w:u w:val="none"/>
              </w:rPr>
              <w:t>Perbaikan temuan V2</w:t>
            </w:r>
          </w:p>
        </w:tc>
        <w:tc>
          <w:tcPr>
            <w:tcW w:type="dxa" w:w="3402"/>
            <w:vAlign w:val="center"/>
          </w:tcPr>
          <w:p>
            <w:pPr>
              <w:spacing w:after="0"/>
              <w:jc w:val="left"/>
            </w:pPr>
            <w:r>
              <w:rPr>
                <w:rFonts w:ascii="Arial" w:hAnsi="Arial" w:eastAsia="Arial"/>
                <w:b w:val="0"/>
                <w:i w:val="0"/>
                <w:sz w:val="17"/>
                <w:u w:val="none"/>
              </w:rPr>
              <w:t>Jalur catu +5VA disambungkan dan diperbaiki; soket kipas DC 5 V dikembalikan. Konfigurasi sensor module, OPA320, ADS1256, TCA9548, PCF8574, dan SHT40 dipertahankan.</w:t>
            </w:r>
          </w:p>
        </w:tc>
        <w:tc>
          <w:tcPr>
            <w:tcW w:type="dxa" w:w="3458"/>
            <w:vAlign w:val="center"/>
          </w:tcPr>
          <w:p>
            <w:pPr>
              <w:spacing w:after="0"/>
              <w:jc w:val="left"/>
            </w:pPr>
            <w:r>
              <w:rPr>
                <w:rFonts w:ascii="Arial" w:hAnsi="Arial" w:eastAsia="Arial"/>
                <w:b w:val="0"/>
                <w:i w:val="0"/>
                <w:sz w:val="17"/>
                <w:u w:val="none"/>
              </w:rPr>
              <w:t>Menutup temuan uji pada V2 (siklus uji → koreksi → uji ulang). Kipas DC diperlukan untuk aliran gas ke sensor dan pendinginan; kondisi kipas mati menjadi kasus terburuk pada uji termal 30 Sep 2026.</w:t>
            </w:r>
          </w:p>
        </w:tc>
      </w:tr>
      <w:tr>
        <w:tc>
          <w:tcPr>
            <w:tcW w:type="dxa" w:w="1304"/>
            <w:vAlign w:val="center"/>
          </w:tcPr>
          <w:p>
            <w:pPr>
              <w:spacing w:after="0"/>
              <w:jc w:val="center"/>
            </w:pPr>
            <w:r>
              <w:rPr>
                <w:rFonts w:ascii="Arial" w:hAnsi="Arial" w:eastAsia="Arial"/>
                <w:b/>
                <w:i w:val="0"/>
                <w:sz w:val="17"/>
                <w:u w:val="none"/>
              </w:rPr>
              <w:t>V4</w:t>
            </w:r>
          </w:p>
        </w:tc>
        <w:tc>
          <w:tcPr>
            <w:tcW w:type="dxa" w:w="1361"/>
            <w:vAlign w:val="center"/>
          </w:tcPr>
          <w:p>
            <w:pPr>
              <w:spacing w:after="0"/>
              <w:jc w:val="left"/>
            </w:pPr>
            <w:r>
              <w:rPr>
                <w:rFonts w:ascii="Arial" w:hAnsi="Arial" w:eastAsia="Arial"/>
                <w:b/>
                <w:i w:val="0"/>
                <w:sz w:val="17"/>
                <w:u w:val="none"/>
              </w:rPr>
              <w:t>Kesiapan mekanik &amp; terminal</w:t>
            </w:r>
          </w:p>
        </w:tc>
        <w:tc>
          <w:tcPr>
            <w:tcW w:type="dxa" w:w="3402"/>
            <w:vAlign w:val="center"/>
          </w:tcPr>
          <w:p>
            <w:pPr>
              <w:spacing w:after="0"/>
              <w:jc w:val="left"/>
            </w:pPr>
            <w:r>
              <w:rPr>
                <w:rFonts w:ascii="Arial" w:hAnsi="Arial" w:eastAsia="Arial"/>
                <w:b w:val="0"/>
                <w:i w:val="0"/>
                <w:sz w:val="17"/>
                <w:u w:val="none"/>
              </w:rPr>
              <w:t>Lubang baut untuk mengikat motherboard ke PCB cover; PCB cover terpisah sebagai modul terminal (24V +/−, ALARM −/+, RS485 A/B, FAN 5V/0V, BAT −/+) yang sekaligus menutup motherboard. Versi ini dipakai pada unit sampel S/N GLD2-0x1001.</w:t>
            </w:r>
          </w:p>
        </w:tc>
        <w:tc>
          <w:tcPr>
            <w:tcW w:type="dxa" w:w="3458"/>
            <w:vAlign w:val="center"/>
          </w:tcPr>
          <w:p>
            <w:pPr>
              <w:spacing w:after="0"/>
              <w:jc w:val="left"/>
            </w:pPr>
            <w:r>
              <w:rPr>
                <w:rFonts w:ascii="Arial" w:hAnsi="Arial" w:eastAsia="Arial"/>
                <w:b w:val="0"/>
                <w:i w:val="0"/>
                <w:sz w:val="17"/>
                <w:u w:val="none"/>
              </w:rPr>
              <w:t>Komponen internal terikat kuat (tahan getaran, jarak bebas terjaga) sebagaimana dituntut konstruksi Ex d. Kabel lapangan hanya menyentuh terminal berlabel, terpisah dari elektronika, sehingga diagram pengawatan dan instruksi instalasi untuk dossier dapat ditetapkan jelas.</w:t>
            </w:r>
          </w:p>
        </w:tc>
      </w:tr>
      <w:tr>
        <w:tc>
          <w:tcPr>
            <w:tcW w:type="dxa" w:w="1304"/>
            <w:vAlign w:val="center"/>
          </w:tcPr>
          <w:p>
            <w:pPr>
              <w:spacing w:after="0"/>
              <w:jc w:val="center"/>
            </w:pPr>
            <w:r>
              <w:rPr>
                <w:rFonts w:ascii="Arial" w:hAnsi="Arial" w:eastAsia="Arial"/>
                <w:b/>
                <w:i w:val="0"/>
                <w:sz w:val="17"/>
                <w:u w:val="none"/>
              </w:rPr>
              <w:t>V5</w:t>
            </w:r>
          </w:p>
        </w:tc>
        <w:tc>
          <w:tcPr>
            <w:tcW w:type="dxa" w:w="1361"/>
            <w:vAlign w:val="center"/>
          </w:tcPr>
          <w:p>
            <w:pPr>
              <w:spacing w:after="0"/>
              <w:jc w:val="left"/>
            </w:pPr>
            <w:r>
              <w:rPr>
                <w:rFonts w:ascii="Arial" w:hAnsi="Arial" w:eastAsia="Arial"/>
                <w:b/>
                <w:i w:val="0"/>
                <w:sz w:val="17"/>
                <w:u w:val="none"/>
              </w:rPr>
              <w:t>Modularisasi</w:t>
            </w:r>
          </w:p>
        </w:tc>
        <w:tc>
          <w:tcPr>
            <w:tcW w:type="dxa" w:w="3402"/>
            <w:vAlign w:val="center"/>
          </w:tcPr>
          <w:p>
            <w:pPr>
              <w:spacing w:after="0"/>
              <w:jc w:val="left"/>
            </w:pPr>
            <w:r>
              <w:rPr>
                <w:rFonts w:ascii="Arial" w:hAnsi="Arial" w:eastAsia="Arial"/>
                <w:b w:val="0"/>
                <w:i w:val="0"/>
                <w:sz w:val="17"/>
                <w:u w:val="none"/>
              </w:rPr>
              <w:t>MotherBoardAdapter hanya memuat ESP32 dan watchdog TPL5010; fungsi akuisisi (ADS1256, TCA9548, OPA320, PCF8574, SHT40, +5VA) dipindah ke Sensor PCB melalui konektor 16-pin PHD2.0.</w:t>
            </w:r>
          </w:p>
        </w:tc>
        <w:tc>
          <w:tcPr>
            <w:tcW w:type="dxa" w:w="3458"/>
            <w:vAlign w:val="center"/>
          </w:tcPr>
          <w:p>
            <w:pPr>
              <w:spacing w:after="0"/>
              <w:jc w:val="left"/>
            </w:pPr>
            <w:r>
              <w:rPr>
                <w:rFonts w:ascii="Arial" w:hAnsi="Arial" w:eastAsia="Arial"/>
                <w:b w:val="0"/>
                <w:i w:val="0"/>
                <w:sz w:val="17"/>
                <w:u w:val="none"/>
              </w:rPr>
              <w:t>Jalur analog/akuisisi terpisah dari prosesor, memudahkan pengujian per modul, penelusuran komponen kritis (BOM Ex-critical), dan penggantian modul tanpa mengubah papan utama. Disiapkan untuk iterasi produksi berikutnya.</w:t>
            </w:r>
          </w:p>
        </w:tc>
      </w:tr>
    </w:tbl>
    <w:p>
      <w:pPr>
        <w:keepNext/>
        <w:jc w:val="center"/>
      </w:pPr>
      <w:r>
        <w:drawing>
          <wp:inline xmlns:a="http://schemas.openxmlformats.org/drawingml/2006/main" xmlns:pic="http://schemas.openxmlformats.org/drawingml/2006/picture">
            <wp:extent cx="5580000" cy="224595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580000" cy="2245950"/>
                    </a:xfrm>
                    <a:prstGeom prst="rect"/>
                  </pic:spPr>
                </pic:pic>
              </a:graphicData>
            </a:graphic>
          </wp:inline>
        </w:drawing>
      </w:r>
    </w:p>
    <w:p>
      <w:pPr>
        <w:spacing w:after="120" w:before="0" w:line="276" w:lineRule="auto"/>
        <w:jc w:val="center"/>
      </w:pPr>
      <w:r>
        <w:rPr>
          <w:rFonts w:ascii="Arial" w:hAnsi="Arial" w:eastAsia="Arial"/>
          <w:b w:val="0"/>
          <w:i/>
          <w:sz w:val="17"/>
          <w:u w:val="none"/>
        </w:rPr>
        <w:t>Gambar 1. Iterasi PCB Node Sensor GLD, versi V1 hingga V5</w:t>
      </w:r>
    </w:p>
    <w:p>
      <w:pPr>
        <w:spacing w:after="60" w:before="120" w:line="276" w:lineRule="auto"/>
        <w:jc w:val="left"/>
      </w:pPr>
      <w:r>
        <w:rPr>
          <w:rFonts w:ascii="Arial" w:hAnsi="Arial" w:eastAsia="Arial"/>
          <w:b/>
          <w:i w:val="0"/>
          <w:sz w:val="18"/>
          <w:u w:val="none"/>
        </w:rPr>
        <w:t>Tabel 2. Iterasi casing/enclosure GLD dan kontribusinya menuju sertifikasi</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1304"/>
        <w:gridCol w:w="1361"/>
        <w:gridCol w:w="3402"/>
        <w:gridCol w:w="3458"/>
      </w:tblGrid>
      <w:tr>
        <w:tc>
          <w:tcPr>
            <w:tcW w:type="dxa" w:w="1304"/>
            <w:vAlign w:val="center"/>
            <w:shd w:val="clear" w:color="auto" w:fill="D9E2F3"/>
          </w:tcPr>
          <w:p>
            <w:pPr>
              <w:spacing w:after="0"/>
              <w:jc w:val="center"/>
            </w:pPr>
            <w:r>
              <w:rPr>
                <w:rFonts w:ascii="Arial" w:hAnsi="Arial" w:eastAsia="Arial"/>
                <w:b/>
                <w:i w:val="0"/>
                <w:sz w:val="18"/>
                <w:u w:val="none"/>
              </w:rPr>
              <w:t>Versi</w:t>
            </w:r>
          </w:p>
        </w:tc>
        <w:tc>
          <w:tcPr>
            <w:tcW w:type="dxa" w:w="1361"/>
            <w:vAlign w:val="center"/>
            <w:shd w:val="clear" w:color="auto" w:fill="D9E2F3"/>
          </w:tcPr>
          <w:p>
            <w:pPr>
              <w:spacing w:after="0"/>
              <w:jc w:val="center"/>
            </w:pPr>
            <w:r>
              <w:rPr>
                <w:rFonts w:ascii="Arial" w:hAnsi="Arial" w:eastAsia="Arial"/>
                <w:b/>
                <w:i w:val="0"/>
                <w:sz w:val="18"/>
                <w:u w:val="none"/>
              </w:rPr>
              <w:t>Fokus</w:t>
            </w:r>
          </w:p>
        </w:tc>
        <w:tc>
          <w:tcPr>
            <w:tcW w:type="dxa" w:w="3402"/>
            <w:vAlign w:val="center"/>
            <w:shd w:val="clear" w:color="auto" w:fill="D9E2F3"/>
          </w:tcPr>
          <w:p>
            <w:pPr>
              <w:spacing w:after="0"/>
              <w:jc w:val="center"/>
            </w:pPr>
            <w:r>
              <w:rPr>
                <w:rFonts w:ascii="Arial" w:hAnsi="Arial" w:eastAsia="Arial"/>
                <w:b/>
                <w:i w:val="0"/>
                <w:sz w:val="18"/>
                <w:u w:val="none"/>
              </w:rPr>
              <w:t>Perubahan yang dilakukan</w:t>
            </w:r>
          </w:p>
        </w:tc>
        <w:tc>
          <w:tcPr>
            <w:tcW w:type="dxa" w:w="3458"/>
            <w:vAlign w:val="center"/>
            <w:shd w:val="clear" w:color="auto" w:fill="D9E2F3"/>
          </w:tcPr>
          <w:p>
            <w:pPr>
              <w:spacing w:after="0"/>
              <w:jc w:val="center"/>
            </w:pPr>
            <w:r>
              <w:rPr>
                <w:rFonts w:ascii="Arial" w:hAnsi="Arial" w:eastAsia="Arial"/>
                <w:b/>
                <w:i w:val="0"/>
                <w:sz w:val="18"/>
                <w:u w:val="none"/>
              </w:rPr>
              <w:t>Peningkatan menuju sertifikasi</w:t>
            </w:r>
          </w:p>
        </w:tc>
      </w:tr>
      <w:tr>
        <w:tc>
          <w:tcPr>
            <w:tcW w:type="dxa" w:w="1304"/>
            <w:vAlign w:val="center"/>
          </w:tcPr>
          <w:p>
            <w:pPr>
              <w:spacing w:after="0"/>
              <w:jc w:val="center"/>
            </w:pPr>
            <w:r>
              <w:rPr>
                <w:rFonts w:ascii="Arial" w:hAnsi="Arial" w:eastAsia="Arial"/>
                <w:b/>
                <w:i w:val="0"/>
                <w:sz w:val="17"/>
                <w:u w:val="none"/>
              </w:rPr>
              <w:t>Tahap 1</w:t>
            </w:r>
            <w:r>
              <w:br/>
            </w:r>
            <w:r>
              <w:rPr>
                <w:rFonts w:ascii="Arial" w:hAnsi="Arial" w:eastAsia="Arial"/>
                <w:b/>
                <w:i w:val="0"/>
                <w:sz w:val="17"/>
                <w:u w:val="none"/>
              </w:rPr>
              <w:t>(s/d Agu 2026)</w:t>
            </w:r>
          </w:p>
        </w:tc>
        <w:tc>
          <w:tcPr>
            <w:tcW w:type="dxa" w:w="1361"/>
            <w:vAlign w:val="center"/>
          </w:tcPr>
          <w:p>
            <w:pPr>
              <w:spacing w:after="0"/>
              <w:jc w:val="left"/>
            </w:pPr>
            <w:r>
              <w:rPr>
                <w:rFonts w:ascii="Arial" w:hAnsi="Arial" w:eastAsia="Arial"/>
                <w:b/>
                <w:i w:val="0"/>
                <w:sz w:val="17"/>
                <w:u w:val="none"/>
              </w:rPr>
              <w:t>Prototipe awal</w:t>
            </w:r>
          </w:p>
        </w:tc>
        <w:tc>
          <w:tcPr>
            <w:tcW w:type="dxa" w:w="3402"/>
            <w:vAlign w:val="center"/>
          </w:tcPr>
          <w:p>
            <w:pPr>
              <w:spacing w:after="0"/>
              <w:jc w:val="left"/>
            </w:pPr>
            <w:r>
              <w:rPr>
                <w:rFonts w:ascii="Arial" w:hAnsi="Arial" w:eastAsia="Arial"/>
                <w:b w:val="0"/>
                <w:i w:val="0"/>
                <w:sz w:val="17"/>
                <w:u w:val="none"/>
              </w:rPr>
              <w:t>Kotak junction box dengan kepala sensor silinder aluminium di bagian bawah; antena LoRa di sisi samping; beacon alarm terpisah (Foto 7–8).</w:t>
            </w:r>
          </w:p>
        </w:tc>
        <w:tc>
          <w:tcPr>
            <w:tcW w:type="dxa" w:w="3458"/>
            <w:vAlign w:val="center"/>
          </w:tcPr>
          <w:p>
            <w:pPr>
              <w:spacing w:after="0"/>
              <w:jc w:val="left"/>
            </w:pPr>
            <w:r>
              <w:rPr>
                <w:rFonts w:ascii="Arial" w:hAnsi="Arial" w:eastAsia="Arial"/>
                <w:b w:val="0"/>
                <w:i w:val="0"/>
                <w:sz w:val="17"/>
                <w:u w:val="none"/>
              </w:rPr>
              <w:t>Membuktikan fungsi sistem lengkap di lab dan saat disaksikan Pertamina 6 Agu 2026. Menjadi dasar identifikasi kebutuhan enclosure tahan ledakan yang ringkas.</w:t>
            </w:r>
          </w:p>
        </w:tc>
      </w:tr>
      <w:tr>
        <w:tc>
          <w:tcPr>
            <w:tcW w:type="dxa" w:w="1304"/>
            <w:vAlign w:val="center"/>
          </w:tcPr>
          <w:p>
            <w:pPr>
              <w:spacing w:after="0"/>
              <w:jc w:val="center"/>
            </w:pPr>
            <w:r>
              <w:rPr>
                <w:rFonts w:ascii="Arial" w:hAnsi="Arial" w:eastAsia="Arial"/>
                <w:b/>
                <w:i w:val="0"/>
                <w:sz w:val="17"/>
                <w:u w:val="none"/>
              </w:rPr>
              <w:t>Tahap 2</w:t>
            </w:r>
            <w:r>
              <w:br/>
            </w:r>
            <w:r>
              <w:rPr>
                <w:rFonts w:ascii="Arial" w:hAnsi="Arial" w:eastAsia="Arial"/>
                <w:b/>
                <w:i w:val="0"/>
                <w:sz w:val="17"/>
                <w:u w:val="none"/>
              </w:rPr>
              <w:t>ATEX Casing v2</w:t>
            </w:r>
            <w:r>
              <w:br/>
            </w:r>
            <w:r>
              <w:rPr>
                <w:rFonts w:ascii="Arial" w:hAnsi="Arial" w:eastAsia="Arial"/>
                <w:b/>
                <w:i w:val="0"/>
                <w:sz w:val="17"/>
                <w:u w:val="none"/>
              </w:rPr>
              <w:t>(31 Agu 2026)</w:t>
            </w:r>
          </w:p>
        </w:tc>
        <w:tc>
          <w:tcPr>
            <w:tcW w:type="dxa" w:w="1361"/>
            <w:vAlign w:val="center"/>
          </w:tcPr>
          <w:p>
            <w:pPr>
              <w:spacing w:after="0"/>
              <w:jc w:val="left"/>
            </w:pPr>
            <w:r>
              <w:rPr>
                <w:rFonts w:ascii="Arial" w:hAnsi="Arial" w:eastAsia="Arial"/>
                <w:b/>
                <w:i w:val="0"/>
                <w:sz w:val="17"/>
                <w:u w:val="none"/>
              </w:rPr>
              <w:t>Desain CAD berdimensi</w:t>
            </w:r>
          </w:p>
        </w:tc>
        <w:tc>
          <w:tcPr>
            <w:tcW w:type="dxa" w:w="3402"/>
            <w:vAlign w:val="center"/>
          </w:tcPr>
          <w:p>
            <w:pPr>
              <w:spacing w:after="0"/>
              <w:jc w:val="left"/>
            </w:pPr>
            <w:r>
              <w:rPr>
                <w:rFonts w:ascii="Arial" w:hAnsi="Arial" w:eastAsia="Arial"/>
                <w:b w:val="0"/>
                <w:i w:val="0"/>
                <w:sz w:val="17"/>
                <w:u w:val="none"/>
              </w:rPr>
              <w:t>Model solid STEP dengan dimensi terkendali (leher Ø75 mm, tinggi 191,51 mm) dan pelat pemasangan U-bolt 250 × 250 mm untuk pipa 2″/DN50, baut M10.</w:t>
            </w:r>
          </w:p>
        </w:tc>
        <w:tc>
          <w:tcPr>
            <w:tcW w:type="dxa" w:w="3458"/>
            <w:vAlign w:val="center"/>
          </w:tcPr>
          <w:p>
            <w:pPr>
              <w:spacing w:after="0"/>
              <w:jc w:val="left"/>
            </w:pPr>
            <w:r>
              <w:rPr>
                <w:rFonts w:ascii="Arial" w:hAnsi="Arial" w:eastAsia="Arial"/>
                <w:b w:val="0"/>
                <w:i w:val="0"/>
                <w:sz w:val="17"/>
                <w:u w:val="none"/>
              </w:rPr>
              <w:t>Gambar teknik berdimensi menjadi syarat dossier (2.6.a). Metode pemasangan dengan klem U-bolt tanpa las/bor sesuai ketentuan keselamatan kilang.</w:t>
            </w:r>
          </w:p>
        </w:tc>
      </w:tr>
      <w:tr>
        <w:tc>
          <w:tcPr>
            <w:tcW w:type="dxa" w:w="1304"/>
            <w:vAlign w:val="center"/>
          </w:tcPr>
          <w:p>
            <w:pPr>
              <w:spacing w:after="0"/>
              <w:jc w:val="center"/>
            </w:pPr>
            <w:r>
              <w:rPr>
                <w:rFonts w:ascii="Arial" w:hAnsi="Arial" w:eastAsia="Arial"/>
                <w:b/>
                <w:i w:val="0"/>
                <w:sz w:val="17"/>
                <w:u w:val="none"/>
              </w:rPr>
              <w:t>Tahap 3</w:t>
            </w:r>
            <w:r>
              <w:br/>
            </w:r>
            <w:r>
              <w:rPr>
                <w:rFonts w:ascii="Arial" w:hAnsi="Arial" w:eastAsia="Arial"/>
                <w:b/>
                <w:i w:val="0"/>
                <w:sz w:val="17"/>
                <w:u w:val="none"/>
              </w:rPr>
              <w:t>GLD ATEX Case v3</w:t>
            </w:r>
            <w:r>
              <w:br/>
            </w:r>
            <w:r>
              <w:rPr>
                <w:rFonts w:ascii="Arial" w:hAnsi="Arial" w:eastAsia="Arial"/>
                <w:b/>
                <w:i w:val="0"/>
                <w:sz w:val="17"/>
                <w:u w:val="none"/>
              </w:rPr>
              <w:t>(8 Sep 2026)</w:t>
            </w:r>
          </w:p>
        </w:tc>
        <w:tc>
          <w:tcPr>
            <w:tcW w:type="dxa" w:w="1361"/>
            <w:vAlign w:val="center"/>
          </w:tcPr>
          <w:p>
            <w:pPr>
              <w:spacing w:after="0"/>
              <w:jc w:val="left"/>
            </w:pPr>
            <w:r>
              <w:rPr>
                <w:rFonts w:ascii="Arial" w:hAnsi="Arial" w:eastAsia="Arial"/>
                <w:b/>
                <w:i w:val="0"/>
                <w:sz w:val="17"/>
                <w:u w:val="none"/>
              </w:rPr>
              <w:t>Desain cadangan ATEX</w:t>
            </w:r>
          </w:p>
        </w:tc>
        <w:tc>
          <w:tcPr>
            <w:tcW w:type="dxa" w:w="3402"/>
            <w:vAlign w:val="center"/>
          </w:tcPr>
          <w:p>
            <w:pPr>
              <w:spacing w:after="0"/>
              <w:jc w:val="left"/>
            </w:pPr>
            <w:r>
              <w:rPr>
                <w:rFonts w:ascii="Arial" w:hAnsi="Arial" w:eastAsia="Arial"/>
                <w:b w:val="0"/>
                <w:i w:val="0"/>
                <w:sz w:val="17"/>
                <w:u w:val="none"/>
              </w:rPr>
              <w:t>Kotak sensor dengan kipas DC, cakram mesh stainless steel, tutup dengan kaca transparan, lug pemasangan dinding, dan boss cable entry; set 7 lembar gambar termasuk exploded view.</w:t>
            </w:r>
          </w:p>
        </w:tc>
        <w:tc>
          <w:tcPr>
            <w:tcW w:type="dxa" w:w="3458"/>
            <w:vAlign w:val="center"/>
          </w:tcPr>
          <w:p>
            <w:pPr>
              <w:spacing w:after="0"/>
              <w:jc w:val="left"/>
            </w:pPr>
            <w:r>
              <w:rPr>
                <w:rFonts w:ascii="Arial" w:hAnsi="Arial" w:eastAsia="Arial"/>
                <w:b w:val="0"/>
                <w:i w:val="0"/>
                <w:sz w:val="17"/>
                <w:u w:val="none"/>
              </w:rPr>
              <w:t>Disiapkan sebagai alternatif bila desain utama tidak lolos uji Ex d; mesh stainless steel pada jalur masuk gas dirancang sebagai penahan api (flame arrestor).</w:t>
            </w:r>
          </w:p>
        </w:tc>
      </w:tr>
      <w:tr>
        <w:tc>
          <w:tcPr>
            <w:tcW w:type="dxa" w:w="1304"/>
            <w:vAlign w:val="center"/>
          </w:tcPr>
          <w:p>
            <w:pPr>
              <w:spacing w:after="0"/>
              <w:jc w:val="center"/>
            </w:pPr>
            <w:r>
              <w:rPr>
                <w:rFonts w:ascii="Arial" w:hAnsi="Arial" w:eastAsia="Arial"/>
                <w:b/>
                <w:i w:val="0"/>
                <w:sz w:val="17"/>
                <w:u w:val="none"/>
              </w:rPr>
              <w:t>Tahap 4</w:t>
            </w:r>
            <w:r>
              <w:br/>
            </w:r>
            <w:r>
              <w:rPr>
                <w:rFonts w:ascii="Arial" w:hAnsi="Arial" w:eastAsia="Arial"/>
                <w:b/>
                <w:i w:val="0"/>
                <w:sz w:val="17"/>
                <w:u w:val="none"/>
              </w:rPr>
              <w:t>Unit sampel</w:t>
            </w:r>
            <w:r>
              <w:br/>
            </w:r>
            <w:r>
              <w:rPr>
                <w:rFonts w:ascii="Arial" w:hAnsi="Arial" w:eastAsia="Arial"/>
                <w:b/>
                <w:i w:val="0"/>
                <w:sz w:val="17"/>
                <w:u w:val="none"/>
              </w:rPr>
              <w:t>(Okt 2026)</w:t>
            </w:r>
          </w:p>
        </w:tc>
        <w:tc>
          <w:tcPr>
            <w:tcW w:type="dxa" w:w="1361"/>
            <w:vAlign w:val="center"/>
          </w:tcPr>
          <w:p>
            <w:pPr>
              <w:spacing w:after="0"/>
              <w:jc w:val="left"/>
            </w:pPr>
            <w:r>
              <w:rPr>
                <w:rFonts w:ascii="Arial" w:hAnsi="Arial" w:eastAsia="Arial"/>
                <w:b/>
                <w:i w:val="0"/>
                <w:sz w:val="17"/>
                <w:u w:val="none"/>
              </w:rPr>
              <w:t>Konfigurasi sertifikasi</w:t>
            </w:r>
          </w:p>
        </w:tc>
        <w:tc>
          <w:tcPr>
            <w:tcW w:type="dxa" w:w="3402"/>
            <w:vAlign w:val="center"/>
          </w:tcPr>
          <w:p>
            <w:pPr>
              <w:spacing w:after="0"/>
              <w:jc w:val="left"/>
            </w:pPr>
            <w:r>
              <w:rPr>
                <w:rFonts w:ascii="Arial" w:hAnsi="Arial" w:eastAsia="Arial"/>
                <w:b w:val="0"/>
                <w:i w:val="0"/>
                <w:sz w:val="17"/>
                <w:u w:val="none"/>
              </w:rPr>
              <w:t>Base die-cast aluminium ADC12 (dengan mitra casing PT Galaksi Megatama Indonesia); tutup berulir dengan mesh stainless steel di muka depan; O-ring karet pada sambungan tutup; antena dipindah ke muka atas base melalui bulkhead SMA; blanking plug pada entry yang tidak dipakai; sekrup grounding eksternal; entry kabel M20×1,5; posisi nameplate ditetapkan.</w:t>
            </w:r>
          </w:p>
        </w:tc>
        <w:tc>
          <w:tcPr>
            <w:tcW w:type="dxa" w:w="3458"/>
            <w:vAlign w:val="center"/>
          </w:tcPr>
          <w:p>
            <w:pPr>
              <w:spacing w:after="0"/>
              <w:jc w:val="left"/>
            </w:pPr>
            <w:r>
              <w:rPr>
                <w:rFonts w:ascii="Arial" w:hAnsi="Arial" w:eastAsia="Arial"/>
                <w:b w:val="0"/>
                <w:i w:val="0"/>
                <w:sz w:val="17"/>
                <w:u w:val="none"/>
              </w:rPr>
              <w:t>Satu enclosure logam die-cast untuk konsep Ex d. Panjang ulir leher terukur ±14,8 mm, di atas batas minimum 8 mm IEC 60079-1 untuk volume &gt;100 cm³. O-ring mendukung target IP66; entry tak terpakai ditutup; grounding eksternal tersedia. Unit ini diuji termal 30 Sep 2026 dan diukur dimensinya 7 Okt 2026.</w:t>
            </w:r>
          </w:p>
        </w:tc>
      </w:tr>
    </w:tbl>
    <w:tbl>
      <w:tblPr>
        <w:tblW w:type="auto" w:w="0"/>
        <w:jc w:val="center"/>
        <w:tblLook w:firstColumn="1" w:firstRow="1" w:lastColumn="0" w:lastRow="0" w:noHBand="0" w:noVBand="1" w:val="04A0"/>
        <w:tblLayout w:type="fixed"/>
      </w:tblPr>
      <w:tblGrid>
        <w:gridCol w:w="2381"/>
        <w:gridCol w:w="2381"/>
        <w:gridCol w:w="2381"/>
        <w:gridCol w:w="2381"/>
      </w:tblGrid>
      <w:tr>
        <w:tc>
          <w:tcPr>
            <w:tcW w:type="dxa" w:w="2381"/>
          </w:tcPr>
          <w:p>
            <w:pPr>
              <w:jc w:val="center"/>
            </w:pPr>
            <w:r>
              <w:drawing>
                <wp:inline xmlns:a="http://schemas.openxmlformats.org/drawingml/2006/main" xmlns:pic="http://schemas.openxmlformats.org/drawingml/2006/picture">
                  <wp:extent cx="870171" cy="14400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870171" cy="1440000"/>
                          </a:xfrm>
                          <a:prstGeom prst="rect"/>
                        </pic:spPr>
                      </pic:pic>
                    </a:graphicData>
                  </a:graphic>
                </wp:inline>
              </w:drawing>
            </w:r>
          </w:p>
        </w:tc>
        <w:tc>
          <w:tcPr>
            <w:tcW w:type="dxa" w:w="2381"/>
          </w:tcPr>
          <w:p>
            <w:pPr>
              <w:jc w:val="center"/>
            </w:pPr>
            <w:r>
              <w:drawing>
                <wp:inline xmlns:a="http://schemas.openxmlformats.org/drawingml/2006/main" xmlns:pic="http://schemas.openxmlformats.org/drawingml/2006/picture">
                  <wp:extent cx="1219651" cy="14400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219651" cy="1440000"/>
                          </a:xfrm>
                          <a:prstGeom prst="rect"/>
                        </pic:spPr>
                      </pic:pic>
                    </a:graphicData>
                  </a:graphic>
                </wp:inline>
              </w:drawing>
            </w:r>
          </w:p>
        </w:tc>
        <w:tc>
          <w:tcPr>
            <w:tcW w:type="dxa" w:w="2381"/>
          </w:tcPr>
          <w:p>
            <w:pPr>
              <w:jc w:val="center"/>
            </w:pPr>
            <w:r>
              <w:drawing>
                <wp:inline xmlns:a="http://schemas.openxmlformats.org/drawingml/2006/main" xmlns:pic="http://schemas.openxmlformats.org/drawingml/2006/picture">
                  <wp:extent cx="2423077" cy="14400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423077" cy="1440000"/>
                          </a:xfrm>
                          <a:prstGeom prst="rect"/>
                        </pic:spPr>
                      </pic:pic>
                    </a:graphicData>
                  </a:graphic>
                </wp:inline>
              </w:drawing>
            </w:r>
          </w:p>
        </w:tc>
        <w:tc>
          <w:tcPr>
            <w:tcW w:type="dxa" w:w="2381"/>
          </w:tcPr>
          <w:p>
            <w:pPr>
              <w:jc w:val="center"/>
            </w:pPr>
            <w:r>
              <w:drawing>
                <wp:inline xmlns:a="http://schemas.openxmlformats.org/drawingml/2006/main" xmlns:pic="http://schemas.openxmlformats.org/drawingml/2006/picture">
                  <wp:extent cx="1945946" cy="14400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945946" cy="1440000"/>
                          </a:xfrm>
                          <a:prstGeom prst="rect"/>
                        </pic:spPr>
                      </pic:pic>
                    </a:graphicData>
                  </a:graphic>
                </wp:inline>
              </w:drawing>
            </w:r>
          </w:p>
        </w:tc>
      </w:tr>
      <w:tr>
        <w:tc>
          <w:tcPr>
            <w:tcW w:type="dxa" w:w="2381"/>
            <w:vAlign w:val="center"/>
          </w:tcPr>
          <w:p>
            <w:pPr>
              <w:spacing w:after="0"/>
              <w:jc w:val="center"/>
            </w:pPr>
            <w:r>
              <w:rPr>
                <w:rFonts w:ascii="Arial" w:hAnsi="Arial" w:eastAsia="Arial"/>
                <w:b w:val="0"/>
                <w:i w:val="0"/>
                <w:sz w:val="16"/>
                <w:u w:val="none"/>
              </w:rPr>
              <w:t>Tahap 1 — prototipe awal</w:t>
            </w:r>
          </w:p>
        </w:tc>
        <w:tc>
          <w:tcPr>
            <w:tcW w:type="dxa" w:w="2381"/>
            <w:vAlign w:val="center"/>
          </w:tcPr>
          <w:p>
            <w:pPr>
              <w:spacing w:after="0"/>
              <w:jc w:val="center"/>
            </w:pPr>
            <w:r>
              <w:rPr>
                <w:rFonts w:ascii="Arial" w:hAnsi="Arial" w:eastAsia="Arial"/>
                <w:b w:val="0"/>
                <w:i w:val="0"/>
                <w:sz w:val="16"/>
                <w:u w:val="none"/>
              </w:rPr>
              <w:t>Tahap 2 — ATEX Casing v2</w:t>
            </w:r>
          </w:p>
        </w:tc>
        <w:tc>
          <w:tcPr>
            <w:tcW w:type="dxa" w:w="2381"/>
            <w:vAlign w:val="center"/>
          </w:tcPr>
          <w:p>
            <w:pPr>
              <w:spacing w:after="0"/>
              <w:jc w:val="center"/>
            </w:pPr>
            <w:r>
              <w:rPr>
                <w:rFonts w:ascii="Arial" w:hAnsi="Arial" w:eastAsia="Arial"/>
                <w:b w:val="0"/>
                <w:i w:val="0"/>
                <w:sz w:val="16"/>
                <w:u w:val="none"/>
              </w:rPr>
              <w:t>Tahap 3 — GLD ATEX Case v3</w:t>
            </w:r>
          </w:p>
        </w:tc>
        <w:tc>
          <w:tcPr>
            <w:tcW w:type="dxa" w:w="2381"/>
            <w:vAlign w:val="center"/>
          </w:tcPr>
          <w:p>
            <w:pPr>
              <w:spacing w:after="0"/>
              <w:jc w:val="center"/>
            </w:pPr>
            <w:r>
              <w:rPr>
                <w:rFonts w:ascii="Arial" w:hAnsi="Arial" w:eastAsia="Arial"/>
                <w:b w:val="0"/>
                <w:i w:val="0"/>
                <w:sz w:val="16"/>
                <w:u w:val="none"/>
              </w:rPr>
              <w:t>Tahap 4 — unit sampel</w:t>
            </w:r>
          </w:p>
        </w:tc>
      </w:tr>
    </w:tbl>
    <w:p>
      <w:pPr>
        <w:spacing w:after="120" w:before="80" w:line="276" w:lineRule="auto"/>
        <w:jc w:val="center"/>
      </w:pPr>
      <w:r>
        <w:rPr>
          <w:rFonts w:ascii="Arial" w:hAnsi="Arial" w:eastAsia="Arial"/>
          <w:b w:val="0"/>
          <w:i/>
          <w:sz w:val="17"/>
          <w:u w:val="none"/>
        </w:rPr>
        <w:t>Gambar 2. Perkembangan casing GLD dari prototipe awal hingga unit sampel sertifikasi</w:t>
      </w:r>
    </w:p>
    <w:p>
      <w:pPr>
        <w:spacing w:after="120" w:before="80" w:line="276" w:lineRule="auto"/>
        <w:jc w:val="both"/>
      </w:pPr>
      <w:r>
        <w:rPr>
          <w:rFonts w:ascii="Arial" w:hAnsi="Arial" w:eastAsia="Arial"/>
          <w:b w:val="0"/>
          <w:i w:val="0"/>
          <w:sz w:val="18"/>
          <w:u w:val="none"/>
        </w:rPr>
        <w:t>Catatan. Perbaikan di atas adalah langkah desain menuju sertifikasi, bukan bukti kelulusan. Penilaian kesesuaian tetap dilakukan oleh laboratorium/badan sertifikasi. Butir yang masih ditindaklanjuti: penggantian cable gland prototipe dengan gland Ex d bersertifikat, verifikasi mesh depan sebagai penahan api, uji IP66, kelengkapan titik ukur termal komponen daya, rating fuse PTC pada jalur 24 V, proteksi polaritas terbalik, dan keputusan jalur baterai (terminal BAT).</w:t>
      </w:r>
    </w:p>
    <w:p>
      <w:pPr>
        <w:keepNext/>
        <w:pageBreakBefore/>
        <w:spacing w:after="120" w:before="200" w:line="276" w:lineRule="auto"/>
        <w:jc w:val="left"/>
      </w:pPr>
      <w:r>
        <w:rPr>
          <w:rFonts w:ascii="Arial" w:hAnsi="Arial" w:eastAsia="Arial"/>
          <w:b/>
          <w:i w:val="0"/>
          <w:sz w:val="24"/>
          <w:u w:val="none"/>
        </w:rPr>
        <w:t>4. Pernyataan</w:t>
      </w:r>
    </w:p>
    <w:p>
      <w:pPr>
        <w:spacing w:after="120" w:before="0" w:line="276" w:lineRule="auto"/>
        <w:jc w:val="both"/>
      </w:pPr>
      <w:r>
        <w:rPr>
          <w:rFonts w:ascii="Arial" w:hAnsi="Arial" w:eastAsia="Arial"/>
          <w:b w:val="0"/>
          <w:i w:val="0"/>
          <w:sz w:val="20"/>
          <w:u w:val="none"/>
        </w:rPr>
        <w:t>Berdasarkan uraian dan lampiran di atas, PT LAPI Ganesha Utama menyatakan bahwa ketentuan Termin 1 pada Surat Pesanan SP-001/KPI43400/2026-S0 (Sertifikasi) — tersedianya prototipe GLD yang telah diuji dan diperbaiki desainnya, disertai foto perangkat dan foto kunjungan ke ITB — telah dipenuhi, dan mengajukan dokumen ini kepada PT Pertamina Patra Niaga untuk diperiksa dan disetujui sebagai dasar proses pembayaran Termin 1.</w:t>
      </w:r>
    </w:p>
    <w:p>
      <w:pPr>
        <w:keepNext/>
        <w:spacing w:after="120" w:before="200" w:line="276" w:lineRule="auto"/>
        <w:jc w:val="left"/>
      </w:pPr>
      <w:r>
        <w:rPr>
          <w:rFonts w:ascii="Arial" w:hAnsi="Arial" w:eastAsia="Arial"/>
          <w:b/>
          <w:i w:val="0"/>
          <w:sz w:val="24"/>
          <w:u w:val="none"/>
        </w:rPr>
        <w:t>5. Lembar Pengesahan</w:t>
      </w:r>
    </w:p>
    <w:p>
      <w:pPr>
        <w:spacing w:after="160" w:before="0" w:line="276" w:lineRule="auto"/>
        <w:jc w:val="left"/>
      </w:pPr>
      <w:r>
        <w:rPr>
          <w:rFonts w:ascii="Arial" w:hAnsi="Arial" w:eastAsia="Arial"/>
          <w:b w:val="0"/>
          <w:i w:val="0"/>
          <w:sz w:val="20"/>
          <w:u w:val="none"/>
        </w:rPr>
        <w:t>Bandung, ........ Oktober 2026</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Layout w:type="fixed"/>
      </w:tblPr>
      <w:tblGrid>
        <w:gridCol w:w="4762"/>
        <w:gridCol w:w="4762"/>
      </w:tblGrid>
      <w:tr>
        <w:tc>
          <w:tcPr>
            <w:tcW w:type="dxa" w:w="4762"/>
            <w:vAlign w:val="center"/>
            <w:shd w:val="clear" w:color="auto" w:fill="EDEDED"/>
          </w:tcPr>
          <w:p>
            <w:pPr>
              <w:spacing w:after="0"/>
              <w:jc w:val="center"/>
            </w:pPr>
            <w:r>
              <w:rPr>
                <w:rFonts w:ascii="Arial" w:hAnsi="Arial" w:eastAsia="Arial"/>
                <w:b/>
                <w:i w:val="0"/>
                <w:sz w:val="19"/>
                <w:u w:val="none"/>
              </w:rPr>
              <w:t>Diajukan oleh,</w:t>
            </w:r>
            <w:r>
              <w:br/>
            </w:r>
            <w:r>
              <w:rPr>
                <w:rFonts w:ascii="Arial" w:hAnsi="Arial" w:eastAsia="Arial"/>
                <w:b/>
                <w:i w:val="0"/>
                <w:sz w:val="19"/>
                <w:u w:val="none"/>
              </w:rPr>
              <w:t>PT LAPI Ganesha Utama</w:t>
            </w:r>
          </w:p>
        </w:tc>
        <w:tc>
          <w:tcPr>
            <w:tcW w:type="dxa" w:w="4762"/>
            <w:vAlign w:val="center"/>
            <w:shd w:val="clear" w:color="auto" w:fill="EDEDED"/>
          </w:tcPr>
          <w:p>
            <w:pPr>
              <w:spacing w:after="0"/>
              <w:jc w:val="center"/>
            </w:pPr>
            <w:r>
              <w:rPr>
                <w:rFonts w:ascii="Arial" w:hAnsi="Arial" w:eastAsia="Arial"/>
                <w:b/>
                <w:i w:val="0"/>
                <w:sz w:val="19"/>
                <w:u w:val="none"/>
              </w:rPr>
              <w:t>Diperiksa dan disetujui oleh,</w:t>
            </w:r>
            <w:r>
              <w:br/>
            </w:r>
            <w:r>
              <w:rPr>
                <w:rFonts w:ascii="Arial" w:hAnsi="Arial" w:eastAsia="Arial"/>
                <w:b/>
                <w:i w:val="0"/>
                <w:sz w:val="19"/>
                <w:u w:val="none"/>
              </w:rPr>
              <w:t>PT Pertamina Patra Niaga</w:t>
            </w:r>
          </w:p>
        </w:tc>
      </w:tr>
      <w:tr>
        <w:tc>
          <w:tcPr>
            <w:tcW w:type="dxa" w:w="4762"/>
          </w:tcPr>
          <w:p/>
          <w:tbl>
            <w:tblPr>
              <w:tblW w:type="auto" w:w="0"/>
              <w:tblLook w:firstColumn="1" w:firstRow="1" w:lastColumn="0" w:lastRow="0" w:noHBand="0" w:noVBand="1" w:val="04A0"/>
              <w:tblLayout w:type="fixed"/>
            </w:tblPr>
            <w:tblGrid>
              <w:gridCol w:w="2211"/>
              <w:gridCol w:w="2211"/>
            </w:tblGrid>
            <w:tr>
              <w:tc>
                <w:tcPr>
                  <w:tcW w:type="dxa" w:w="2211"/>
                  <w:vAlign w:val="center"/>
                </w:tcPr>
                <w:p>
                  <w:pPr>
                    <w:spacing w:after="0"/>
                    <w:jc w:val="center"/>
                  </w:pPr>
                  <w:r>
                    <w:rPr>
                      <w:rFonts w:ascii="Arial" w:hAnsi="Arial" w:eastAsia="Arial"/>
                      <w:b w:val="0"/>
                      <w:i w:val="0"/>
                      <w:sz w:val="18"/>
                      <w:u w:val="none"/>
                    </w:rPr>
                    <w:t>Team Leader,</w:t>
                  </w:r>
                </w:p>
              </w:tc>
              <w:tc>
                <w:tcPr>
                  <w:tcW w:type="dxa" w:w="2211"/>
                  <w:vAlign w:val="center"/>
                </w:tcPr>
                <w:p>
                  <w:pPr>
                    <w:spacing w:after="0"/>
                    <w:jc w:val="center"/>
                  </w:pPr>
                  <w:r>
                    <w:rPr>
                      <w:rFonts w:ascii="Arial" w:hAnsi="Arial" w:eastAsia="Arial"/>
                      <w:b w:val="0"/>
                      <w:i w:val="0"/>
                      <w:sz w:val="18"/>
                      <w:u w:val="none"/>
                    </w:rPr>
                    <w:t>Direktur Utama,</w:t>
                  </w:r>
                </w:p>
              </w:tc>
            </w:tr>
            <w:tr>
              <w:trPr>
                <w:trHeight w:val="1361"/>
              </w:trPr>
              <w:tc>
                <w:tcPr>
                  <w:tcW w:type="dxa" w:w="2211"/>
                </w:tcPr>
                <w:p/>
              </w:tc>
              <w:tc>
                <w:tcPr>
                  <w:tcW w:type="dxa" w:w="2211"/>
                </w:tcPr>
                <w:p/>
              </w:tc>
            </w:tr>
            <w:tr>
              <w:tc>
                <w:tcPr>
                  <w:tcW w:type="dxa" w:w="2211"/>
                </w:tcPr>
                <w:p>
                  <w:pPr>
                    <w:jc w:val="center"/>
                  </w:pPr>
                  <w:r>
                    <w:rPr>
                      <w:rFonts w:ascii="Arial" w:hAnsi="Arial" w:eastAsia="Arial"/>
                      <w:b/>
                      <w:i w:val="0"/>
                      <w:sz w:val="18"/>
                      <w:u w:val="single"/>
                    </w:rPr>
                    <w:t>Dr. Maman Budiman</w:t>
                  </w:r>
                </w:p>
              </w:tc>
              <w:tc>
                <w:tcPr>
                  <w:tcW w:type="dxa" w:w="2211"/>
                </w:tcPr>
                <w:p>
                  <w:pPr>
                    <w:jc w:val="center"/>
                  </w:pPr>
                  <w:r>
                    <w:rPr>
                      <w:rFonts w:ascii="Arial" w:hAnsi="Arial" w:eastAsia="Arial"/>
                      <w:b/>
                      <w:i w:val="0"/>
                      <w:sz w:val="18"/>
                      <w:u w:val="single"/>
                    </w:rPr>
                    <w:t>Ir. Harry Fardiman</w:t>
                  </w:r>
                </w:p>
              </w:tc>
            </w:tr>
          </w:tbl>
          <w:p/>
        </w:tc>
        <w:tc>
          <w:tcPr>
            <w:tcW w:type="dxa" w:w="4762"/>
          </w:tcPr>
          <w:p/>
          <w:tbl>
            <w:tblPr>
              <w:tblW w:type="auto" w:w="0"/>
              <w:tblLook w:firstColumn="1" w:firstRow="1" w:lastColumn="0" w:lastRow="0" w:noHBand="0" w:noVBand="1" w:val="04A0"/>
              <w:tblLayout w:type="fixed"/>
            </w:tblPr>
            <w:tblGrid>
              <w:gridCol w:w="4422"/>
            </w:tblGrid>
            <w:tr>
              <w:tc>
                <w:tcPr>
                  <w:tcW w:type="dxa" w:w="4422"/>
                  <w:vAlign w:val="center"/>
                </w:tcPr>
                <w:p>
                  <w:pPr>
                    <w:spacing w:after="0"/>
                    <w:jc w:val="center"/>
                  </w:pPr>
                  <w:r>
                    <w:rPr>
                      <w:rFonts w:ascii="Arial" w:hAnsi="Arial" w:eastAsia="Arial"/>
                      <w:b w:val="0"/>
                      <w:i w:val="0"/>
                      <w:sz w:val="18"/>
                      <w:u w:val="none"/>
                    </w:rPr>
                    <w:t>Manager Domestic Product Content &amp; Digitalization,</w:t>
                  </w:r>
                </w:p>
              </w:tc>
            </w:tr>
            <w:tr>
              <w:trPr>
                <w:trHeight w:val="1361"/>
              </w:trPr>
              <w:tc>
                <w:tcPr>
                  <w:tcW w:type="dxa" w:w="4422"/>
                </w:tcPr>
                <w:p/>
              </w:tc>
            </w:tr>
            <w:tr>
              <w:tc>
                <w:tcPr>
                  <w:tcW w:type="dxa" w:w="4422"/>
                </w:tcPr>
                <w:p>
                  <w:pPr>
                    <w:jc w:val="center"/>
                  </w:pPr>
                  <w:r>
                    <w:rPr>
                      <w:rFonts w:ascii="Arial" w:hAnsi="Arial" w:eastAsia="Arial"/>
                      <w:b/>
                      <w:i w:val="0"/>
                      <w:sz w:val="18"/>
                      <w:u w:val="single"/>
                    </w:rPr>
                    <w:t>Agustinus Pindoan Panjaitan</w:t>
                  </w:r>
                </w:p>
              </w:tc>
            </w:tr>
          </w:tbl>
          <w:p/>
        </w:tc>
      </w:tr>
    </w:tbl>
    <w:p>
      <w:pPr>
        <w:spacing w:after="40" w:before="200" w:line="276" w:lineRule="auto"/>
        <w:jc w:val="left"/>
      </w:pPr>
      <w:r>
        <w:rPr>
          <w:rFonts w:ascii="Arial" w:hAnsi="Arial" w:eastAsia="Arial"/>
          <w:b/>
          <w:i w:val="0"/>
          <w:sz w:val="18"/>
          <w:u w:val="none"/>
        </w:rPr>
        <w:t>Catatan pemeriksaan PT Pertamina Patra Niaga:</w:t>
      </w:r>
    </w:p>
    <w:p>
      <w:pPr>
        <w:spacing w:after="40" w:before="0" w:line="276" w:lineRule="auto"/>
        <w:jc w:val="left"/>
      </w:pPr>
      <w:r>
        <w:rPr>
          <w:rFonts w:ascii="Arial" w:hAnsi="Arial" w:eastAsia="Arial"/>
          <w:b w:val="0"/>
          <w:i w:val="0"/>
          <w:sz w:val="16"/>
          <w:u w:val="none"/>
        </w:rPr>
        <w:t>......................................................................................................................................................</w:t>
      </w:r>
    </w:p>
    <w:p>
      <w:pPr>
        <w:spacing w:after="40" w:before="0" w:line="276" w:lineRule="auto"/>
        <w:jc w:val="left"/>
      </w:pPr>
      <w:r>
        <w:rPr>
          <w:rFonts w:ascii="Arial" w:hAnsi="Arial" w:eastAsia="Arial"/>
          <w:b w:val="0"/>
          <w:i w:val="0"/>
          <w:sz w:val="16"/>
          <w:u w:val="none"/>
        </w:rPr>
        <w:t>......................................................................................................................................................</w:t>
      </w:r>
    </w:p>
    <w:p>
      <w:pPr>
        <w:spacing w:after="40" w:before="0" w:line="276" w:lineRule="auto"/>
        <w:jc w:val="left"/>
      </w:pPr>
      <w:r>
        <w:rPr>
          <w:rFonts w:ascii="Arial" w:hAnsi="Arial" w:eastAsia="Arial"/>
          <w:b w:val="0"/>
          <w:i w:val="0"/>
          <w:sz w:val="16"/>
          <w:u w:val="none"/>
        </w:rPr>
        <w:t>......................................................................................................................................................</w:t>
      </w:r>
    </w:p>
    <w:p>
      <w:r>
        <w:br w:type="page"/>
      </w:r>
    </w:p>
    <w:p>
      <w:pPr>
        <w:spacing w:after="40" w:before="0" w:line="276" w:lineRule="auto"/>
        <w:jc w:val="center"/>
      </w:pPr>
      <w:r>
        <w:rPr>
          <w:rFonts w:ascii="Arial" w:hAnsi="Arial" w:eastAsia="Arial"/>
          <w:b/>
          <w:i w:val="0"/>
          <w:sz w:val="24"/>
          <w:u w:val="none"/>
        </w:rPr>
        <w:t>LAMPIRAN 1 — FOTO PERANGKAT PROTOTIPE GLD</w:t>
      </w:r>
    </w:p>
    <w:p>
      <w:pPr>
        <w:spacing w:after="160" w:before="0" w:line="276" w:lineRule="auto"/>
        <w:jc w:val="center"/>
      </w:pPr>
      <w:r>
        <w:rPr>
          <w:rFonts w:ascii="Arial" w:hAnsi="Arial" w:eastAsia="Arial"/>
          <w:b w:val="0"/>
          <w:i w:val="0"/>
          <w:sz w:val="18"/>
          <w:u w:val="none"/>
        </w:rPr>
        <w:t>Gas Leak Detector GLD V2 · S/N GLD2-0x1001 · Lab IoT ITB, Oktober 2026</w:t>
      </w:r>
    </w:p>
    <w:tbl>
      <w:tblPr>
        <w:tblW w:type="auto" w:w="0"/>
        <w:jc w:val="center"/>
        <w:tblLook w:firstColumn="1" w:firstRow="1" w:lastColumn="0" w:lastRow="0" w:noHBand="0" w:noVBand="1" w:val="04A0"/>
        <w:tblLayout w:type="fixed"/>
      </w:tblPr>
      <w:tblGrid>
        <w:gridCol w:w="4649"/>
        <w:gridCol w:w="4649"/>
      </w:tblGrid>
      <w:tr>
        <w:tc>
          <w:tcPr>
            <w:tcW w:type="dxa" w:w="4649"/>
          </w:tcPr>
          <w:p>
            <w:pPr>
              <w:jc w:val="center"/>
            </w:pPr>
            <w:r>
              <w:drawing>
                <wp:inline xmlns:a="http://schemas.openxmlformats.org/drawingml/2006/main" xmlns:pic="http://schemas.openxmlformats.org/drawingml/2006/picture">
                  <wp:extent cx="2149254" cy="15840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149254" cy="1584000"/>
                          </a:xfrm>
                          <a:prstGeom prst="rect"/>
                        </pic:spPr>
                      </pic:pic>
                    </a:graphicData>
                  </a:graphic>
                </wp:inline>
              </w:drawing>
            </w:r>
          </w:p>
          <w:p>
            <w:pPr>
              <w:spacing w:after="160"/>
              <w:jc w:val="center"/>
            </w:pPr>
            <w:r>
              <w:rPr>
                <w:rFonts w:ascii="Arial" w:hAnsi="Arial" w:eastAsia="Arial"/>
                <w:b w:val="0"/>
                <w:i/>
                <w:sz w:val="17"/>
                <w:u w:val="none"/>
              </w:rPr>
              <w:t>Foto 1 — Tampak depan, tertutup (tutup ber-mesh stainless steel)</w:t>
            </w:r>
          </w:p>
        </w:tc>
        <w:tc>
          <w:tcPr>
            <w:tcW w:type="dxa" w:w="4649"/>
          </w:tcPr>
          <w:p>
            <w:pPr>
              <w:jc w:val="center"/>
            </w:pPr>
            <w:r>
              <w:drawing>
                <wp:inline xmlns:a="http://schemas.openxmlformats.org/drawingml/2006/main" xmlns:pic="http://schemas.openxmlformats.org/drawingml/2006/picture">
                  <wp:extent cx="2140541" cy="1584000"/>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140541" cy="1584000"/>
                          </a:xfrm>
                          <a:prstGeom prst="rect"/>
                        </pic:spPr>
                      </pic:pic>
                    </a:graphicData>
                  </a:graphic>
                </wp:inline>
              </w:drawing>
            </w:r>
          </w:p>
          <w:p>
            <w:pPr>
              <w:spacing w:after="160"/>
              <w:jc w:val="center"/>
            </w:pPr>
            <w:r>
              <w:rPr>
                <w:rFonts w:ascii="Arial" w:hAnsi="Arial" w:eastAsia="Arial"/>
                <w:b w:val="0"/>
                <w:i/>
                <w:sz w:val="17"/>
                <w:u w:val="none"/>
              </w:rPr>
              <w:t>Foto 2 — Tampak belakang, antena LoRa di muka atas base</w:t>
            </w:r>
          </w:p>
        </w:tc>
      </w:tr>
      <w:tr>
        <w:tc>
          <w:tcPr>
            <w:tcW w:type="dxa" w:w="4649"/>
          </w:tcPr>
          <w:p>
            <w:pPr>
              <w:jc w:val="center"/>
            </w:pPr>
            <w:r>
              <w:drawing>
                <wp:inline xmlns:a="http://schemas.openxmlformats.org/drawingml/2006/main" xmlns:pic="http://schemas.openxmlformats.org/drawingml/2006/picture">
                  <wp:extent cx="2322581" cy="158400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322581" cy="1584000"/>
                          </a:xfrm>
                          <a:prstGeom prst="rect"/>
                        </pic:spPr>
                      </pic:pic>
                    </a:graphicData>
                  </a:graphic>
                </wp:inline>
              </w:drawing>
            </w:r>
          </w:p>
          <w:p>
            <w:pPr>
              <w:spacing w:after="160"/>
              <w:jc w:val="center"/>
            </w:pPr>
            <w:r>
              <w:rPr>
                <w:rFonts w:ascii="Arial" w:hAnsi="Arial" w:eastAsia="Arial"/>
                <w:b w:val="0"/>
                <w:i/>
                <w:sz w:val="17"/>
                <w:u w:val="none"/>
              </w:rPr>
              <w:t>Foto 3 — Tampak samping, cable entry</w:t>
            </w:r>
          </w:p>
        </w:tc>
        <w:tc>
          <w:tcPr>
            <w:tcW w:type="dxa" w:w="4649"/>
          </w:tcPr>
          <w:p>
            <w:pPr>
              <w:jc w:val="center"/>
            </w:pPr>
            <w:r>
              <w:drawing>
                <wp:inline xmlns:a="http://schemas.openxmlformats.org/drawingml/2006/main" xmlns:pic="http://schemas.openxmlformats.org/drawingml/2006/picture">
                  <wp:extent cx="1679745" cy="158400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679745" cy="1584000"/>
                          </a:xfrm>
                          <a:prstGeom prst="rect"/>
                        </pic:spPr>
                      </pic:pic>
                    </a:graphicData>
                  </a:graphic>
                </wp:inline>
              </w:drawing>
            </w:r>
          </w:p>
          <w:p>
            <w:pPr>
              <w:spacing w:after="160"/>
              <w:jc w:val="center"/>
            </w:pPr>
            <w:r>
              <w:rPr>
                <w:rFonts w:ascii="Arial" w:hAnsi="Arial" w:eastAsia="Arial"/>
                <w:b w:val="0"/>
                <w:i/>
                <w:sz w:val="17"/>
                <w:u w:val="none"/>
              </w:rPr>
              <w:t>Foto 4 — Bagian dalam: 8 sensor gas pada sensor board</w:t>
            </w:r>
          </w:p>
        </w:tc>
      </w:tr>
      <w:tr>
        <w:tc>
          <w:tcPr>
            <w:tcW w:type="dxa" w:w="4649"/>
          </w:tcPr>
          <w:p>
            <w:pPr>
              <w:jc w:val="center"/>
            </w:pPr>
            <w:r>
              <w:drawing>
                <wp:inline xmlns:a="http://schemas.openxmlformats.org/drawingml/2006/main" xmlns:pic="http://schemas.openxmlformats.org/drawingml/2006/picture">
                  <wp:extent cx="1188000" cy="158400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188000" cy="1584000"/>
                          </a:xfrm>
                          <a:prstGeom prst="rect"/>
                        </pic:spPr>
                      </pic:pic>
                    </a:graphicData>
                  </a:graphic>
                </wp:inline>
              </w:drawing>
            </w:r>
          </w:p>
          <w:p>
            <w:pPr>
              <w:spacing w:after="160"/>
              <w:jc w:val="center"/>
            </w:pPr>
            <w:r>
              <w:rPr>
                <w:rFonts w:ascii="Arial" w:hAnsi="Arial" w:eastAsia="Arial"/>
                <w:b w:val="0"/>
                <w:i/>
                <w:sz w:val="17"/>
                <w:u w:val="none"/>
              </w:rPr>
              <w:t>Foto 5 — Motherboard dengan PCB cover terminal (V4) di dalam base</w:t>
            </w:r>
          </w:p>
        </w:tc>
        <w:tc>
          <w:tcPr>
            <w:tcW w:type="dxa" w:w="4649"/>
          </w:tcPr>
          <w:p>
            <w:pPr>
              <w:jc w:val="center"/>
            </w:pPr>
            <w:r>
              <w:drawing>
                <wp:inline xmlns:a="http://schemas.openxmlformats.org/drawingml/2006/main" xmlns:pic="http://schemas.openxmlformats.org/drawingml/2006/picture">
                  <wp:extent cx="1841860" cy="15840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1841860" cy="1584000"/>
                          </a:xfrm>
                          <a:prstGeom prst="rect"/>
                        </pic:spPr>
                      </pic:pic>
                    </a:graphicData>
                  </a:graphic>
                </wp:inline>
              </w:drawing>
            </w:r>
          </w:p>
          <w:p>
            <w:pPr>
              <w:spacing w:after="160"/>
              <w:jc w:val="center"/>
            </w:pPr>
            <w:r>
              <w:rPr>
                <w:rFonts w:ascii="Arial" w:hAnsi="Arial" w:eastAsia="Arial"/>
                <w:b w:val="0"/>
                <w:i/>
                <w:sz w:val="17"/>
                <w:u w:val="none"/>
              </w:rPr>
              <w:t>Foto 6 — Tutup ber-mesh dengan kipas DC dan modul sensor</w:t>
            </w:r>
          </w:p>
        </w:tc>
      </w:tr>
      <w:tr>
        <w:tc>
          <w:tcPr>
            <w:tcW w:type="dxa" w:w="4649"/>
          </w:tcPr>
          <w:p>
            <w:pPr>
              <w:jc w:val="center"/>
            </w:pPr>
            <w:r>
              <w:drawing>
                <wp:inline xmlns:a="http://schemas.openxmlformats.org/drawingml/2006/main" xmlns:pic="http://schemas.openxmlformats.org/drawingml/2006/picture">
                  <wp:extent cx="957189" cy="1584000"/>
                  <wp:docPr id="14" name="Picture 1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957189" cy="1584000"/>
                          </a:xfrm>
                          <a:prstGeom prst="rect"/>
                        </pic:spPr>
                      </pic:pic>
                    </a:graphicData>
                  </a:graphic>
                </wp:inline>
              </w:drawing>
            </w:r>
          </w:p>
          <w:p>
            <w:pPr>
              <w:spacing w:after="160"/>
              <w:jc w:val="center"/>
            </w:pPr>
            <w:r>
              <w:rPr>
                <w:rFonts w:ascii="Arial" w:hAnsi="Arial" w:eastAsia="Arial"/>
                <w:b w:val="0"/>
                <w:i/>
                <w:sz w:val="17"/>
                <w:u w:val="none"/>
              </w:rPr>
              <w:t>Foto 7 — Iterasi sebelumnya (Agustus 2026): antena di sisi samping</w:t>
            </w:r>
          </w:p>
        </w:tc>
        <w:tc>
          <w:tcPr>
            <w:tcW w:type="dxa" w:w="4649"/>
          </w:tcPr>
          <w:p>
            <w:pPr>
              <w:jc w:val="center"/>
            </w:pPr>
            <w:r>
              <w:drawing>
                <wp:inline xmlns:a="http://schemas.openxmlformats.org/drawingml/2006/main" xmlns:pic="http://schemas.openxmlformats.org/drawingml/2006/picture">
                  <wp:extent cx="1188000" cy="1584000"/>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1188000" cy="1584000"/>
                          </a:xfrm>
                          <a:prstGeom prst="rect"/>
                        </pic:spPr>
                      </pic:pic>
                    </a:graphicData>
                  </a:graphic>
                </wp:inline>
              </w:drawing>
            </w:r>
          </w:p>
          <w:p>
            <w:pPr>
              <w:spacing w:after="160"/>
              <w:jc w:val="center"/>
            </w:pPr>
            <w:r>
              <w:rPr>
                <w:rFonts w:ascii="Arial" w:hAnsi="Arial" w:eastAsia="Arial"/>
                <w:b w:val="0"/>
                <w:i/>
                <w:sz w:val="17"/>
                <w:u w:val="none"/>
              </w:rPr>
              <w:t>Foto 8 — Iterasi sebelumnya (Agustus 2026), tampak belakang</w:t>
            </w:r>
          </w:p>
        </w:tc>
      </w:tr>
    </w:tbl>
    <w:p>
      <w:r>
        <w:br w:type="page"/>
      </w:r>
    </w:p>
    <w:p>
      <w:pPr>
        <w:spacing w:after="40" w:before="0" w:line="276" w:lineRule="auto"/>
        <w:jc w:val="center"/>
      </w:pPr>
      <w:r>
        <w:rPr>
          <w:rFonts w:ascii="Arial" w:hAnsi="Arial" w:eastAsia="Arial"/>
          <w:b/>
          <w:i w:val="0"/>
          <w:sz w:val="24"/>
          <w:u w:val="none"/>
        </w:rPr>
        <w:t>LAMPIRAN 2 — FOTO KUNJUNGAN PT PERTAMINA PATRA NIAGA KE ITB</w:t>
      </w:r>
    </w:p>
    <w:p>
      <w:pPr>
        <w:spacing w:after="160" w:before="0" w:line="276" w:lineRule="auto"/>
        <w:jc w:val="center"/>
      </w:pPr>
      <w:r>
        <w:rPr>
          <w:rFonts w:ascii="Arial" w:hAnsi="Arial" w:eastAsia="Arial"/>
          <w:b w:val="0"/>
          <w:i w:val="0"/>
          <w:sz w:val="18"/>
          <w:u w:val="none"/>
        </w:rPr>
        <w:t>Lab IoT, Instrumentation and Computations, Gedung Laboratorium Fisika Terpadu, Institut Teknologi Bandung · 6 Agustus 2026</w:t>
      </w:r>
    </w:p>
    <w:tbl>
      <w:tblPr>
        <w:tblW w:type="auto" w:w="0"/>
        <w:jc w:val="center"/>
        <w:tblLook w:firstColumn="1" w:firstRow="1" w:lastColumn="0" w:lastRow="0" w:noHBand="0" w:noVBand="1" w:val="04A0"/>
        <w:tblLayout w:type="fixed"/>
      </w:tblPr>
      <w:tblGrid>
        <w:gridCol w:w="4649"/>
        <w:gridCol w:w="4649"/>
      </w:tblGrid>
      <w:tr>
        <w:tc>
          <w:tcPr>
            <w:tcW w:type="dxa" w:w="4649"/>
          </w:tcPr>
          <w:p>
            <w:pPr>
              <w:jc w:val="center"/>
            </w:pPr>
            <w:r>
              <w:drawing>
                <wp:inline xmlns:a="http://schemas.openxmlformats.org/drawingml/2006/main" xmlns:pic="http://schemas.openxmlformats.org/drawingml/2006/picture">
                  <wp:extent cx="2112000" cy="1584000"/>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112000" cy="1584000"/>
                          </a:xfrm>
                          <a:prstGeom prst="rect"/>
                        </pic:spPr>
                      </pic:pic>
                    </a:graphicData>
                  </a:graphic>
                </wp:inline>
              </w:drawing>
            </w:r>
          </w:p>
          <w:p>
            <w:pPr>
              <w:spacing w:after="160"/>
              <w:jc w:val="center"/>
            </w:pPr>
            <w:r>
              <w:rPr>
                <w:rFonts w:ascii="Arial" w:hAnsi="Arial" w:eastAsia="Arial"/>
                <w:b w:val="0"/>
                <w:i/>
                <w:sz w:val="17"/>
                <w:u w:val="none"/>
              </w:rPr>
              <w:t>Foto 9 — Rapat pembahasan progres GLD</w:t>
            </w:r>
          </w:p>
        </w:tc>
        <w:tc>
          <w:tcPr>
            <w:tcW w:type="dxa" w:w="4649"/>
          </w:tcPr>
          <w:p>
            <w:pPr>
              <w:jc w:val="center"/>
            </w:pPr>
            <w:r>
              <w:drawing>
                <wp:inline xmlns:a="http://schemas.openxmlformats.org/drawingml/2006/main" xmlns:pic="http://schemas.openxmlformats.org/drawingml/2006/picture">
                  <wp:extent cx="2112000" cy="1584000"/>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112000" cy="1584000"/>
                          </a:xfrm>
                          <a:prstGeom prst="rect"/>
                        </pic:spPr>
                      </pic:pic>
                    </a:graphicData>
                  </a:graphic>
                </wp:inline>
              </w:drawing>
            </w:r>
          </w:p>
          <w:p>
            <w:pPr>
              <w:spacing w:after="160"/>
              <w:jc w:val="center"/>
            </w:pPr>
            <w:r>
              <w:rPr>
                <w:rFonts w:ascii="Arial" w:hAnsi="Arial" w:eastAsia="Arial"/>
                <w:b w:val="0"/>
                <w:i/>
                <w:sz w:val="17"/>
                <w:u w:val="none"/>
              </w:rPr>
              <w:t>Foto 10 — Rapat pembahasan progres GLD</w:t>
            </w:r>
          </w:p>
        </w:tc>
      </w:tr>
      <w:tr>
        <w:tc>
          <w:tcPr>
            <w:tcW w:type="dxa" w:w="4649"/>
          </w:tcPr>
          <w:p>
            <w:pPr>
              <w:jc w:val="center"/>
            </w:pPr>
            <w:r>
              <w:drawing>
                <wp:inline xmlns:a="http://schemas.openxmlformats.org/drawingml/2006/main" xmlns:pic="http://schemas.openxmlformats.org/drawingml/2006/picture">
                  <wp:extent cx="2112000" cy="1584000"/>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112000" cy="1584000"/>
                          </a:xfrm>
                          <a:prstGeom prst="rect"/>
                        </pic:spPr>
                      </pic:pic>
                    </a:graphicData>
                  </a:graphic>
                </wp:inline>
              </w:drawing>
            </w:r>
          </w:p>
          <w:p>
            <w:pPr>
              <w:spacing w:after="160"/>
              <w:jc w:val="center"/>
            </w:pPr>
            <w:r>
              <w:rPr>
                <w:rFonts w:ascii="Arial" w:hAnsi="Arial" w:eastAsia="Arial"/>
                <w:b w:val="0"/>
                <w:i/>
                <w:sz w:val="17"/>
                <w:u w:val="none"/>
              </w:rPr>
              <w:t>Foto 11 — Rapat pembahasan progres GLD</w:t>
            </w:r>
          </w:p>
        </w:tc>
        <w:tc>
          <w:tcPr>
            <w:tcW w:type="dxa" w:w="4649"/>
          </w:tcPr>
          <w:p>
            <w:pPr>
              <w:jc w:val="center"/>
            </w:pPr>
            <w:r>
              <w:drawing>
                <wp:inline xmlns:a="http://schemas.openxmlformats.org/drawingml/2006/main" xmlns:pic="http://schemas.openxmlformats.org/drawingml/2006/picture">
                  <wp:extent cx="2520000" cy="1416600"/>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520000" cy="1416600"/>
                          </a:xfrm>
                          <a:prstGeom prst="rect"/>
                        </pic:spPr>
                      </pic:pic>
                    </a:graphicData>
                  </a:graphic>
                </wp:inline>
              </w:drawing>
            </w:r>
          </w:p>
          <w:p>
            <w:pPr>
              <w:spacing w:after="160"/>
              <w:jc w:val="center"/>
            </w:pPr>
            <w:r>
              <w:rPr>
                <w:rFonts w:ascii="Arial" w:hAnsi="Arial" w:eastAsia="Arial"/>
                <w:b w:val="0"/>
                <w:i/>
                <w:sz w:val="17"/>
                <w:u w:val="none"/>
              </w:rPr>
              <w:t>Foto 12 — Paparan data 8 sensor MQ di dashboard</w:t>
            </w:r>
          </w:p>
        </w:tc>
      </w:tr>
      <w:tr>
        <w:tc>
          <w:tcPr>
            <w:tcW w:type="dxa" w:w="4649"/>
          </w:tcPr>
          <w:p>
            <w:pPr>
              <w:jc w:val="center"/>
            </w:pPr>
            <w:r>
              <w:drawing>
                <wp:inline xmlns:a="http://schemas.openxmlformats.org/drawingml/2006/main" xmlns:pic="http://schemas.openxmlformats.org/drawingml/2006/picture">
                  <wp:extent cx="2520000" cy="1418400"/>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520000" cy="1418400"/>
                          </a:xfrm>
                          <a:prstGeom prst="rect"/>
                        </pic:spPr>
                      </pic:pic>
                    </a:graphicData>
                  </a:graphic>
                </wp:inline>
              </w:drawing>
            </w:r>
          </w:p>
          <w:p>
            <w:pPr>
              <w:spacing w:after="160"/>
              <w:jc w:val="center"/>
            </w:pPr>
            <w:r>
              <w:rPr>
                <w:rFonts w:ascii="Arial" w:hAnsi="Arial" w:eastAsia="Arial"/>
                <w:b w:val="0"/>
                <w:i/>
                <w:sz w:val="17"/>
                <w:u w:val="none"/>
              </w:rPr>
              <w:t>Foto 13 — Demonstrasi dashboard monitoring</w:t>
            </w:r>
          </w:p>
        </w:tc>
        <w:tc>
          <w:tcPr>
            <w:tcW w:type="dxa" w:w="4649"/>
          </w:tcPr>
          <w:p>
            <w:pPr>
              <w:jc w:val="center"/>
            </w:pPr>
            <w:r>
              <w:drawing>
                <wp:inline xmlns:a="http://schemas.openxmlformats.org/drawingml/2006/main" xmlns:pic="http://schemas.openxmlformats.org/drawingml/2006/picture">
                  <wp:extent cx="2520000" cy="1416600"/>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520000" cy="1416600"/>
                          </a:xfrm>
                          <a:prstGeom prst="rect"/>
                        </pic:spPr>
                      </pic:pic>
                    </a:graphicData>
                  </a:graphic>
                </wp:inline>
              </w:drawing>
            </w:r>
          </w:p>
          <w:p>
            <w:pPr>
              <w:spacing w:after="160"/>
              <w:jc w:val="center"/>
            </w:pPr>
            <w:r>
              <w:rPr>
                <w:rFonts w:ascii="Arial" w:hAnsi="Arial" w:eastAsia="Arial"/>
                <w:b w:val="0"/>
                <w:i/>
                <w:sz w:val="17"/>
                <w:u w:val="none"/>
              </w:rPr>
              <w:t>Foto 14 — Peninjauan prototipe GLD dan data sensor board</w:t>
            </w:r>
          </w:p>
        </w:tc>
      </w:tr>
      <w:tr>
        <w:tc>
          <w:tcPr>
            <w:tcW w:type="dxa" w:w="4649"/>
          </w:tcPr>
          <w:p>
            <w:pPr>
              <w:jc w:val="center"/>
            </w:pPr>
            <w:r>
              <w:drawing>
                <wp:inline xmlns:a="http://schemas.openxmlformats.org/drawingml/2006/main" xmlns:pic="http://schemas.openxmlformats.org/drawingml/2006/picture">
                  <wp:extent cx="2520000" cy="1418400"/>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2520000" cy="1418400"/>
                          </a:xfrm>
                          <a:prstGeom prst="rect"/>
                        </pic:spPr>
                      </pic:pic>
                    </a:graphicData>
                  </a:graphic>
                </wp:inline>
              </w:drawing>
            </w:r>
          </w:p>
          <w:p>
            <w:pPr>
              <w:spacing w:after="160"/>
              <w:jc w:val="center"/>
            </w:pPr>
            <w:r>
              <w:rPr>
                <w:rFonts w:ascii="Arial" w:hAnsi="Arial" w:eastAsia="Arial"/>
                <w:b w:val="0"/>
                <w:i/>
                <w:sz w:val="17"/>
                <w:u w:val="none"/>
              </w:rPr>
              <w:t>Foto 15 — Peninjauan perakitan prototipe di Lab IoT ITB</w:t>
            </w:r>
          </w:p>
        </w:tc>
        <w:tc>
          <w:tcPr>
            <w:tcW w:type="dxa" w:w="4649"/>
          </w:tcPr>
          <w:p>
            <w:pPr>
              <w:jc w:val="center"/>
            </w:pPr>
            <w:r>
              <w:drawing>
                <wp:inline xmlns:a="http://schemas.openxmlformats.org/drawingml/2006/main" xmlns:pic="http://schemas.openxmlformats.org/drawingml/2006/picture">
                  <wp:extent cx="890434" cy="1584000"/>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890434" cy="1584000"/>
                          </a:xfrm>
                          <a:prstGeom prst="rect"/>
                        </pic:spPr>
                      </pic:pic>
                    </a:graphicData>
                  </a:graphic>
                </wp:inline>
              </w:drawing>
            </w:r>
          </w:p>
          <w:p>
            <w:pPr>
              <w:spacing w:after="160"/>
              <w:jc w:val="center"/>
            </w:pPr>
            <w:r>
              <w:rPr>
                <w:rFonts w:ascii="Arial" w:hAnsi="Arial" w:eastAsia="Arial"/>
                <w:b w:val="0"/>
                <w:i/>
                <w:sz w:val="17"/>
                <w:u w:val="none"/>
              </w:rPr>
              <w:t>Foto 16 — Peninjauan perakitan prototipe di Lab IoT ITB</w:t>
            </w:r>
          </w:p>
        </w:tc>
      </w:tr>
      <w:tr>
        <w:tc>
          <w:tcPr>
            <w:tcW w:type="dxa" w:w="4649"/>
          </w:tcPr>
          <w:p>
            <w:pPr>
              <w:jc w:val="center"/>
            </w:pPr>
            <w:r>
              <w:drawing>
                <wp:inline xmlns:a="http://schemas.openxmlformats.org/drawingml/2006/main" xmlns:pic="http://schemas.openxmlformats.org/drawingml/2006/picture">
                  <wp:extent cx="2112000" cy="1584000"/>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2112000" cy="1584000"/>
                          </a:xfrm>
                          <a:prstGeom prst="rect"/>
                        </pic:spPr>
                      </pic:pic>
                    </a:graphicData>
                  </a:graphic>
                </wp:inline>
              </w:drawing>
            </w:r>
          </w:p>
          <w:p>
            <w:pPr>
              <w:spacing w:after="160"/>
              <w:jc w:val="center"/>
            </w:pPr>
            <w:r>
              <w:rPr>
                <w:rFonts w:ascii="Arial" w:hAnsi="Arial" w:eastAsia="Arial"/>
                <w:b w:val="0"/>
                <w:i/>
                <w:sz w:val="17"/>
                <w:u w:val="none"/>
              </w:rPr>
              <w:t>Foto 17 — Rapat pembahasan progres GLD</w:t>
            </w:r>
          </w:p>
        </w:tc>
        <w:tc>
          <w:tcPr>
            <w:tcW w:type="dxa" w:w="4649"/>
          </w:tcPr>
          <w:p>
            <w:pPr>
              <w:jc w:val="center"/>
            </w:pPr>
            <w:r>
              <w:drawing>
                <wp:inline xmlns:a="http://schemas.openxmlformats.org/drawingml/2006/main" xmlns:pic="http://schemas.openxmlformats.org/drawingml/2006/picture">
                  <wp:extent cx="2112000" cy="1584000"/>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112000" cy="1584000"/>
                          </a:xfrm>
                          <a:prstGeom prst="rect"/>
                        </pic:spPr>
                      </pic:pic>
                    </a:graphicData>
                  </a:graphic>
                </wp:inline>
              </w:drawing>
            </w:r>
          </w:p>
          <w:p>
            <w:pPr>
              <w:spacing w:after="160"/>
              <w:jc w:val="center"/>
            </w:pPr>
            <w:r>
              <w:rPr>
                <w:rFonts w:ascii="Arial" w:hAnsi="Arial" w:eastAsia="Arial"/>
                <w:b w:val="0"/>
                <w:i/>
                <w:sz w:val="17"/>
                <w:u w:val="none"/>
              </w:rPr>
              <w:t>Foto 18 — Rapat pembahasan progres GLD</w:t>
            </w:r>
          </w:p>
        </w:tc>
      </w:tr>
    </w:tbl>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i w:val="0"/>
        <w:sz w:val="16"/>
        <w:u w:val="none"/>
      </w:rPr>
      <w:t xml:space="preserve">LGU-GLD-SP001-T1-2026-001  ·  Rev. 1.0  ·  Halaman </w:t>
    </w:r>
    <w:r>
      <w:rPr>
        <w:rFonts w:ascii="Arial" w:hAnsi="Arial"/>
        <w:sz w:val="16"/>
      </w:rPr>
      <w:fldChar w:fldCharType="begin"/>
    </w:r>
    <w:r>
      <w:rPr>
        <w:rFonts w:ascii="Arial" w:hAnsi="Arial"/>
        <w:sz w:val="16"/>
      </w:rPr>
      <w:instrText xml:space="preserve">PAGE</w:instrText>
    </w:r>
    <w:r>
      <w:rPr>
        <w:rFonts w:ascii="Arial" w:hAnsi="Arial"/>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