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15-5 тыс. лет до н.э.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LibreOffice/6.4.7.2$Linux_X86_64 LibreOffice_project/40$Build-2</Application>
  <Pages>1</Pages>
  <Words>64</Words>
  <Characters>338</Characters>
  <CharactersWithSpaces>384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2024-05-07T10:44:41Z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