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October 30, 2022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October 31, 2021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Packaging products</w:t>
            </w:r>
          </w:p>
        </w:tc>
        <w:tc>
          <w:tcPr>
            <w:tcW w:type="dxa" w:w="2160"/>
          </w:tcPr>
          <w:p>
            <w:r>
              <w:t>$ 150.1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Revenues generated from plants located in Canada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148.2</w:t>
            </w:r>
          </w:p>
        </w:tc>
      </w:tr>
      <w:tr>
        <w:tc>
          <w:tcPr>
            <w:tcW w:type="dxa" w:w="2160"/>
          </w:tcPr>
          <w:p>
            <w:r>
              <w:t>Revenues generated from plants located in the United States Revenues generated from plants located outside Canada and the United States</w:t>
            </w:r>
          </w:p>
        </w:tc>
        <w:tc>
          <w:tcPr>
            <w:tcW w:type="dxa" w:w="2160"/>
          </w:tcPr>
          <w:p>
            <w:r>
              <w:t>1,296.8 218.3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1,090.0 211.5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1,665.2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1,449.7</w:t>
            </w:r>
          </w:p>
        </w:tc>
      </w:tr>
      <w:tr>
        <w:tc>
          <w:tcPr>
            <w:tcW w:type="dxa" w:w="2160"/>
          </w:tcPr>
          <w:p>
            <w:r>
              <w:t xml:space="preserve"> Printing services (1)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Retailer-related services (2)</w:t>
            </w:r>
          </w:p>
        </w:tc>
        <w:tc>
          <w:tcPr>
            <w:tcW w:type="dxa" w:w="2160"/>
          </w:tcPr>
          <w:p>
            <w:r>
              <w:t>593.2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597.6</w:t>
            </w:r>
          </w:p>
        </w:tc>
      </w:tr>
      <w:tr>
        <w:tc>
          <w:tcPr>
            <w:tcW w:type="dxa" w:w="2160"/>
          </w:tcPr>
          <w:p>
            <w:r>
              <w:t xml:space="preserve"> Marketing products</w:t>
            </w:r>
          </w:p>
        </w:tc>
        <w:tc>
          <w:tcPr>
            <w:tcW w:type="dxa" w:w="2160"/>
          </w:tcPr>
          <w:p>
            <w:r>
              <w:t>318.8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260.5</w:t>
            </w:r>
          </w:p>
        </w:tc>
      </w:tr>
      <w:tr>
        <w:tc>
          <w:tcPr>
            <w:tcW w:type="dxa" w:w="2160"/>
          </w:tcPr>
          <w:p>
            <w:r>
              <w:t>Magazines and books</w:t>
            </w:r>
          </w:p>
        </w:tc>
        <w:tc>
          <w:tcPr>
            <w:tcW w:type="dxa" w:w="2160"/>
          </w:tcPr>
          <w:p>
            <w:r>
              <w:t>205.1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181.9</w:t>
            </w:r>
          </w:p>
        </w:tc>
      </w:tr>
      <w:tr>
        <w:tc>
          <w:tcPr>
            <w:tcW w:type="dxa" w:w="2160"/>
          </w:tcPr>
          <w:p>
            <w:r>
              <w:t>Newspapers</w:t>
            </w:r>
          </w:p>
        </w:tc>
        <w:tc>
          <w:tcPr>
            <w:tcW w:type="dxa" w:w="2160"/>
          </w:tcPr>
          <w:p>
            <w:r>
              <w:t>87.2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92.6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1,204.3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1,132.6</w:t>
            </w:r>
          </w:p>
        </w:tc>
      </w:tr>
      <w:tr>
        <w:tc>
          <w:tcPr>
            <w:tcW w:type="dxa" w:w="2160"/>
          </w:tcPr>
          <w:p>
            <w:r>
              <w:t>Media (1)</w:t>
            </w:r>
          </w:p>
        </w:tc>
        <w:tc>
          <w:tcPr>
            <w:tcW w:type="dxa" w:w="2160"/>
          </w:tcPr>
          <w:p>
            <w:r>
              <w:t>106.1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78.2</w:t>
            </w:r>
          </w:p>
        </w:tc>
      </w:tr>
      <w:tr>
        <w:tc>
          <w:tcPr>
            <w:tcW w:type="dxa" w:w="2160"/>
          </w:tcPr>
          <w:p>
            <w:r>
              <w:t>Inter-segment sales</w:t>
            </w:r>
          </w:p>
        </w:tc>
        <w:tc>
          <w:tcPr>
            <w:tcW w:type="dxa" w:w="2160"/>
          </w:tcPr>
          <w:p>
            <w:r>
              <w:t>19.5 $ 2,956.1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17.1) 2,643.4</w:t>
            </w:r>
          </w:p>
        </w:tc>
      </w:tr>
      <w:tr>
        <w:tc>
          <w:tcPr>
            <w:tcW w:type="dxa" w:w="2160"/>
          </w:tcPr>
          <w:p>
            <w:r>
              <w:t>The Corporation's total assets by segment are as follows: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October 30,</w:t>
            </w:r>
          </w:p>
        </w:tc>
        <w:tc>
          <w:tcPr>
            <w:tcW w:type="dxa" w:w="2160"/>
          </w:tcPr>
          <w:p>
            <w:r>
              <w:t>As at</w:t>
            </w:r>
          </w:p>
        </w:tc>
        <w:tc>
          <w:tcPr>
            <w:tcW w:type="dxa" w:w="2160"/>
          </w:tcPr>
          <w:p>
            <w:r>
              <w:t>As at October 31, 2021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Packaging Printing</w:t>
            </w:r>
          </w:p>
        </w:tc>
        <w:tc>
          <w:tcPr>
            <w:tcW w:type="dxa" w:w="2160"/>
          </w:tcPr>
          <w:p>
            <w:r>
              <w:t>$2,476.0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2,200.7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1,020.3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1,000.4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Other (0)</w:t>
            </w:r>
          </w:p>
        </w:tc>
        <w:tc>
          <w:tcPr>
            <w:tcW w:type="dxa" w:w="2160"/>
          </w:tcPr>
          <w:p>
            <w:r>
              <w:t>304.7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411.8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$3,801.0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3,612.9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) Revenues from retiler-related services include printing, premedia and distributin services. This hedng ntaly incudes cash, inome taxes reevable, property, plant and equiment, nangible ssts, ighto-se assets, deferred taxes and defind enf</w:t>
            </w:r>
          </w:p>
        </w:tc>
      </w:tr>
      <w:tr>
        <w:tc>
          <w:tcPr>
            <w:tcW w:type="dxa" w:w="2160"/>
          </w:tcPr>
          <w:p>
            <w:r>
              <w:t>asset not allocated to segments.</w:t>
            </w:r>
          </w:p>
        </w:tc>
        <w:tc>
          <w:tcPr>
            <w:tcW w:type="dxa" w:w="2160"/>
          </w:tcPr>
          <w:p>
            <w:r>
              <w:t>October 30,</w:t>
            </w:r>
          </w:p>
        </w:tc>
        <w:tc>
          <w:tcPr>
            <w:tcW w:type="dxa" w:w="2160"/>
          </w:tcPr>
          <w:p>
            <w:r>
              <w:t>As at</w:t>
            </w:r>
          </w:p>
        </w:tc>
        <w:tc>
          <w:tcPr>
            <w:tcW w:type="dxa" w:w="2160"/>
          </w:tcPr>
          <w:p>
            <w:r>
              <w:t>As at October 31,</w:t>
            </w:r>
          </w:p>
        </w:tc>
      </w:tr>
      <w:tr>
        <w:tc>
          <w:tcPr>
            <w:tcW w:type="dxa" w:w="2160"/>
          </w:tcPr>
          <w:p>
            <w:r>
              <w:t>Non-current assets (1)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908.9</w:t>
            </w:r>
          </w:p>
        </w:tc>
        <w:tc>
          <w:tcPr>
            <w:tcW w:type="dxa" w:w="2160"/>
          </w:tcPr>
          <w:p>
            <w:r>
              <w:t>865.0</w:t>
            </w:r>
          </w:p>
        </w:tc>
      </w:tr>
      <w:tr>
        <w:tc>
          <w:tcPr>
            <w:tcW w:type="dxa" w:w="216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1,495.1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1,354.7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$2,621.9</w:t>
            </w:r>
          </w:p>
        </w:tc>
        <w:tc>
          <w:tcPr>
            <w:tcW w:type="dxa" w:w="2160"/>
          </w:tcPr>
          <w:p>
            <w:r>
              <w:t>217.9</w:t>
            </w:r>
          </w:p>
        </w:tc>
        <w:tc>
          <w:tcPr>
            <w:tcW w:type="dxa" w:w="2160"/>
          </w:tcPr>
          <w:p>
            <w:r>
              <w:t>230.5 $2,450.2</w:t>
            </w:r>
          </w:p>
        </w:tc>
      </w:tr>
    </w:tbl>
    <w:p>
      <w:pPr>
        <w:ind w:firstLine="360"/>
      </w:pPr>
      <w:r>
        <w:rPr>
          <w:sz w:val="20"/>
        </w:rPr>
        <w:t xml:space="preserve">These amounts include property,plant and equipment intangible assets, right-of-use assets, goodwill and other non-current assets, and excl </w:t>
      </w:r>
      <w:r>
        <w:rPr>
          <w:sz w:val="20"/>
        </w:rPr>
        <w:t xml:space="preserve">struments, deferred taxes and defined benefit asset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