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Geographic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Canfor operates manufacturing facilities in Canada,the Us and Europe.Canfor's products are marketed worldwide </w:t>
      </w:r>
      <w:r>
        <w:rPr>
          <w:sz w:val="20"/>
        </w:rPr>
        <w:t xml:space="preserve">with sales made to customers in a number of different countries.In presenting information on the basis of geographical </w:t>
      </w:r>
      <w:r>
        <w:rPr>
          <w:sz w:val="20"/>
        </w:rPr>
        <w:t xml:space="preserve">location, sales are based on the geographical location of customers and assets are based on the geographical location </w:t>
      </w:r>
      <w:r>
        <w:rPr>
          <w:sz w:val="20"/>
        </w:rPr>
        <w:t xml:space="preserve">of the assets.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(millions of Canadian dollars)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4320"/>
            <w:gridSpan w:val="3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</w:tr>
      <w:tr>
        <w:tc>
          <w:tcPr>
            <w:tcW w:type="dxa" w:w="1440"/>
          </w:tcPr>
          <w:p>
            <w:r>
              <w:t>Sales by location of customer</w:t>
            </w:r>
          </w:p>
        </w:tc>
        <w:tc>
          <w:tcPr>
            <w:tcW w:type="dxa" w:w="1440"/>
          </w:tcPr>
          <w:p>
            <w:r>
              <w:t>$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Canada</w:t>
            </w:r>
          </w:p>
        </w:tc>
        <w:tc>
          <w:tcPr>
            <w:tcW w:type="dxa" w:w="1440"/>
          </w:tcPr>
          <w:p>
            <w:r>
              <w:t>11%</w:t>
            </w:r>
          </w:p>
        </w:tc>
        <w:tc>
          <w:tcPr>
            <w:tcW w:type="dxa" w:w="1440"/>
          </w:tcPr>
          <w:p>
            <w:r>
              <w:t>823.2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9% $</w:t>
            </w:r>
          </w:p>
        </w:tc>
        <w:tc>
          <w:tcPr>
            <w:tcW w:type="dxa" w:w="1440"/>
          </w:tcPr>
          <w:p>
            <w:r>
              <w:t>698.8</w:t>
            </w:r>
          </w:p>
        </w:tc>
      </w:tr>
      <w:tr>
        <w:tc>
          <w:tcPr>
            <w:tcW w:type="dxa" w:w="1440"/>
          </w:tcPr>
          <w:p>
            <w:r>
              <w:t>United States</w:t>
            </w:r>
          </w:p>
        </w:tc>
        <w:tc>
          <w:tcPr>
            <w:tcW w:type="dxa" w:w="1440"/>
          </w:tcPr>
          <w:p>
            <w:r>
              <w:t>55%</w:t>
            </w:r>
          </w:p>
        </w:tc>
        <w:tc>
          <w:tcPr>
            <w:tcW w:type="dxa" w:w="1440"/>
          </w:tcPr>
          <w:p>
            <w:r>
              <w:t>4,062.4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54%</w:t>
            </w:r>
          </w:p>
        </w:tc>
        <w:tc>
          <w:tcPr>
            <w:tcW w:type="dxa" w:w="1440"/>
          </w:tcPr>
          <w:p>
            <w:r>
              <w:t>4,155.9</w:t>
            </w:r>
          </w:p>
        </w:tc>
      </w:tr>
      <w:tr>
        <w:tc>
          <w:tcPr>
            <w:tcW w:type="dxa" w:w="1440"/>
          </w:tcPr>
          <w:p>
            <w:r>
              <w:t>Europe</w:t>
            </w:r>
          </w:p>
        </w:tc>
        <w:tc>
          <w:tcPr>
            <w:tcW w:type="dxa" w:w="1440"/>
          </w:tcPr>
          <w:p>
            <w:r>
              <w:t>17%</w:t>
            </w:r>
          </w:p>
        </w:tc>
        <w:tc>
          <w:tcPr>
            <w:tcW w:type="dxa" w:w="1440"/>
          </w:tcPr>
          <w:p>
            <w:r>
              <w:t>1,264.5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17%</w:t>
            </w:r>
          </w:p>
        </w:tc>
        <w:tc>
          <w:tcPr>
            <w:tcW w:type="dxa" w:w="1440"/>
          </w:tcPr>
          <w:p>
            <w:r>
              <w:t>1,293.7</w:t>
            </w:r>
          </w:p>
        </w:tc>
      </w:tr>
      <w:tr>
        <w:tc>
          <w:tcPr>
            <w:tcW w:type="dxa" w:w="1440"/>
          </w:tcPr>
          <w:p>
            <w:r>
              <w:t>Asia</w:t>
            </w:r>
          </w:p>
        </w:tc>
        <w:tc>
          <w:tcPr>
            <w:tcW w:type="dxa" w:w="1440"/>
          </w:tcPr>
          <w:p>
            <w:r>
              <w:t>15%</w:t>
            </w:r>
          </w:p>
        </w:tc>
        <w:tc>
          <w:tcPr>
            <w:tcW w:type="dxa" w:w="1440"/>
          </w:tcPr>
          <w:p>
            <w:r>
              <w:t>1,122.5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18%</w:t>
            </w:r>
          </w:p>
        </w:tc>
        <w:tc>
          <w:tcPr>
            <w:tcW w:type="dxa" w:w="1440"/>
          </w:tcPr>
          <w:p>
            <w:r>
              <w:t>1,370.9</w:t>
            </w:r>
          </w:p>
        </w:tc>
      </w:tr>
      <w:tr>
        <w:tc>
          <w:tcPr>
            <w:tcW w:type="dxa" w:w="1440"/>
          </w:tcPr>
          <w:p>
            <w:r>
              <w:t>Other</w:t>
            </w:r>
          </w:p>
        </w:tc>
        <w:tc>
          <w:tcPr>
            <w:tcW w:type="dxa" w:w="1440"/>
          </w:tcPr>
          <w:p>
            <w:r>
              <w:t>2%</w:t>
            </w:r>
          </w:p>
        </w:tc>
        <w:tc>
          <w:tcPr>
            <w:tcW w:type="dxa" w:w="1440"/>
          </w:tcPr>
          <w:p>
            <w:r>
              <w:t>154.1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2%</w:t>
            </w:r>
          </w:p>
        </w:tc>
        <w:tc>
          <w:tcPr>
            <w:tcW w:type="dxa" w:w="1440"/>
          </w:tcPr>
          <w:p>
            <w:r>
              <w:t>165.6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100% $</w:t>
            </w:r>
          </w:p>
        </w:tc>
        <w:tc>
          <w:tcPr>
            <w:tcW w:type="dxa" w:w="1440"/>
          </w:tcPr>
          <w:p>
            <w:r>
              <w:t>7,426.7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100% $</w:t>
            </w:r>
          </w:p>
        </w:tc>
        <w:tc>
          <w:tcPr>
            <w:tcW w:type="dxa" w:w="1440"/>
          </w:tcPr>
          <w:p>
            <w:r>
              <w:t>7,684.9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As at December 31,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As at December 31,</w:t>
            </w:r>
          </w:p>
        </w:tc>
      </w:tr>
      <w:tr>
        <w:tc>
          <w:tcPr>
            <w:tcW w:type="dxa" w:w="1440"/>
          </w:tcPr>
          <w:p>
            <w:r>
              <w:t>millions of Canadian dollars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4320"/>
            <w:gridSpan w:val="3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</w:tr>
      <w:tr>
        <w:tc>
          <w:tcPr>
            <w:tcW w:type="dxa" w:w="1440"/>
          </w:tcPr>
          <w:p>
            <w:r>
              <w:t>Propertyplant and equipment ROU assets,timber licenses goodwill and other intangible assets by location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Canada</w:t>
            </w:r>
          </w:p>
        </w:tc>
        <w:tc>
          <w:tcPr>
            <w:tcW w:type="dxa" w:w="1440"/>
          </w:tcPr>
          <w:p>
            <w:r>
              <w:t>45%</w:t>
            </w:r>
          </w:p>
        </w:tc>
        <w:tc>
          <w:tcPr>
            <w:tcW w:type="dxa" w:w="4320"/>
            <w:gridSpan w:val="3"/>
          </w:tcPr>
          <w:p>
            <w:r>
              <w:t>$ 1,427.2</w:t>
            </w:r>
          </w:p>
        </w:tc>
        <w:tc>
          <w:tcPr>
            <w:tcW w:type="dxa" w:w="1440"/>
          </w:tcPr>
          <w:p>
            <w:r>
              <w:t>1,172.9</w:t>
            </w:r>
          </w:p>
        </w:tc>
      </w:tr>
      <w:tr>
        <w:tc>
          <w:tcPr>
            <w:tcW w:type="dxa" w:w="1440"/>
          </w:tcPr>
          <w:p>
            <w:r>
              <w:t>United States</w:t>
            </w:r>
          </w:p>
        </w:tc>
        <w:tc>
          <w:tcPr>
            <w:tcW w:type="dxa" w:w="1440"/>
          </w:tcPr>
          <w:p>
            <w:r>
              <w:t>38%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1,225.9</w:t>
            </w:r>
          </w:p>
        </w:tc>
        <w:tc>
          <w:tcPr>
            <w:tcW w:type="dxa" w:w="1440"/>
          </w:tcPr>
          <w:p>
            <w:r>
              <w:t>43% $ 35%</w:t>
            </w:r>
          </w:p>
        </w:tc>
        <w:tc>
          <w:tcPr>
            <w:tcW w:type="dxa" w:w="1440"/>
          </w:tcPr>
          <w:p>
            <w:r>
              <w:t>934.9</w:t>
            </w:r>
          </w:p>
        </w:tc>
      </w:tr>
      <w:tr>
        <w:tc>
          <w:tcPr>
            <w:tcW w:type="dxa" w:w="1440"/>
          </w:tcPr>
          <w:p>
            <w:r>
              <w:t>Europe</w:t>
            </w:r>
          </w:p>
        </w:tc>
        <w:tc>
          <w:tcPr>
            <w:tcW w:type="dxa" w:w="1440"/>
          </w:tcPr>
          <w:p>
            <w:r>
              <w:t>17%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554.5</w:t>
            </w:r>
          </w:p>
        </w:tc>
        <w:tc>
          <w:tcPr>
            <w:tcW w:type="dxa" w:w="1440"/>
          </w:tcPr>
          <w:p>
            <w:r>
              <w:t>22%</w:t>
            </w:r>
          </w:p>
        </w:tc>
        <w:tc>
          <w:tcPr>
            <w:tcW w:type="dxa" w:w="1440"/>
          </w:tcPr>
          <w:p>
            <w:r>
              <w:t>597.6</w:t>
            </w:r>
          </w:p>
        </w:tc>
      </w:tr>
      <w:tr>
        <w:tc>
          <w:tcPr>
            <w:tcW w:type="dxa" w:w="1440"/>
          </w:tcPr>
          <w:p>
            <w:r>
              <w:t>Asia and Other</w:t>
            </w:r>
          </w:p>
        </w:tc>
        <w:tc>
          <w:tcPr>
            <w:tcW w:type="dxa" w:w="1440"/>
          </w:tcPr>
          <w:p>
            <w:r>
              <w:t>0%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0.4</w:t>
            </w:r>
          </w:p>
        </w:tc>
        <w:tc>
          <w:tcPr>
            <w:tcW w:type="dxa" w:w="1440"/>
          </w:tcPr>
          <w:p>
            <w:r>
              <w:t>0%</w:t>
            </w:r>
          </w:p>
        </w:tc>
        <w:tc>
          <w:tcPr>
            <w:tcW w:type="dxa" w:w="1440"/>
          </w:tcPr>
          <w:p>
            <w:r>
              <w:t>0.8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$</w:t>
            </w:r>
          </w:p>
        </w:tc>
        <w:tc>
          <w:tcPr>
            <w:tcW w:type="dxa" w:w="1440"/>
          </w:tcPr>
          <w:p>
            <w:r>
              <w:t>3,208.0</w:t>
            </w:r>
          </w:p>
        </w:tc>
        <w:tc>
          <w:tcPr>
            <w:tcW w:type="dxa" w:w="1440"/>
          </w:tcPr>
          <w:p>
            <w:r>
              <w:t>100% $</w:t>
            </w:r>
          </w:p>
        </w:tc>
        <w:tc>
          <w:tcPr>
            <w:tcW w:type="dxa" w:w="1440"/>
          </w:tcPr>
          <w:p>
            <w:r>
              <w:t>2,706.2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24.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In circumstances where the Company is not able to determine the outcome of a legal action and claim, no amount is </w:t>
      </w:r>
      <w:r>
        <w:rPr>
          <w:sz w:val="20"/>
        </w:rPr>
        <w:t xml:space="preserve">recognized in the consolidated financial statements, with an amount accrued only when a reliable estimate of the </w:t>
      </w:r>
      <w:r>
        <w:rPr>
          <w:sz w:val="20"/>
        </w:rPr>
        <w:t xml:space="preserve">obligation can be made.Although there can be no assurance as to the disposition of a legal action and claim, it is the </w:t>
      </w:r>
      <w:r>
        <w:rPr>
          <w:sz w:val="20"/>
        </w:rPr>
        <w:t xml:space="preserve">opinion of Management, based upon the information available at this time, that the expected outcome of a legal action </w:t>
      </w:r>
      <w:r>
        <w:rPr>
          <w:sz w:val="20"/>
        </w:rPr>
        <w:t xml:space="preserve">and claim, individually or in aggregate, is unlikely to have a material adverse effect on the operating results and financial </w:t>
      </w:r>
      <w:r>
        <w:rPr>
          <w:sz w:val="20"/>
        </w:rPr>
        <w:t xml:space="preserve">condition of the Company as a whole.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(a)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June 8,2021,the Company announced its plans to construct a new sawmill near DeRidder,Louisiana.On April </w:t>
      </w:r>
      <w:r>
        <w:rPr>
          <w:sz w:val="20"/>
        </w:rPr>
        <w:t xml:space="preserve">22, the Company announced its plans to upgrade and expand its sawmill and planer facility located in Urbana </w:t>
      </w:r>
      <w:r>
        <w:rPr>
          <w:sz w:val="20"/>
        </w:rPr>
        <w:t xml:space="preserve">ion County,Arkansas,and on July 28,2022,announced its plans to construct a new sawmill in southern Alabam </w:t>
      </w:r>
    </w:p>
    <w:p>
      <w:pPr>
        <w:ind w:firstLine="360"/>
      </w:pPr>
      <w:r>
        <w:rPr>
          <w:sz w:val="20"/>
        </w:rPr>
        <w:t xml:space="preserve">AtDecember31,2022,Canforhad contractuaobligations of$215.7 millionDecember31,2021-$250.3 million </w:t>
      </w:r>
      <w:r>
        <w:rPr>
          <w:sz w:val="20"/>
        </w:rPr>
        <w:t xml:space="preserve">reflecting commitments for the construction of capital assets, including those mentioned above, and other working </w:t>
      </w:r>
      <w:r>
        <w:rPr>
          <w:sz w:val="20"/>
        </w:rPr>
        <w:t xml:space="preserve">capital items.The majority of these commitments are expected to be settled within two years. In addition, the Company </w:t>
      </w:r>
      <w:r>
        <w:rPr>
          <w:sz w:val="20"/>
        </w:rPr>
        <w:t xml:space="preserve">nas committed to leases of property,plant and equipment as outlined under Note 6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25.</w:t>
      </w:r>
    </w:p>
    <w:p>
      <w:pPr>
        <w:pStyle w:val="Heading1"/>
      </w:pPr>
      <w:r>
        <w:t>Financial risk management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nfor is exposed to a number of risks as a result of holding financial instruments. These risks include credit ri </w:t>
      </w:r>
      <w:r>
        <w:rPr>
          <w:sz w:val="20"/>
        </w:rPr>
        <w:t xml:space="preserve">uidity risk and market risk. </w:t>
      </w:r>
    </w:p>
    <w:p>
      <w:pPr>
        <w:ind w:firstLine="360"/>
      </w:pPr>
      <w:r>
        <w:rPr>
          <w:sz w:val="20"/>
        </w:rPr>
        <w:t xml:space="preserve">Canfor's internal Risk Management Committee manages risk in accordance with a Board approved Price Risk </w:t>
      </w:r>
      <w:r>
        <w:rPr>
          <w:sz w:val="20"/>
        </w:rPr>
        <w:t xml:space="preserve">Management Controls Policy. This policy provides the framework for risk management related to commodity price, </w:t>
      </w:r>
      <w:r>
        <w:rPr>
          <w:sz w:val="20"/>
        </w:rPr>
        <w:t xml:space="preserve">foreign exchange,interest rate and counterparty credit risk of Canfor.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