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Reconciliation of Segment Income to Income Before Income Taxes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For the years ended December 31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>Segment income</w:t>
            </w:r>
          </w:p>
        </w:tc>
        <w:tc>
          <w:tcPr>
            <w:tcW w:type="dxa" w:w="2880"/>
          </w:tcPr>
          <w:p>
            <w:r>
              <w:t>$3,249</w:t>
            </w:r>
          </w:p>
        </w:tc>
        <w:tc>
          <w:tcPr>
            <w:tcW w:type="dxa" w:w="2880"/>
          </w:tcPr>
          <w:p>
            <w:r>
              <w:t>$4,668</w:t>
            </w:r>
          </w:p>
        </w:tc>
      </w:tr>
      <w:tr>
        <w:tc>
          <w:tcPr>
            <w:tcW w:type="dxa" w:w="2880"/>
          </w:tcPr>
          <w:p>
            <w:r>
              <w:t>Other revenue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109</w:t>
            </w:r>
          </w:p>
        </w:tc>
      </w:tr>
      <w:tr>
        <w:tc>
          <w:tcPr>
            <w:tcW w:type="dxa" w:w="2880"/>
          </w:tcPr>
          <w:p>
            <w:r>
              <w:t>Other cost of sales/amortization</w:t>
            </w:r>
          </w:p>
        </w:tc>
        <w:tc>
          <w:tcPr>
            <w:tcW w:type="dxa" w:w="2880"/>
          </w:tcPr>
          <w:p>
            <w:r>
              <w:t>(47)</w:t>
            </w:r>
          </w:p>
        </w:tc>
        <w:tc>
          <w:tcPr>
            <w:tcW w:type="dxa" w:w="2880"/>
          </w:tcPr>
          <w:p>
            <w:r>
              <w:t>(96)</w:t>
            </w:r>
          </w:p>
        </w:tc>
      </w:tr>
      <w:tr>
        <w:tc>
          <w:tcPr>
            <w:tcW w:type="dxa" w:w="2880"/>
          </w:tcPr>
          <w:p>
            <w:r>
              <w:t>Exploration, evaluation and project expenses not attributable to segments</w:t>
            </w:r>
          </w:p>
        </w:tc>
        <w:tc>
          <w:tcPr>
            <w:tcW w:type="dxa" w:w="2880"/>
          </w:tcPr>
          <w:p>
            <w:r>
              <w:t>(249)</w:t>
            </w:r>
          </w:p>
        </w:tc>
        <w:tc>
          <w:tcPr>
            <w:tcW w:type="dxa" w:w="2880"/>
          </w:tcPr>
          <w:p>
            <w:r>
              <w:t>(220)</w:t>
            </w:r>
          </w:p>
        </w:tc>
      </w:tr>
      <w:tr>
        <w:tc>
          <w:tcPr>
            <w:tcW w:type="dxa" w:w="2880"/>
          </w:tcPr>
          <w:p>
            <w:r>
              <w:t>General and administrative expenses</w:t>
            </w:r>
          </w:p>
        </w:tc>
        <w:tc>
          <w:tcPr>
            <w:tcW w:type="dxa" w:w="2880"/>
          </w:tcPr>
          <w:p>
            <w:r>
              <w:t>(159)</w:t>
            </w:r>
          </w:p>
        </w:tc>
        <w:tc>
          <w:tcPr>
            <w:tcW w:type="dxa" w:w="2880"/>
          </w:tcPr>
          <w:p>
            <w:r>
              <w:t>(151)</w:t>
            </w:r>
          </w:p>
        </w:tc>
      </w:tr>
      <w:tr>
        <w:tc>
          <w:tcPr>
            <w:tcW w:type="dxa" w:w="2880"/>
          </w:tcPr>
          <w:p>
            <w:r>
              <w:t>Other income not attributable to segments</w:t>
            </w:r>
          </w:p>
        </w:tc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187</w:t>
            </w:r>
          </w:p>
        </w:tc>
      </w:tr>
      <w:tr>
        <w:tc>
          <w:tcPr>
            <w:tcW w:type="dxa" w:w="2880"/>
          </w:tcPr>
          <w:p>
            <w:r>
              <w:t>Impairment (charges) reversals</w:t>
            </w:r>
          </w:p>
        </w:tc>
        <w:tc>
          <w:tcPr>
            <w:tcW w:type="dxa" w:w="2880"/>
          </w:tcPr>
          <w:p>
            <w:r>
              <w:t>1,671)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Loss on currency translation</w:t>
            </w:r>
          </w:p>
        </w:tc>
        <w:tc>
          <w:tcPr>
            <w:tcW w:type="dxa" w:w="2880"/>
          </w:tcPr>
          <w:p>
            <w:r>
              <w:t>(16)</w:t>
            </w:r>
          </w:p>
        </w:tc>
        <w:tc>
          <w:tcPr>
            <w:tcW w:type="dxa" w:w="2880"/>
          </w:tcPr>
          <w:p>
            <w:r>
              <w:t>29)</w:t>
            </w:r>
          </w:p>
        </w:tc>
      </w:tr>
      <w:tr>
        <w:tc>
          <w:tcPr>
            <w:tcW w:type="dxa" w:w="2880"/>
          </w:tcPr>
          <w:p>
            <w:r>
              <w:t>Closed mine rehabilitation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18)</w:t>
            </w:r>
          </w:p>
        </w:tc>
      </w:tr>
      <w:tr>
        <w:tc>
          <w:tcPr>
            <w:tcW w:type="dxa" w:w="2880"/>
          </w:tcPr>
          <w:p>
            <w:r>
              <w:t>Income from equity investees</w:t>
            </w:r>
          </w:p>
        </w:tc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446</w:t>
            </w:r>
          </w:p>
        </w:tc>
      </w:tr>
      <w:tr>
        <w:tc>
          <w:tcPr>
            <w:tcW w:type="dxa" w:w="2880"/>
          </w:tcPr>
          <w:p>
            <w:r>
              <w:t>Finance costs, net (includes non-segment accretion)1</w:t>
            </w:r>
          </w:p>
        </w:tc>
        <w:tc>
          <w:tcPr>
            <w:tcW w:type="dxa" w:w="2880"/>
          </w:tcPr>
          <w:p>
            <w:r>
              <w:t>(265)</w:t>
            </w:r>
          </w:p>
        </w:tc>
        <w:tc>
          <w:tcPr>
            <w:tcW w:type="dxa" w:w="2880"/>
          </w:tcPr>
          <w:p>
            <w:r>
              <w:t>(329)</w:t>
            </w:r>
          </w:p>
        </w:tc>
      </w:tr>
      <w:tr>
        <w:tc>
          <w:tcPr>
            <w:tcW w:type="dxa" w:w="2880"/>
          </w:tcPr>
          <w:p>
            <w:r>
              <w:t>Gain on non-hedge derivatives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Income before income taxes</w:t>
            </w:r>
          </w:p>
        </w:tc>
        <w:tc>
          <w:tcPr>
            <w:tcW w:type="dxa" w:w="2880"/>
          </w:tcPr>
          <w:p>
            <w:r>
              <w:t>$1,681</w:t>
            </w:r>
          </w:p>
        </w:tc>
        <w:tc>
          <w:tcPr>
            <w:tcW w:type="dxa" w:w="2880"/>
          </w:tcPr>
          <w:p>
            <w:r>
              <w:t>$4,632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General and administrative expenses</w:t>
            </w:r>
          </w:p>
        </w:tc>
        <w:tc>
          <w:tcPr>
            <w:tcW w:type="dxa" w:w="3456"/>
            <w:gridSpan w:val="2"/>
          </w:tcPr>
          <w:p>
            <w:r>
              <w:t>(159) 396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151)</w:t>
            </w:r>
          </w:p>
        </w:tc>
      </w:tr>
      <w:tr>
        <w:tc>
          <w:tcPr>
            <w:tcW w:type="dxa" w:w="1728"/>
          </w:tcPr>
          <w:p>
            <w:r>
              <w:t>Other income not attributable to segments</w:t>
            </w:r>
          </w:p>
        </w:tc>
        <w:tc>
          <w:tcPr>
            <w:tcW w:type="dxa" w:w="3456"/>
            <w:gridSpan w:val="2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187</w:t>
            </w:r>
          </w:p>
        </w:tc>
      </w:tr>
      <w:tr>
        <w:tc>
          <w:tcPr>
            <w:tcW w:type="dxa" w:w="1728"/>
          </w:tcPr>
          <w:p>
            <w:r>
              <w:t>Impairment (charges) reversals</w:t>
            </w:r>
          </w:p>
        </w:tc>
        <w:tc>
          <w:tcPr>
            <w:tcW w:type="dxa" w:w="3456"/>
            <w:gridSpan w:val="2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1,671)</w:t>
            </w:r>
          </w:p>
        </w:tc>
        <w:tc>
          <w:tcPr>
            <w:tcW w:type="dxa" w:w="1728"/>
          </w:tcPr>
          <w:p>
            <w:r>
              <w:t>63</w:t>
            </w:r>
          </w:p>
        </w:tc>
      </w:tr>
      <w:tr>
        <w:tc>
          <w:tcPr>
            <w:tcW w:type="dxa" w:w="1728"/>
          </w:tcPr>
          <w:p>
            <w:r>
              <w:t>Loss on currency translation</w:t>
            </w:r>
          </w:p>
        </w:tc>
        <w:tc>
          <w:tcPr>
            <w:tcW w:type="dxa" w:w="3456"/>
            <w:gridSpan w:val="2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(16)</w:t>
            </w:r>
          </w:p>
        </w:tc>
        <w:tc>
          <w:tcPr>
            <w:tcW w:type="dxa" w:w="1728"/>
          </w:tcPr>
          <w:p>
            <w:r>
              <w:t>(29)</w:t>
            </w:r>
          </w:p>
        </w:tc>
      </w:tr>
      <w:tr>
        <w:tc>
          <w:tcPr>
            <w:tcW w:type="dxa" w:w="1728"/>
          </w:tcPr>
          <w:p>
            <w:r>
              <w:t>Closed mine rehabilitation</w:t>
            </w:r>
          </w:p>
        </w:tc>
        <w:tc>
          <w:tcPr>
            <w:tcW w:type="dxa" w:w="3456"/>
            <w:gridSpan w:val="2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18)</w:t>
            </w:r>
          </w:p>
        </w:tc>
      </w:tr>
      <w:tr>
        <w:tc>
          <w:tcPr>
            <w:tcW w:type="dxa" w:w="1728"/>
          </w:tcPr>
          <w:p>
            <w:r>
              <w:t>Income from equity investees</w:t>
            </w:r>
          </w:p>
        </w:tc>
        <w:tc>
          <w:tcPr>
            <w:tcW w:type="dxa" w:w="3456"/>
            <w:gridSpan w:val="2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446</w:t>
            </w:r>
          </w:p>
        </w:tc>
      </w:tr>
      <w:tr>
        <w:tc>
          <w:tcPr>
            <w:tcW w:type="dxa" w:w="1728"/>
          </w:tcPr>
          <w:p>
            <w:r>
              <w:t>Finance costs, net (includes non-segment accretion)1</w:t>
            </w:r>
          </w:p>
        </w:tc>
        <w:tc>
          <w:tcPr>
            <w:tcW w:type="dxa" w:w="3456"/>
            <w:gridSpan w:val="2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(265)</w:t>
            </w:r>
          </w:p>
        </w:tc>
        <w:tc>
          <w:tcPr>
            <w:tcW w:type="dxa" w:w="1728"/>
          </w:tcPr>
          <w:p>
            <w:r>
              <w:t>(329)</w:t>
            </w:r>
          </w:p>
        </w:tc>
      </w:tr>
      <w:tr>
        <w:tc>
          <w:tcPr>
            <w:tcW w:type="dxa" w:w="1728"/>
          </w:tcPr>
          <w:p>
            <w:r>
              <w:t>Gain on non-hedge derivatives</w:t>
            </w:r>
          </w:p>
        </w:tc>
        <w:tc>
          <w:tcPr>
            <w:tcW w:type="dxa" w:w="3456"/>
            <w:gridSpan w:val="2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Income before income taxes</w:t>
            </w:r>
          </w:p>
        </w:tc>
        <w:tc>
          <w:tcPr>
            <w:tcW w:type="dxa" w:w="3456"/>
            <w:gridSpan w:val="2"/>
          </w:tcPr>
          <w:p>
            <w:r>
              <w:t>$1,681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$4,632</w:t>
            </w:r>
          </w:p>
        </w:tc>
      </w:tr>
      <w:tr>
        <w:tc>
          <w:tcPr>
            <w:tcW w:type="dxa" w:w="1728"/>
          </w:tcPr>
          <w:p>
            <w:r>
              <w:t>Includes debt extinguishment gains of$14 million (2021:$nil).</w:t>
            </w:r>
          </w:p>
        </w:tc>
        <w:tc>
          <w:tcPr>
            <w:tcW w:type="dxa" w:w="3456"/>
            <w:gridSpan w:val="2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Geographic Information</w:t>
            </w:r>
          </w:p>
        </w:tc>
        <w:tc>
          <w:tcPr>
            <w:tcW w:type="dxa" w:w="3456"/>
            <w:gridSpan w:val="2"/>
          </w:tcPr>
          <w:p>
            <w:r>
              <w:t>Non-current assets</w:t>
            </w:r>
          </w:p>
        </w:tc>
        <w:tc>
          <w:tcPr>
            <w:tcW w:type="dxa" w:w="3456"/>
            <w:gridSpan w:val="2"/>
          </w:tcPr>
          <w:p>
            <w:r>
              <w:t>Revenue'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As at December 31,2022</w:t>
            </w:r>
          </w:p>
        </w:tc>
        <w:tc>
          <w:tcPr>
            <w:tcW w:type="dxa" w:w="1728"/>
          </w:tcPr>
          <w:p>
            <w:r>
              <w:t>As at December 31,2021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</w:tr>
      <w:tr>
        <w:tc>
          <w:tcPr>
            <w:tcW w:type="dxa" w:w="1728"/>
          </w:tcPr>
          <w:p>
            <w:r>
              <w:t>United States</w:t>
            </w:r>
          </w:p>
        </w:tc>
        <w:tc>
          <w:tcPr>
            <w:tcW w:type="dxa" w:w="1728"/>
          </w:tcPr>
          <w:p>
            <w:r>
              <w:t>$16,518</w:t>
            </w:r>
          </w:p>
        </w:tc>
        <w:tc>
          <w:tcPr>
            <w:tcW w:type="dxa" w:w="1728"/>
          </w:tcPr>
          <w:p>
            <w:r>
              <w:t>$16,355</w:t>
            </w:r>
          </w:p>
        </w:tc>
        <w:tc>
          <w:tcPr>
            <w:tcW w:type="dxa" w:w="1728"/>
          </w:tcPr>
          <w:p>
            <w:r>
              <w:t>$5,573</w:t>
            </w:r>
          </w:p>
        </w:tc>
        <w:tc>
          <w:tcPr>
            <w:tcW w:type="dxa" w:w="1728"/>
          </w:tcPr>
          <w:p>
            <w:r>
              <w:t>$6,134</w:t>
            </w:r>
          </w:p>
        </w:tc>
      </w:tr>
      <w:tr>
        <w:tc>
          <w:tcPr>
            <w:tcW w:type="dxa" w:w="1728"/>
          </w:tcPr>
          <w:p>
            <w:r>
              <w:t>Dominican Republic</w:t>
            </w:r>
          </w:p>
        </w:tc>
        <w:tc>
          <w:tcPr>
            <w:tcW w:type="dxa" w:w="1728"/>
          </w:tcPr>
          <w:p>
            <w:r>
              <w:t>4,874</w:t>
            </w:r>
          </w:p>
        </w:tc>
        <w:tc>
          <w:tcPr>
            <w:tcW w:type="dxa" w:w="1728"/>
          </w:tcPr>
          <w:p>
            <w:r>
              <w:t>4,602</w:t>
            </w:r>
          </w:p>
        </w:tc>
        <w:tc>
          <w:tcPr>
            <w:tcW w:type="dxa" w:w="1728"/>
          </w:tcPr>
          <w:p>
            <w:r>
              <w:t>1,303</w:t>
            </w:r>
          </w:p>
        </w:tc>
        <w:tc>
          <w:tcPr>
            <w:tcW w:type="dxa" w:w="1728"/>
          </w:tcPr>
          <w:p>
            <w:r>
              <w:t>1,514</w:t>
            </w:r>
          </w:p>
        </w:tc>
      </w:tr>
      <w:tr>
        <w:tc>
          <w:tcPr>
            <w:tcW w:type="dxa" w:w="1728"/>
          </w:tcPr>
          <w:p>
            <w:r>
              <w:t>Mali</w:t>
            </w:r>
          </w:p>
        </w:tc>
        <w:tc>
          <w:tcPr>
            <w:tcW w:type="dxa" w:w="1728"/>
          </w:tcPr>
          <w:p>
            <w:r>
              <w:t>3,599</w:t>
            </w:r>
          </w:p>
        </w:tc>
        <w:tc>
          <w:tcPr>
            <w:tcW w:type="dxa" w:w="1728"/>
          </w:tcPr>
          <w:p>
            <w:r>
              <w:t>4,709</w:t>
            </w:r>
          </w:p>
        </w:tc>
        <w:tc>
          <w:tcPr>
            <w:tcW w:type="dxa" w:w="1728"/>
          </w:tcPr>
          <w:p>
            <w:r>
              <w:t>1,236</w:t>
            </w:r>
          </w:p>
        </w:tc>
        <w:tc>
          <w:tcPr>
            <w:tcW w:type="dxa" w:w="1728"/>
          </w:tcPr>
          <w:p>
            <w:r>
              <w:t>1,249</w:t>
            </w:r>
          </w:p>
        </w:tc>
      </w:tr>
      <w:tr>
        <w:tc>
          <w:tcPr>
            <w:tcW w:type="dxa" w:w="1728"/>
          </w:tcPr>
          <w:p>
            <w:r>
              <w:t>Democratic Republic of Congo</w:t>
            </w:r>
          </w:p>
        </w:tc>
        <w:tc>
          <w:tcPr>
            <w:tcW w:type="dxa" w:w="1728"/>
          </w:tcPr>
          <w:p>
            <w:r>
              <w:t>2,659</w:t>
            </w:r>
          </w:p>
        </w:tc>
        <w:tc>
          <w:tcPr>
            <w:tcW w:type="dxa" w:w="1728"/>
          </w:tcPr>
          <w:p>
            <w:r>
              <w:t>3,267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1,957</w:t>
            </w:r>
          </w:p>
        </w:tc>
        <w:tc>
          <w:tcPr>
            <w:tcW w:type="dxa" w:w="1728"/>
          </w:tcPr>
          <w:p>
            <w:r>
              <w:t>1,937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Zambia</w:t>
            </w:r>
          </w:p>
        </w:tc>
        <w:tc>
          <w:tcPr>
            <w:tcW w:type="dxa" w:w="1728"/>
          </w:tcPr>
          <w:p>
            <w:r>
              <w:t>1,930</w:t>
            </w:r>
          </w:p>
        </w:tc>
        <w:tc>
          <w:tcPr>
            <w:tcW w:type="dxa" w:w="1728"/>
          </w:tcPr>
          <w:p>
            <w:r>
              <w:t>1,793</w:t>
            </w:r>
          </w:p>
        </w:tc>
        <w:tc>
          <w:tcPr>
            <w:tcW w:type="dxa" w:w="1728"/>
          </w:tcPr>
          <w:p>
            <w:r>
              <w:t>868</w:t>
            </w:r>
          </w:p>
        </w:tc>
        <w:tc>
          <w:tcPr>
            <w:tcW w:type="dxa" w:w="1728"/>
          </w:tcPr>
          <w:p>
            <w:r>
              <w:t>962</w:t>
            </w:r>
          </w:p>
        </w:tc>
      </w:tr>
      <w:tr>
        <w:tc>
          <w:tcPr>
            <w:tcW w:type="dxa" w:w="1728"/>
          </w:tcPr>
          <w:p>
            <w:r>
              <w:t>Tanzania</w:t>
            </w:r>
          </w:p>
        </w:tc>
        <w:tc>
          <w:tcPr>
            <w:tcW w:type="dxa" w:w="1728"/>
          </w:tcPr>
          <w:p>
            <w:r>
              <w:t>1,914</w:t>
            </w:r>
          </w:p>
        </w:tc>
        <w:tc>
          <w:tcPr>
            <w:tcW w:type="dxa" w:w="1728"/>
          </w:tcPr>
          <w:p>
            <w:r>
              <w:t>1,767</w:t>
            </w:r>
          </w:p>
        </w:tc>
        <w:tc>
          <w:tcPr>
            <w:tcW w:type="dxa" w:w="1728"/>
          </w:tcPr>
          <w:p>
            <w:r>
              <w:t>1,033</w:t>
            </w:r>
          </w:p>
        </w:tc>
        <w:tc>
          <w:tcPr>
            <w:tcW w:type="dxa" w:w="1728"/>
          </w:tcPr>
          <w:p>
            <w:r>
              <w:t>993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1,247</w:t>
            </w:r>
          </w:p>
        </w:tc>
        <w:tc>
          <w:tcPr>
            <w:tcW w:type="dxa" w:w="1728"/>
          </w:tcPr>
          <w:p>
            <w:r>
              <w:t>1,739</w:t>
            </w:r>
          </w:p>
        </w:tc>
        <w:tc>
          <w:tcPr>
            <w:tcW w:type="dxa" w:w="1728"/>
          </w:tcPr>
          <w:p>
            <w:r>
              <w:t>365</w:t>
            </w:r>
          </w:p>
        </w:tc>
        <w:tc>
          <w:tcPr>
            <w:tcW w:type="dxa" w:w="1728"/>
          </w:tcPr>
          <w:p>
            <w:r>
              <w:t>382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507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291</w:t>
            </w:r>
          </w:p>
        </w:tc>
      </w:tr>
      <w:tr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749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>382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Papua New Guinea</w:t>
            </w:r>
          </w:p>
        </w:tc>
        <w:tc>
          <w:tcPr>
            <w:tcW w:type="dxa" w:w="1728"/>
          </w:tcPr>
          <w:p>
            <w:r>
              <w:t>327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Cote d'lvoire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356</w:t>
            </w:r>
          </w:p>
        </w:tc>
        <w:tc>
          <w:tcPr>
            <w:tcW w:type="dxa" w:w="1728"/>
          </w:tcPr>
          <w:p>
            <w:r>
              <w:t>369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91</w:t>
            </w:r>
          </w:p>
        </w:tc>
      </w:tr>
      <w:tr>
        <w:tc>
          <w:tcPr>
            <w:tcW w:type="dxa" w:w="1728"/>
          </w:tcPr>
          <w:p>
            <w:r>
              <w:t>Unallocated</w:t>
            </w:r>
          </w:p>
        </w:tc>
        <w:tc>
          <w:tcPr>
            <w:tcW w:type="dxa" w:w="1728"/>
          </w:tcPr>
          <w:p>
            <w:r>
              <w:t>600</w:t>
            </w:r>
          </w:p>
        </w:tc>
        <w:tc>
          <w:tcPr>
            <w:tcW w:type="dxa" w:w="1728"/>
          </w:tcPr>
          <w:p>
            <w:r>
              <w:t>939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$37,500</w:t>
            </w:r>
          </w:p>
        </w:tc>
        <w:tc>
          <w:tcPr>
            <w:tcW w:type="dxa" w:w="1728"/>
          </w:tcPr>
          <w:p>
            <w:r>
              <w:t>$38,641</w:t>
            </w:r>
          </w:p>
        </w:tc>
        <w:tc>
          <w:tcPr>
            <w:tcW w:type="dxa" w:w="1728"/>
          </w:tcPr>
          <w:p>
            <w:r>
              <w:t>$11,013</w:t>
            </w:r>
          </w:p>
        </w:tc>
        <w:tc>
          <w:tcPr>
            <w:tcW w:type="dxa" w:w="1728"/>
          </w:tcPr>
          <w:p>
            <w:r>
              <w:t>$11,985</w:t>
            </w:r>
          </w:p>
        </w:tc>
      </w:tr>
    </w:tbl>
    <w:p>
      <w:pPr>
        <w:ind w:firstLine="360"/>
      </w:pPr>
      <w:r>
        <w:rPr>
          <w:sz w:val="20"/>
        </w:rPr>
        <w:t xml:space="preserve">eoqraphic location is presented based on the location of the mine from which the product oriqinatec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