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24 - Seqmented information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 Company manages its operations as one business segment over a single network that spans vast geographic distances and territories </w:t>
      </w:r>
      <w:r>
        <w:rPr>
          <w:sz w:val="20"/>
        </w:rPr>
        <w:t xml:space="preserve">with operations in Canada and the U.S.Financial information reported at this level, such as revenues, operating income, and cash flow from </w:t>
      </w:r>
      <w:r>
        <w:rPr>
          <w:sz w:val="20"/>
        </w:rPr>
        <w:t xml:space="preserve">operations,is used by the Company's management, including its chief operating decision-maker, in evaluating financial and operational </w:t>
      </w:r>
      <w:r>
        <w:rPr>
          <w:sz w:val="20"/>
        </w:rPr>
        <w:t xml:space="preserve">performance and allocating resources acrossCN's network. </w:t>
      </w:r>
    </w:p>
    <w:p>
      <w:pPr>
        <w:ind w:firstLine="360"/>
      </w:pPr>
      <w:r>
        <w:rPr>
          <w:sz w:val="20"/>
        </w:rPr>
        <w:t xml:space="preserve">The Company's strategic initiatives,which drive its operational direction, are developed and managed centrally by management and are </w:t>
      </w:r>
      <w:r>
        <w:rPr>
          <w:sz w:val="20"/>
        </w:rPr>
        <w:t xml:space="preserve">communicated to its regional activity centers (the Western Region, Eastern Region and U.S.Region).The Company's management is </w:t>
      </w:r>
      <w:r>
        <w:rPr>
          <w:sz w:val="20"/>
        </w:rPr>
        <w:t xml:space="preserve">esponsible for, among others, CN's marketing strategy, the management of large customer accounts, overall planning and control of </w:t>
      </w:r>
      <w:r>
        <w:rPr>
          <w:sz w:val="20"/>
        </w:rPr>
        <w:t xml:space="preserve">infrastructure and rolling stock, the allocation of resources, and other functions such as financial planning, accounting and treasury </w:t>
      </w:r>
    </w:p>
    <w:p>
      <w:pPr>
        <w:ind w:firstLine="360"/>
      </w:pPr>
      <w:r>
        <w:rPr>
          <w:sz w:val="20"/>
        </w:rPr>
        <w:t xml:space="preserve">The role of each region is to manage the day-to-day service requirements within their respective territories and control direct costs incurred </w:t>
      </w:r>
      <w:r>
        <w:rPr>
          <w:sz w:val="20"/>
        </w:rPr>
        <w:t xml:space="preserve">ocally.Such cost control is required to ensure that pre-established efficiency standards set at the corporate level are met. The regions execute </w:t>
      </w:r>
      <w:r>
        <w:rPr>
          <w:sz w:val="20"/>
        </w:rPr>
        <w:t xml:space="preserve">the overall corporate strategy and operating plan established by the Company's management, as the regions'management of throughput and </w:t>
      </w:r>
      <w:r>
        <w:rPr>
          <w:sz w:val="20"/>
        </w:rPr>
        <w:t xml:space="preserve">control of direct costs does not serve as the platform for the Company's decision-making process.Approximately 94% of the Company's freight </w:t>
      </w:r>
      <w:r>
        <w:rPr>
          <w:sz w:val="20"/>
        </w:rPr>
        <w:t xml:space="preserve">revenues are from national accounts for which freight traffic spans North America and touches various commodity groups.As a result, the </w:t>
      </w:r>
      <w:r>
        <w:rPr>
          <w:sz w:val="20"/>
        </w:rPr>
        <w:t xml:space="preserve">Company does not manage revenues on a regional basis since a large number of the movements originate in one region and pass through and/ </w:t>
      </w:r>
      <w:r>
        <w:rPr>
          <w:sz w:val="20"/>
        </w:rPr>
        <w:t xml:space="preserve">or terminate in another reqion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ns also demonstrate common characteristics in each of the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each region's sole business activity is the transportation of freight over the Company's extensive rail network </w:t>
      </w:r>
      <w:r>
        <w:rPr>
          <w:sz w:val="20"/>
        </w:rPr>
        <w:t xml:space="preserve">the regions service national accounts that extend over the Company's various commodity groups and across its rail network </w:t>
      </w:r>
      <w:r>
        <w:rPr>
          <w:sz w:val="20"/>
        </w:rPr>
        <w:t xml:space="preserve">the services offered by the Company stem predominantly from the transportation of freight by rail with the goal of optimizing the rai </w:t>
      </w:r>
      <w:r>
        <w:rPr>
          <w:sz w:val="20"/>
        </w:rPr>
        <w:t xml:space="preserve">network as a whole;and </w:t>
      </w:r>
      <w:r>
        <w:rPr>
          <w:sz w:val="20"/>
        </w:rPr>
        <w:t xml:space="preserve">the Company and its subsidiaries, not its regions, are subject to regulatory regimes in both Canada and the U.S </w:t>
      </w:r>
      <w:r>
        <w:rPr>
          <w:sz w:val="20"/>
        </w:rPr>
        <w:t xml:space="preserve">For the years ended December 31,2022,2021,and 2020,no major customer accounted for more than 10%0f total revenues and the </w:t>
      </w:r>
      <w:r>
        <w:rPr>
          <w:sz w:val="20"/>
        </w:rPr>
        <w:t xml:space="preserve">largest freight customer represented less than 4% of total annual freight revenues. </w:t>
      </w:r>
    </w:p>
    <w:p>
      <w:pPr>
        <w:ind w:firstLine="360"/>
      </w:pPr>
      <w:r>
        <w:rPr>
          <w:sz w:val="20"/>
        </w:rPr>
        <w:t xml:space="preserve">The following tables provide information by geographic area for the years ended December 31,2022,2021 and2020 a </w:t>
      </w:r>
      <w:r>
        <w:rPr>
          <w:sz w:val="20"/>
        </w:rPr>
        <w:t xml:space="preserve">2022 and 2021: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In millions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In millions</w:t>
            </w:r>
          </w:p>
        </w:tc>
        <w:tc>
          <w:tcPr>
            <w:tcW w:type="dxa" w:w="1080"/>
          </w:tcPr>
          <w:p>
            <w:r>
              <w:t>Year ended December 31,</w:t>
            </w:r>
          </w:p>
        </w:tc>
        <w:tc>
          <w:tcPr>
            <w:tcW w:type="dxa" w:w="3240"/>
            <w:gridSpan w:val="3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</w:tr>
      <w:tr>
        <w:tc>
          <w:tcPr>
            <w:tcW w:type="dxa" w:w="1080"/>
          </w:tcPr>
          <w:p>
            <w:r>
              <w:t>Revenues Canada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11,583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9,955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9,588</w:t>
            </w:r>
          </w:p>
        </w:tc>
      </w:tr>
      <w:tr>
        <w:tc>
          <w:tcPr>
            <w:tcW w:type="dxa" w:w="1080"/>
          </w:tcPr>
          <w:p>
            <w:r>
              <w:t>U.S.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5,524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4,522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4,231</w:t>
            </w:r>
          </w:p>
        </w:tc>
      </w:tr>
      <w:tr>
        <w:tc>
          <w:tcPr>
            <w:tcW w:type="dxa" w:w="1080"/>
          </w:tcPr>
          <w:p>
            <w:r>
              <w:t>Total revenues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17,107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14,477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13,819</w:t>
            </w:r>
          </w:p>
        </w:tc>
      </w:tr>
      <w:tr>
        <w:tc>
          <w:tcPr>
            <w:tcW w:type="dxa" w:w="1080"/>
          </w:tcPr>
          <w:p>
            <w:r>
              <w:t>Net income Canada (1)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3,581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3,603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U.S.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1,537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1,296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2,615 930</w:t>
            </w:r>
          </w:p>
        </w:tc>
      </w:tr>
      <w:tr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Total net income (1)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5,118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4,899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3,545</w:t>
            </w:r>
          </w:p>
        </w:tc>
      </w:tr>
      <w:tr>
        <w:tc>
          <w:tcPr>
            <w:tcW w:type="dxa" w:w="1080"/>
          </w:tcPr>
          <w:p>
            <w:r>
              <w:t>In millions</w:t>
            </w:r>
          </w:p>
        </w:tc>
        <w:tc>
          <w:tcPr>
            <w:tcW w:type="dxa" w:w="1080"/>
          </w:tcPr>
          <w:p>
            <w:r>
              <w:t>December 31,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Properties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Canada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24,069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23,186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U.S.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19,468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17,992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Total properties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43,537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41,178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(1) </w:t>
      </w:r>
      <w:r>
        <w:rPr>
          <w:sz w:val="20"/>
        </w:rPr>
        <w:t xml:space="preserve">See Note 2-Change in accounting policy for additional information </w:t>
      </w:r>
    </w:p>
    <w:p>
      <w:pPr>
        <w:pStyle w:val="Heading1"/>
      </w:pPr>
      <w:r>
        <w:t>25-Subsequent event</w:t>
      </w:r>
    </w:p>
    <w:p>
      <w:pPr>
        <w:pStyle w:val="Heading1"/>
      </w:pPr>
      <w:r>
        <w:t>Normal course issuer bid</w:t>
      </w:r>
    </w:p>
    <w:p>
      <w:pPr>
        <w:ind w:firstLine="360"/>
      </w:pPr>
      <w:r>
        <w:rPr>
          <w:sz w:val="20"/>
        </w:rPr>
        <w:t xml:space="preserve">January 24,2023,the Board of Directors of the Company approved a new NClB,which allows for the repurchase of up t </w:t>
      </w:r>
      <w:r>
        <w:rPr>
          <w:sz w:val="20"/>
        </w:rPr>
        <w:t xml:space="preserve">mon shares between February1,2023 andJanuary 31,2024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