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Thomson Reuters Annual Report 202z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Each segment includes an allocation of costs,based on usage or other applicable measures,for centralized support service </w:t>
      </w:r>
      <w:r>
        <w:rPr>
          <w:sz w:val="20"/>
        </w:rPr>
        <w:t xml:space="preserve">such as technology,customer service, commercial policy,facilities management, and product and content development. </w:t>
      </w:r>
      <w:r>
        <w:rPr>
          <w:sz w:val="20"/>
        </w:rPr>
        <w:t xml:space="preserve">Additionally,product costs are allocated when one segment sells products managed by another segment.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evenues by Classes of Similar Products or Services </w:t>
      </w:r>
    </w:p>
    <w:p>
      <w:pPr>
        <w:ind w:firstLine="360"/>
      </w:pPr>
      <w:r>
        <w:rPr>
          <w:sz w:val="20"/>
        </w:rPr>
        <w:t xml:space="preserve">ne following table sets forth revenues by major type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>Electronic, software &amp; services</w:t>
            </w:r>
          </w:p>
        </w:tc>
        <w:tc>
          <w:tcPr>
            <w:tcW w:type="dxa" w:w="2880"/>
          </w:tcPr>
          <w:p>
            <w:r>
              <w:t>6,035</w:t>
            </w:r>
          </w:p>
        </w:tc>
        <w:tc>
          <w:tcPr>
            <w:tcW w:type="dxa" w:w="2880"/>
          </w:tcPr>
          <w:p>
            <w:r>
              <w:t>5,739</w:t>
            </w:r>
          </w:p>
        </w:tc>
      </w:tr>
      <w:tr>
        <w:tc>
          <w:tcPr>
            <w:tcW w:type="dxa" w:w="2880"/>
          </w:tcPr>
          <w:p>
            <w:r>
              <w:t>Global Print</w:t>
            </w:r>
          </w:p>
        </w:tc>
        <w:tc>
          <w:tcPr>
            <w:tcW w:type="dxa" w:w="2880"/>
          </w:tcPr>
          <w:p>
            <w:r>
              <w:t>592</w:t>
            </w:r>
          </w:p>
        </w:tc>
        <w:tc>
          <w:tcPr>
            <w:tcW w:type="dxa" w:w="2880"/>
          </w:tcPr>
          <w:p>
            <w:r>
              <w:t>609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6,627</w:t>
            </w:r>
          </w:p>
        </w:tc>
        <w:tc>
          <w:tcPr>
            <w:tcW w:type="dxa" w:w="2880"/>
          </w:tcPr>
          <w:p>
            <w:r>
              <w:t>6,348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Geographic Information</w:t>
            </w:r>
          </w:p>
        </w:tc>
        <w:tc>
          <w:tcPr>
            <w:tcW w:type="dxa" w:w="5760"/>
            <w:gridSpan w:val="2"/>
          </w:tcPr>
          <w:p>
            <w:r>
              <w:t>Non-Current Assets(1)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5760"/>
            <w:gridSpan w:val="2"/>
          </w:tcPr>
          <w:p>
            <w:r>
              <w:t>December 31,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20212)</w:t>
            </w:r>
          </w:p>
        </w:tc>
      </w:tr>
      <w:tr>
        <w:tc>
          <w:tcPr>
            <w:tcW w:type="dxa" w:w="2880"/>
          </w:tcPr>
          <w:p>
            <w:r>
              <w:t>U.S.</w:t>
            </w:r>
          </w:p>
        </w:tc>
        <w:tc>
          <w:tcPr>
            <w:tcW w:type="dxa" w:w="2880"/>
          </w:tcPr>
          <w:p>
            <w:r>
              <w:t>12,141</w:t>
            </w:r>
          </w:p>
        </w:tc>
        <w:tc>
          <w:tcPr>
            <w:tcW w:type="dxa" w:w="2880"/>
          </w:tcPr>
          <w:p>
            <w:r>
              <w:t>12,717</w:t>
            </w:r>
          </w:p>
        </w:tc>
      </w:tr>
      <w:tr>
        <w:tc>
          <w:tcPr>
            <w:tcW w:type="dxa" w:w="2880"/>
          </w:tcPr>
          <w:p>
            <w:r>
              <w:t>Canada (country of domicile)</w:t>
            </w:r>
          </w:p>
        </w:tc>
        <w:tc>
          <w:tcPr>
            <w:tcW w:type="dxa" w:w="2880"/>
          </w:tcPr>
          <w:p>
            <w:r>
              <w:t>1,048</w:t>
            </w:r>
          </w:p>
        </w:tc>
        <w:tc>
          <w:tcPr>
            <w:tcW w:type="dxa" w:w="2880"/>
          </w:tcPr>
          <w:p>
            <w:r>
              <w:t>1,047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174</w:t>
            </w:r>
          </w:p>
        </w:tc>
      </w:tr>
      <w:tr>
        <w:tc>
          <w:tcPr>
            <w:tcW w:type="dxa" w:w="2880"/>
          </w:tcPr>
          <w:p>
            <w:r>
              <w:t>Americas (North America, Latin America, South America)</w:t>
            </w:r>
          </w:p>
        </w:tc>
        <w:tc>
          <w:tcPr>
            <w:tcW w:type="dxa" w:w="2880"/>
          </w:tcPr>
          <w:p>
            <w:r>
              <w:t>13,375</w:t>
            </w:r>
          </w:p>
        </w:tc>
        <w:tc>
          <w:tcPr>
            <w:tcW w:type="dxa" w:w="2880"/>
          </w:tcPr>
          <w:p>
            <w:r>
              <w:t>13,938</w:t>
            </w:r>
          </w:p>
        </w:tc>
      </w:tr>
      <w:tr>
        <w:tc>
          <w:tcPr>
            <w:tcW w:type="dxa" w:w="2880"/>
          </w:tcPr>
          <w:p>
            <w:r>
              <w:t>Switzerland</w:t>
            </w:r>
          </w:p>
        </w:tc>
        <w:tc>
          <w:tcPr>
            <w:tcW w:type="dxa" w:w="2880"/>
          </w:tcPr>
          <w:p>
            <w:r>
              <w:t>2,000</w:t>
            </w:r>
          </w:p>
        </w:tc>
        <w:tc>
          <w:tcPr>
            <w:tcW w:type="dxa" w:w="2880"/>
          </w:tcPr>
          <w:p>
            <w:r>
              <w:t>1,908</w:t>
            </w:r>
          </w:p>
        </w:tc>
      </w:tr>
      <w:tr>
        <w:tc>
          <w:tcPr>
            <w:tcW w:type="dxa" w:w="2880"/>
          </w:tcPr>
          <w:p>
            <w:r>
              <w:t>U.K.</w:t>
            </w:r>
          </w:p>
        </w:tc>
        <w:tc>
          <w:tcPr>
            <w:tcW w:type="dxa" w:w="2880"/>
          </w:tcPr>
          <w:p>
            <w:r>
              <w:t>1,241</w:t>
            </w:r>
          </w:p>
        </w:tc>
        <w:tc>
          <w:tcPr>
            <w:tcW w:type="dxa" w:w="2880"/>
          </w:tcPr>
          <w:p>
            <w:r>
              <w:t>1,454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EMEA (Europe, Middle East and Africa)</w:t>
            </w:r>
          </w:p>
        </w:tc>
        <w:tc>
          <w:tcPr>
            <w:tcW w:type="dxa" w:w="2880"/>
          </w:tcPr>
          <w:p>
            <w:r>
              <w:t>3,283</w:t>
            </w:r>
          </w:p>
        </w:tc>
        <w:tc>
          <w:tcPr>
            <w:tcW w:type="dxa" w:w="2880"/>
          </w:tcPr>
          <w:p>
            <w:r>
              <w:t>3,405</w:t>
            </w:r>
          </w:p>
        </w:tc>
      </w:tr>
      <w:tr>
        <w:tc>
          <w:tcPr>
            <w:tcW w:type="dxa" w:w="2880"/>
          </w:tcPr>
          <w:p>
            <w:r>
              <w:t>Asia Pacific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125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16,774</w:t>
            </w:r>
          </w:p>
        </w:tc>
        <w:tc>
          <w:tcPr>
            <w:tcW w:type="dxa" w:w="2880"/>
          </w:tcPr>
          <w:p>
            <w:r>
              <w:t>17,468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</w:tcPr>
          <w:p>
            <w:r>
              <w:t xml:space="preserve"> </w:t>
            </w:r>
          </w:p>
        </w:tc>
        <w:tc>
          <w:tcPr>
            <w:tcW w:type="dxa" w:w="2880"/>
            <w:gridSpan w:val="2"/>
          </w:tcPr>
          <w:p>
            <w:r>
              <w:t>(1) Non-current assets are primarily comprised of property and equipment, computer software, other identifiable intangible assets,goodwill and investments in equity</w:t>
            </w:r>
          </w:p>
        </w:tc>
        <w:tc>
          <w:tcPr>
            <w:tcW w:type="dxa" w:w="2880"/>
            <w:gridSpan w:val="2"/>
          </w:tcPr>
          <w:p>
            <w:r>
              <w:t xml:space="preserve"> </w:t>
            </w:r>
          </w:p>
        </w:tc>
      </w:tr>
      <w:tr>
        <w:tc>
          <w:tcPr>
            <w:tcW w:type="dxa" w:w="2880"/>
            <w:gridSpan w:val="2"/>
          </w:tcPr>
          <w:p>
            <w:r>
              <w:t>method investees.</w:t>
            </w:r>
          </w:p>
        </w:tc>
        <w:tc>
          <w:tcPr>
            <w:tcW w:type="dxa" w:w="2880"/>
            <w:gridSpan w:val="2"/>
          </w:tcPr>
          <w:p>
            <w:r>
              <w:t xml:space="preserve"> </w:t>
            </w:r>
          </w:p>
        </w:tc>
        <w:tc>
          <w:tcPr>
            <w:tcW w:type="dxa" w:w="2880"/>
            <w:gridSpan w:val="2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(2) Amounts have been reclassified to reflect the current presentation.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2880"/>
            <w:gridSpan w:val="2"/>
          </w:tcPr>
          <w:p>
            <w:r>
              <w:t xml:space="preserve"> </w:t>
            </w:r>
          </w:p>
        </w:tc>
        <w:tc>
          <w:tcPr>
            <w:tcW w:type="dxa" w:w="2880"/>
            <w:gridSpan w:val="2"/>
          </w:tcPr>
          <w:p>
            <w:r>
              <w:t xml:space="preserve"> 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Note 5:Operating Expenses</w:t>
      </w:r>
    </w:p>
    <w:p>
      <w:pPr>
        <w:ind w:firstLine="360"/>
      </w:pPr>
      <w:r>
        <w:rPr>
          <w:sz w:val="20"/>
        </w:rPr>
        <w:t xml:space="preserve">ne components of operating expenses include the foll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>Salaries,commissions and allowances</w:t>
            </w:r>
          </w:p>
        </w:tc>
        <w:tc>
          <w:tcPr>
            <w:tcW w:type="dxa" w:w="2880"/>
          </w:tcPr>
          <w:p>
            <w:r>
              <w:t>2,408</w:t>
            </w:r>
          </w:p>
        </w:tc>
        <w:tc>
          <w:tcPr>
            <w:tcW w:type="dxa" w:w="2880"/>
          </w:tcPr>
          <w:p>
            <w:r>
              <w:t>2,478</w:t>
            </w:r>
          </w:p>
        </w:tc>
      </w:tr>
      <w:tr>
        <w:tc>
          <w:tcPr>
            <w:tcW w:type="dxa" w:w="2880"/>
          </w:tcPr>
          <w:p>
            <w:r>
              <w:t>Share-based payments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Post-employment benefits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144</w:t>
            </w:r>
          </w:p>
        </w:tc>
      </w:tr>
      <w:tr>
        <w:tc>
          <w:tcPr>
            <w:tcW w:type="dxa" w:w="2880"/>
          </w:tcPr>
          <w:p>
            <w:r>
              <w:t>Total staff costs</w:t>
            </w:r>
          </w:p>
        </w:tc>
        <w:tc>
          <w:tcPr>
            <w:tcW w:type="dxa" w:w="2880"/>
          </w:tcPr>
          <w:p>
            <w:r>
              <w:t>2,636</w:t>
            </w:r>
          </w:p>
        </w:tc>
        <w:tc>
          <w:tcPr>
            <w:tcW w:type="dxa" w:w="2880"/>
          </w:tcPr>
          <w:p>
            <w:r>
              <w:t>2,698</w:t>
            </w:r>
          </w:p>
        </w:tc>
      </w:tr>
      <w:tr>
        <w:tc>
          <w:tcPr>
            <w:tcW w:type="dxa" w:w="2880"/>
          </w:tcPr>
          <w:p>
            <w:r>
              <w:t>Goods and services(1)</w:t>
            </w:r>
          </w:p>
        </w:tc>
        <w:tc>
          <w:tcPr>
            <w:tcW w:type="dxa" w:w="2880"/>
          </w:tcPr>
          <w:p>
            <w:r>
              <w:t>1,316</w:t>
            </w:r>
          </w:p>
        </w:tc>
        <w:tc>
          <w:tcPr>
            <w:tcW w:type="dxa" w:w="2880"/>
          </w:tcPr>
          <w:p>
            <w:r>
              <w:t>1,306</w:t>
            </w:r>
          </w:p>
        </w:tc>
      </w:tr>
      <w:tr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276</w:t>
            </w:r>
          </w:p>
        </w:tc>
      </w:tr>
      <w:tr>
        <w:tc>
          <w:tcPr>
            <w:tcW w:type="dxa" w:w="2880"/>
          </w:tcPr>
          <w:p>
            <w:r>
              <w:t>Telecommunicationse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Facilities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Fair value adjustments(2)</w:t>
            </w:r>
          </w:p>
        </w:tc>
        <w:tc>
          <w:tcPr>
            <w:tcW w:type="dxa" w:w="2880"/>
          </w:tcPr>
          <w:p>
            <w:r>
              <w:t>(19)</w:t>
            </w:r>
          </w:p>
        </w:tc>
        <w:tc>
          <w:tcPr>
            <w:tcW w:type="dxa" w:w="2880"/>
          </w:tcPr>
          <w:p>
            <w:r>
              <w:t>(8)</w:t>
            </w:r>
          </w:p>
        </w:tc>
      </w:tr>
      <w:tr>
        <w:tc>
          <w:tcPr>
            <w:tcW w:type="dxa" w:w="2880"/>
          </w:tcPr>
          <w:p>
            <w:r>
              <w:t>Total operating expenses</w:t>
            </w:r>
          </w:p>
        </w:tc>
        <w:tc>
          <w:tcPr>
            <w:tcW w:type="dxa" w:w="2880"/>
          </w:tcPr>
          <w:p>
            <w:r>
              <w:t>4,280</w:t>
            </w:r>
          </w:p>
        </w:tc>
        <w:tc>
          <w:tcPr>
            <w:tcW w:type="dxa" w:w="2880"/>
          </w:tcPr>
          <w:p>
            <w:r>
              <w:t>4,370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id services include professional fees, consulting and outsourcing services, contractors, selling and marketing, and other general and administr </w:t>
      </w:r>
      <w:r>
        <w:rPr>
          <w:sz w:val="20"/>
        </w:rPr>
        <w:t xml:space="preserve">e adjustments primarily represent gains or losses on intercompany balances that arise in the ordinary course of business due to changes in for </w:t>
      </w:r>
      <w:r>
        <w:rPr>
          <w:sz w:val="20"/>
        </w:rPr>
        <w:t xml:space="preserve">teS.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