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The Company has operated primarily in one principal business during the year, that being the selling, servicing, and </w:t>
      </w:r>
      <w:r>
        <w:rPr>
          <w:sz w:val="20"/>
        </w:rPr>
        <w:t xml:space="preserve">renting of heavy equipment, engines, and related products </w:t>
      </w:r>
    </w:p>
    <w:p>
      <w:pPr>
        <w:ind w:firstLine="360"/>
      </w:pPr>
      <w:r>
        <w:rPr>
          <w:sz w:val="20"/>
        </w:rPr>
        <w:t xml:space="preserve">[hereportable seaments.which are the same as the Compa </w:t>
      </w:r>
    </w:p>
    <w:p>
      <w:pPr>
        <w:ind w:firstLine="360"/>
      </w:pPr>
      <w:r>
        <w:rPr>
          <w:sz w:val="20"/>
        </w:rPr>
        <w:t xml:space="preserve">Canadian operations:dealership territories in British Columbia.Alberta.Saskatchewan.the Yukon territory.the </w:t>
      </w:r>
      <w:r>
        <w:rPr>
          <w:sz w:val="20"/>
        </w:rPr>
        <w:t xml:space="preserve">Northwest Territories, and a portion of Nunavut and mobile on-site refuelling services in most of the provinces of </w:t>
      </w:r>
      <w:r>
        <w:rPr>
          <w:sz w:val="20"/>
        </w:rPr>
        <w:t xml:space="preserve">Canada,as well as in Texas,US </w:t>
      </w:r>
      <w:r>
        <w:rPr>
          <w:sz w:val="20"/>
        </w:rPr>
        <w:t xml:space="preserve">South American operations:Chile,Argentina, and Bolivia </w:t>
      </w:r>
      <w:r>
        <w:rPr>
          <w:sz w:val="20"/>
        </w:rPr>
        <w:t xml:space="preserve">UK &amp; Ireland operations:England,Scotland,Wales, Northern Ireland,and the Republic of Ireland. </w:t>
      </w:r>
      <w:r>
        <w:rPr>
          <w:sz w:val="20"/>
        </w:rPr>
        <w:t xml:space="preserve">Other: corporate head office. </w:t>
      </w:r>
    </w:p>
    <w:p>
      <w:pPr>
        <w:ind w:firstLine="360"/>
      </w:pPr>
      <w:r>
        <w:rPr>
          <w:sz w:val="20"/>
        </w:rPr>
        <w:t xml:space="preserve">Information reported to the chief operating decision maker (CODM) for the purposes of resource allocation and </w:t>
      </w:r>
      <w:r>
        <w:rPr>
          <w:sz w:val="20"/>
        </w:rPr>
        <w:t xml:space="preserve">assessment of segment performance primarily focuses on the territories in which the Company operates.The </w:t>
      </w:r>
      <w:r>
        <w:rPr>
          <w:sz w:val="20"/>
        </w:rPr>
        <w:t xml:space="preserve">CODM considers earnings before finance costs and income taxes as the primary measure of segment profit and </w:t>
      </w:r>
      <w:r>
        <w:rPr>
          <w:sz w:val="20"/>
        </w:rPr>
        <w:t xml:space="preserve">loss.In the prior year, earnings before finance costs,income taxes,depreciation and amortization (EBlTDA) was </w:t>
      </w:r>
      <w:r>
        <w:rPr>
          <w:sz w:val="20"/>
        </w:rPr>
        <w:t xml:space="preserve">considered the primary measure. The Company considers net revenue (calculated as total revenue less cost of fuel). </w:t>
      </w:r>
      <w:r>
        <w:rPr>
          <w:sz w:val="20"/>
        </w:rPr>
        <w:t xml:space="preserve">as more representative than total revenue in assessing business performance as the cost of fuel is not in the </w:t>
      </w:r>
      <w:r>
        <w:rPr>
          <w:sz w:val="20"/>
        </w:rPr>
        <w:t xml:space="preserve">Company's control and is fully passed through to the customer.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Year ended December 31, 2022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South</w:t>
            </w:r>
          </w:p>
        </w:tc>
        <w:tc>
          <w:tcPr>
            <w:tcW w:type="dxa" w:w="1440"/>
          </w:tcPr>
          <w:p>
            <w:r>
              <w:t>UK&amp;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($ millions)</w:t>
            </w:r>
          </w:p>
        </w:tc>
        <w:tc>
          <w:tcPr>
            <w:tcW w:type="dxa" w:w="1440"/>
          </w:tcPr>
          <w:p>
            <w:r>
              <w:t>Canada America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Other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</w:tr>
      <w:tr>
        <w:tc>
          <w:tcPr>
            <w:tcW w:type="dxa" w:w="8640"/>
            <w:gridSpan w:val="6"/>
          </w:tcPr>
          <w:p>
            <w:r>
              <w:t>Revenue</w:t>
            </w:r>
          </w:p>
        </w:tc>
      </w:tr>
      <w:tr>
        <w:tc>
          <w:tcPr>
            <w:tcW w:type="dxa" w:w="1440"/>
          </w:tcPr>
          <w:p>
            <w:r>
              <w:t>New equipment</w:t>
            </w:r>
          </w:p>
        </w:tc>
        <w:tc>
          <w:tcPr>
            <w:tcW w:type="dxa" w:w="1440"/>
          </w:tcPr>
          <w:p>
            <w:r>
              <w:t>1,001</w:t>
            </w:r>
          </w:p>
        </w:tc>
        <w:tc>
          <w:tcPr>
            <w:tcW w:type="dxa" w:w="1440"/>
          </w:tcPr>
          <w:p>
            <w:r>
              <w:t>926</w:t>
            </w:r>
          </w:p>
        </w:tc>
        <w:tc>
          <w:tcPr>
            <w:tcW w:type="dxa" w:w="1440"/>
          </w:tcPr>
          <w:p>
            <w:r>
              <w:t>866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2,793</w:t>
            </w:r>
          </w:p>
        </w:tc>
      </w:tr>
      <w:tr>
        <w:tc>
          <w:tcPr>
            <w:tcW w:type="dxa" w:w="1440"/>
          </w:tcPr>
          <w:p>
            <w:r>
              <w:t>Used equipment</w:t>
            </w:r>
          </w:p>
        </w:tc>
        <w:tc>
          <w:tcPr>
            <w:tcW w:type="dxa" w:w="1440"/>
          </w:tcPr>
          <w:p>
            <w:r>
              <w:t>259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352</w:t>
            </w:r>
          </w:p>
        </w:tc>
      </w:tr>
      <w:tr>
        <w:tc>
          <w:tcPr>
            <w:tcW w:type="dxa" w:w="1440"/>
          </w:tcPr>
          <w:p>
            <w:r>
              <w:t>Equipment rental</w:t>
            </w:r>
          </w:p>
        </w:tc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297</w:t>
            </w:r>
          </w:p>
        </w:tc>
      </w:tr>
      <w:tr>
        <w:tc>
          <w:tcPr>
            <w:tcW w:type="dxa" w:w="1440"/>
          </w:tcPr>
          <w:p>
            <w:r>
              <w:t>Product support</w:t>
            </w:r>
          </w:p>
        </w:tc>
        <w:tc>
          <w:tcPr>
            <w:tcW w:type="dxa" w:w="1440"/>
          </w:tcPr>
          <w:p>
            <w:r>
              <w:t>2,517</w:t>
            </w:r>
          </w:p>
        </w:tc>
        <w:tc>
          <w:tcPr>
            <w:tcW w:type="dxa" w:w="1440"/>
          </w:tcPr>
          <w:p>
            <w:r>
              <w:t>1,717</w:t>
            </w:r>
          </w:p>
        </w:tc>
        <w:tc>
          <w:tcPr>
            <w:tcW w:type="dxa" w:w="1440"/>
          </w:tcPr>
          <w:p>
            <w:r>
              <w:t>372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4,606</w:t>
            </w:r>
          </w:p>
        </w:tc>
      </w:tr>
      <w:tr>
        <w:tc>
          <w:tcPr>
            <w:tcW w:type="dxa" w:w="1440"/>
          </w:tcPr>
          <w:p>
            <w:r>
              <w:t>Fuel and other.</w:t>
            </w:r>
          </w:p>
        </w:tc>
        <w:tc>
          <w:tcPr>
            <w:tcW w:type="dxa" w:w="1440"/>
          </w:tcPr>
          <w:p>
            <w:r>
              <w:t>1,231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1,231</w:t>
            </w:r>
          </w:p>
        </w:tc>
      </w:tr>
      <w:tr>
        <w:tc>
          <w:tcPr>
            <w:tcW w:type="dxa" w:w="1440"/>
          </w:tcPr>
          <w:p>
            <w:r>
              <w:t>Total revenue</w:t>
            </w:r>
          </w:p>
        </w:tc>
        <w:tc>
          <w:tcPr>
            <w:tcW w:type="dxa" w:w="1440"/>
          </w:tcPr>
          <w:p>
            <w:r>
              <w:t>5,200</w:t>
            </w:r>
          </w:p>
        </w:tc>
        <w:tc>
          <w:tcPr>
            <w:tcW w:type="dxa" w:w="1440"/>
          </w:tcPr>
          <w:p>
            <w:r>
              <w:t>2,740</w:t>
            </w:r>
          </w:p>
        </w:tc>
        <w:tc>
          <w:tcPr>
            <w:tcW w:type="dxa" w:w="1440"/>
          </w:tcPr>
          <w:p>
            <w:r>
              <w:t>1,339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9,279</w:t>
            </w:r>
          </w:p>
        </w:tc>
      </w:tr>
      <w:tr>
        <w:tc>
          <w:tcPr>
            <w:tcW w:type="dxa" w:w="1440"/>
          </w:tcPr>
          <w:p>
            <w:r>
              <w:t>Cost of fuel</w:t>
            </w:r>
          </w:p>
        </w:tc>
        <w:tc>
          <w:tcPr>
            <w:tcW w:type="dxa" w:w="1440"/>
          </w:tcPr>
          <w:p>
            <w:r>
              <w:t>(1,064)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(1,064)</w:t>
            </w:r>
          </w:p>
        </w:tc>
      </w:tr>
      <w:tr>
        <w:tc>
          <w:tcPr>
            <w:tcW w:type="dxa" w:w="1440"/>
          </w:tcPr>
          <w:p>
            <w:r>
              <w:t>Net revenue</w:t>
            </w:r>
          </w:p>
        </w:tc>
        <w:tc>
          <w:tcPr>
            <w:tcW w:type="dxa" w:w="1440"/>
          </w:tcPr>
          <w:p>
            <w:r>
              <w:t>4,136</w:t>
            </w:r>
          </w:p>
        </w:tc>
        <w:tc>
          <w:tcPr>
            <w:tcW w:type="dxa" w:w="1440"/>
          </w:tcPr>
          <w:p>
            <w:r>
              <w:t>2,740</w:t>
            </w:r>
          </w:p>
        </w:tc>
        <w:tc>
          <w:tcPr>
            <w:tcW w:type="dxa" w:w="1440"/>
          </w:tcPr>
          <w:p>
            <w:r>
              <w:t>1,339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8,215</w:t>
            </w:r>
          </w:p>
        </w:tc>
      </w:tr>
      <w:tr>
        <w:tc>
          <w:tcPr>
            <w:tcW w:type="dxa" w:w="1440"/>
          </w:tcPr>
          <w:p>
            <w:r>
              <w:t>Operating costs (1)</w:t>
            </w:r>
          </w:p>
        </w:tc>
        <w:tc>
          <w:tcPr>
            <w:tcW w:type="dxa" w:w="1440"/>
          </w:tcPr>
          <w:p>
            <w:r>
              <w:t>(3,513)</w:t>
            </w:r>
          </w:p>
        </w:tc>
        <w:tc>
          <w:tcPr>
            <w:tcW w:type="dxa" w:w="1440"/>
          </w:tcPr>
          <w:p>
            <w:r>
              <w:t>(2,333)</w:t>
            </w:r>
          </w:p>
        </w:tc>
        <w:tc>
          <w:tcPr>
            <w:tcW w:type="dxa" w:w="1440"/>
          </w:tcPr>
          <w:p>
            <w:r>
              <w:t>(1,224)</w:t>
            </w:r>
          </w:p>
        </w:tc>
        <w:tc>
          <w:tcPr>
            <w:tcW w:type="dxa" w:w="1440"/>
          </w:tcPr>
          <w:p>
            <w:r>
              <w:t>(47)</w:t>
            </w:r>
          </w:p>
        </w:tc>
        <w:tc>
          <w:tcPr>
            <w:tcW w:type="dxa" w:w="1440"/>
          </w:tcPr>
          <w:p>
            <w:r>
              <w:t>(7,117)</w:t>
            </w:r>
          </w:p>
        </w:tc>
      </w:tr>
      <w:tr>
        <w:tc>
          <w:tcPr>
            <w:tcW w:type="dxa" w:w="1440"/>
          </w:tcPr>
          <w:p>
            <w:r>
              <w:t>Depreciation and amortization</w:t>
            </w:r>
          </w:p>
        </w:tc>
        <w:tc>
          <w:tcPr>
            <w:tcW w:type="dxa" w:w="1440"/>
          </w:tcPr>
          <w:p>
            <w:r>
              <w:t>(191)</w:t>
            </w:r>
          </w:p>
        </w:tc>
        <w:tc>
          <w:tcPr>
            <w:tcW w:type="dxa" w:w="1440"/>
          </w:tcPr>
          <w:p>
            <w:r>
              <w:t>(97)</w:t>
            </w:r>
          </w:p>
        </w:tc>
        <w:tc>
          <w:tcPr>
            <w:tcW w:type="dxa" w:w="1440"/>
          </w:tcPr>
          <w:p>
            <w:r>
              <w:t>(41)</w:t>
            </w:r>
          </w:p>
        </w:tc>
        <w:tc>
          <w:tcPr>
            <w:tcW w:type="dxa" w:w="1440"/>
          </w:tcPr>
          <w:p>
            <w:r>
              <w:t>(4)</w:t>
            </w:r>
          </w:p>
        </w:tc>
        <w:tc>
          <w:tcPr>
            <w:tcW w:type="dxa" w:w="1440"/>
          </w:tcPr>
          <w:p>
            <w:r>
              <w:t>(333)</w:t>
            </w:r>
          </w:p>
        </w:tc>
      </w:tr>
      <w:tr>
        <w:tc>
          <w:tcPr>
            <w:tcW w:type="dxa" w:w="1440"/>
          </w:tcPr>
          <w:p>
            <w:r>
              <w:t>Equity earnings of joint ventures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Earnings (loss) before finance costs and income taxes</w:t>
            </w:r>
          </w:p>
        </w:tc>
        <w:tc>
          <w:tcPr>
            <w:tcW w:type="dxa" w:w="1440"/>
          </w:tcPr>
          <w:p>
            <w:r>
              <w:t>435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(51)</w:t>
            </w:r>
          </w:p>
        </w:tc>
        <w:tc>
          <w:tcPr>
            <w:tcW w:type="dxa" w:w="1440"/>
          </w:tcPr>
          <w:p>
            <w:r>
              <w:t>768</w:t>
            </w:r>
          </w:p>
        </w:tc>
      </w:tr>
      <w:tr>
        <w:tc>
          <w:tcPr>
            <w:tcW w:type="dxa" w:w="1440"/>
          </w:tcPr>
          <w:p>
            <w:r>
              <w:t>Finance costs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(95)</w:t>
            </w:r>
          </w:p>
        </w:tc>
      </w:tr>
      <w:tr>
        <w:tc>
          <w:tcPr>
            <w:tcW w:type="dxa" w:w="1440"/>
          </w:tcPr>
          <w:p>
            <w:r>
              <w:t>Provision for income taxes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(172)</w:t>
            </w:r>
          </w:p>
        </w:tc>
      </w:tr>
      <w:tr>
        <w:tc>
          <w:tcPr>
            <w:tcW w:type="dxa" w:w="8640"/>
            <w:gridSpan w:val="6"/>
          </w:tcPr>
          <w:p>
            <w:r>
              <w:t>Net income</w:t>
            </w:r>
          </w:p>
        </w:tc>
      </w:tr>
      <w:tr>
        <w:tc>
          <w:tcPr>
            <w:tcW w:type="dxa" w:w="1440"/>
          </w:tcPr>
          <w:p>
            <w:r>
              <w:t>Invested capital (2)</w:t>
            </w:r>
          </w:p>
        </w:tc>
        <w:tc>
          <w:tcPr>
            <w:tcW w:type="dxa" w:w="1440"/>
          </w:tcPr>
          <w:p>
            <w:r>
              <w:t>2,447</w:t>
            </w:r>
          </w:p>
        </w:tc>
        <w:tc>
          <w:tcPr>
            <w:tcW w:type="dxa" w:w="1440"/>
          </w:tcPr>
          <w:p>
            <w:r>
              <w:t>1,281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501 4,170</w:t>
            </w:r>
          </w:p>
        </w:tc>
      </w:tr>
      <w:tr>
        <w:tc>
          <w:tcPr>
            <w:tcW w:type="dxa" w:w="1440"/>
          </w:tcPr>
          <w:p>
            <w:r>
              <w:t>Gross capital expenditures (3X4)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242</w:t>
            </w:r>
          </w:p>
        </w:tc>
      </w:tr>
      <w:tr>
        <w:tc>
          <w:tcPr>
            <w:tcW w:type="dxa" w:w="1440"/>
          </w:tcPr>
          <w:p>
            <w:r>
              <w:t>Gross rental equipment spend (4)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241</w:t>
            </w:r>
          </w:p>
        </w:tc>
      </w:tr>
    </w:tbl>
    <w:p>
      <w:pPr>
        <w:ind w:firstLine="360"/>
      </w:pPr>
      <w:r>
        <w:rPr>
          <w:sz w:val="20"/>
        </w:rPr>
        <w:t xml:space="preserve">Operating costs are calculated as cost of sales less cost of fuel plus selling, general, and administrative expenses less </w:t>
      </w:r>
      <w:r>
        <w:rPr>
          <w:sz w:val="20"/>
        </w:rPr>
        <w:t xml:space="preserve">depreciation and amortization. </w:t>
      </w:r>
      <w:r>
        <w:rPr>
          <w:sz w:val="20"/>
        </w:rPr>
        <w:t xml:space="preserve">2 </w:t>
      </w:r>
      <w:r>
        <w:rPr>
          <w:sz w:val="20"/>
        </w:rPr>
        <w:t xml:space="preserve">Invested capital is calculated as total assets less total liabilities, excluding net debt. Net debt is calculated as short-term deb </w:t>
      </w:r>
      <w:r>
        <w:rPr>
          <w:sz w:val="20"/>
        </w:rPr>
        <w:t xml:space="preserve">and long-term debt, net of cash and cash equivalents. </w:t>
      </w:r>
      <w:r>
        <w:rPr>
          <w:sz w:val="20"/>
        </w:rPr>
        <w:t xml:space="preserve">3) </w:t>
      </w:r>
      <w:r>
        <w:rPr>
          <w:sz w:val="20"/>
        </w:rPr>
        <w:t xml:space="preserve">Capital includes property,plant, and equipment and intangible assets. </w:t>
      </w:r>
      <w:r>
        <w:rPr>
          <w:sz w:val="20"/>
        </w:rPr>
        <w:t xml:space="preserve">4) </w:t>
      </w:r>
      <w:r>
        <w:rPr>
          <w:sz w:val="20"/>
        </w:rPr>
        <w:t xml:space="preserve">Includes leases and borrowing costs capitalized and excludes additions through business acquisitions.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