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Year ended December 31,2021 ($ millions)</w:t>
            </w:r>
          </w:p>
        </w:tc>
        <w:tc>
          <w:tcPr>
            <w:tcW w:type="dxa" w:w="1440"/>
          </w:tcPr>
          <w:p>
            <w:r>
              <w:t>Canada</w:t>
            </w:r>
          </w:p>
        </w:tc>
        <w:tc>
          <w:tcPr>
            <w:tcW w:type="dxa" w:w="1440"/>
          </w:tcPr>
          <w:p>
            <w:r>
              <w:t>South America</w:t>
            </w:r>
          </w:p>
        </w:tc>
        <w:tc>
          <w:tcPr>
            <w:tcW w:type="dxa" w:w="1440"/>
          </w:tcPr>
          <w:p>
            <w:r>
              <w:t>UK&amp; Ireland</w:t>
            </w:r>
          </w:p>
        </w:tc>
        <w:tc>
          <w:tcPr>
            <w:tcW w:type="dxa" w:w="1440"/>
          </w:tcPr>
          <w:p>
            <w:r>
              <w:t>Other</w:t>
            </w:r>
          </w:p>
        </w:tc>
        <w:tc>
          <w:tcPr>
            <w:tcW w:type="dxa" w:w="1440"/>
          </w:tcPr>
          <w:p>
            <w:r>
              <w:t>Total</w:t>
            </w:r>
          </w:p>
        </w:tc>
      </w:tr>
      <w:tr>
        <w:tc>
          <w:tcPr>
            <w:tcW w:type="dxa" w:w="8640"/>
            <w:gridSpan w:val="6"/>
          </w:tcPr>
          <w:p>
            <w:r>
              <w:t>Revenue</w:t>
            </w:r>
          </w:p>
        </w:tc>
      </w:tr>
      <w:tr>
        <w:tc>
          <w:tcPr>
            <w:tcW w:type="dxa" w:w="1440"/>
          </w:tcPr>
          <w:p>
            <w:r>
              <w:t>New equipment</w:t>
            </w:r>
          </w:p>
        </w:tc>
        <w:tc>
          <w:tcPr>
            <w:tcW w:type="dxa" w:w="1440"/>
          </w:tcPr>
          <w:p>
            <w:r>
              <w:t>774</w:t>
            </w:r>
          </w:p>
        </w:tc>
        <w:tc>
          <w:tcPr>
            <w:tcW w:type="dxa" w:w="1440"/>
          </w:tcPr>
          <w:p>
            <w:r>
              <w:t>711</w:t>
            </w:r>
          </w:p>
        </w:tc>
        <w:tc>
          <w:tcPr>
            <w:tcW w:type="dxa" w:w="1440"/>
          </w:tcPr>
          <w:p>
            <w:r>
              <w:t>704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2,189</w:t>
            </w:r>
          </w:p>
        </w:tc>
      </w:tr>
      <w:tr>
        <w:tc>
          <w:tcPr>
            <w:tcW w:type="dxa" w:w="1440"/>
          </w:tcPr>
          <w:p>
            <w:r>
              <w:t>Used equipment</w:t>
            </w:r>
          </w:p>
        </w:tc>
        <w:tc>
          <w:tcPr>
            <w:tcW w:type="dxa" w:w="1440"/>
          </w:tcPr>
          <w:p>
            <w:r>
              <w:t>310</w:t>
            </w:r>
          </w:p>
        </w:tc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409</w:t>
            </w:r>
          </w:p>
        </w:tc>
      </w:tr>
      <w:tr>
        <w:tc>
          <w:tcPr>
            <w:tcW w:type="dxa" w:w="1440"/>
          </w:tcPr>
          <w:p>
            <w:r>
              <w:t>Equipment rental</w:t>
            </w:r>
          </w:p>
        </w:tc>
        <w:tc>
          <w:tcPr>
            <w:tcW w:type="dxa" w:w="1440"/>
          </w:tcPr>
          <w:p>
            <w:r>
              <w:t>153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235</w:t>
            </w:r>
          </w:p>
        </w:tc>
      </w:tr>
      <w:tr>
        <w:tc>
          <w:tcPr>
            <w:tcW w:type="dxa" w:w="1440"/>
          </w:tcPr>
          <w:p>
            <w:r>
              <w:t>Product support</w:t>
            </w:r>
          </w:p>
        </w:tc>
        <w:tc>
          <w:tcPr>
            <w:tcW w:type="dxa" w:w="1440"/>
          </w:tcPr>
          <w:p>
            <w:r>
              <w:t>1,999</w:t>
            </w:r>
          </w:p>
        </w:tc>
        <w:tc>
          <w:tcPr>
            <w:tcW w:type="dxa" w:w="1440"/>
          </w:tcPr>
          <w:p>
            <w:r>
              <w:t>1,415</w:t>
            </w:r>
          </w:p>
        </w:tc>
        <w:tc>
          <w:tcPr>
            <w:tcW w:type="dxa" w:w="1440"/>
          </w:tcPr>
          <w:p>
            <w:r>
              <w:t>314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3,728</w:t>
            </w:r>
          </w:p>
        </w:tc>
      </w:tr>
      <w:tr>
        <w:tc>
          <w:tcPr>
            <w:tcW w:type="dxa" w:w="1440"/>
          </w:tcPr>
          <w:p>
            <w:r>
              <w:t>Fuel and other</w:t>
            </w:r>
          </w:p>
        </w:tc>
        <w:tc>
          <w:tcPr>
            <w:tcW w:type="dxa" w:w="1440"/>
          </w:tcPr>
          <w:p>
            <w:r>
              <w:t>733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733</w:t>
            </w:r>
          </w:p>
        </w:tc>
      </w:tr>
      <w:tr>
        <w:tc>
          <w:tcPr>
            <w:tcW w:type="dxa" w:w="1440"/>
          </w:tcPr>
          <w:p>
            <w:r>
              <w:t>Total revenue</w:t>
            </w:r>
          </w:p>
        </w:tc>
        <w:tc>
          <w:tcPr>
            <w:tcW w:type="dxa" w:w="1440"/>
          </w:tcPr>
          <w:p>
            <w:r>
              <w:t>3,969</w:t>
            </w:r>
          </w:p>
        </w:tc>
        <w:tc>
          <w:tcPr>
            <w:tcW w:type="dxa" w:w="1440"/>
          </w:tcPr>
          <w:p>
            <w:r>
              <w:t>2,214</w:t>
            </w:r>
          </w:p>
        </w:tc>
        <w:tc>
          <w:tcPr>
            <w:tcW w:type="dxa" w:w="1440"/>
          </w:tcPr>
          <w:p>
            <w:r>
              <w:t>1,111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7,294</w:t>
            </w:r>
          </w:p>
        </w:tc>
      </w:tr>
      <w:tr>
        <w:tc>
          <w:tcPr>
            <w:tcW w:type="dxa" w:w="1440"/>
          </w:tcPr>
          <w:p>
            <w:r>
              <w:t>Cost of fuel</w:t>
            </w:r>
          </w:p>
        </w:tc>
        <w:tc>
          <w:tcPr>
            <w:tcW w:type="dxa" w:w="1440"/>
          </w:tcPr>
          <w:p>
            <w:r>
              <w:t>(598)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(598)</w:t>
            </w:r>
          </w:p>
        </w:tc>
      </w:tr>
      <w:tr>
        <w:tc>
          <w:tcPr>
            <w:tcW w:type="dxa" w:w="1440"/>
          </w:tcPr>
          <w:p>
            <w:r>
              <w:t>Net revenue</w:t>
            </w:r>
          </w:p>
        </w:tc>
        <w:tc>
          <w:tcPr>
            <w:tcW w:type="dxa" w:w="1440"/>
          </w:tcPr>
          <w:p>
            <w:r>
              <w:t>3,371</w:t>
            </w:r>
          </w:p>
        </w:tc>
        <w:tc>
          <w:tcPr>
            <w:tcW w:type="dxa" w:w="1440"/>
          </w:tcPr>
          <w:p>
            <w:r>
              <w:t>2,214</w:t>
            </w:r>
          </w:p>
        </w:tc>
        <w:tc>
          <w:tcPr>
            <w:tcW w:type="dxa" w:w="1440"/>
          </w:tcPr>
          <w:p>
            <w:r>
              <w:t>1,111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6,696</w:t>
            </w:r>
          </w:p>
        </w:tc>
      </w:tr>
      <w:tr>
        <w:tc>
          <w:tcPr>
            <w:tcW w:type="dxa" w:w="1440"/>
          </w:tcPr>
          <w:p>
            <w:r>
              <w:t>Operating costs (1)</w:t>
            </w:r>
          </w:p>
        </w:tc>
        <w:tc>
          <w:tcPr>
            <w:tcW w:type="dxa" w:w="1440"/>
          </w:tcPr>
          <w:p>
            <w:r>
              <w:t>(2,865)</w:t>
            </w:r>
          </w:p>
        </w:tc>
        <w:tc>
          <w:tcPr>
            <w:tcW w:type="dxa" w:w="1440"/>
          </w:tcPr>
          <w:p>
            <w:r>
              <w:t>(1,921)</w:t>
            </w:r>
          </w:p>
        </w:tc>
        <w:tc>
          <w:tcPr>
            <w:tcW w:type="dxa" w:w="1440"/>
          </w:tcPr>
          <w:p>
            <w:r>
              <w:t>(1,017)</w:t>
            </w:r>
          </w:p>
        </w:tc>
        <w:tc>
          <w:tcPr>
            <w:tcW w:type="dxa" w:w="1440"/>
          </w:tcPr>
          <w:p>
            <w:r>
              <w:t>(39)</w:t>
            </w:r>
          </w:p>
        </w:tc>
        <w:tc>
          <w:tcPr>
            <w:tcW w:type="dxa" w:w="1440"/>
          </w:tcPr>
          <w:p>
            <w:r>
              <w:t>(5,842)</w:t>
            </w:r>
          </w:p>
        </w:tc>
      </w:tr>
      <w:tr>
        <w:tc>
          <w:tcPr>
            <w:tcW w:type="dxa" w:w="1440"/>
          </w:tcPr>
          <w:p>
            <w:r>
              <w:t>Depreciation and amortization</w:t>
            </w:r>
          </w:p>
        </w:tc>
        <w:tc>
          <w:tcPr>
            <w:tcW w:type="dxa" w:w="1440"/>
          </w:tcPr>
          <w:p>
            <w:r>
              <w:t>(191)</w:t>
            </w:r>
          </w:p>
        </w:tc>
        <w:tc>
          <w:tcPr>
            <w:tcW w:type="dxa" w:w="1440"/>
          </w:tcPr>
          <w:p>
            <w:r>
              <w:t>(84)</w:t>
            </w:r>
          </w:p>
        </w:tc>
        <w:tc>
          <w:tcPr>
            <w:tcW w:type="dxa" w:w="1440"/>
          </w:tcPr>
          <w:p>
            <w:r>
              <w:t>(41)</w:t>
            </w:r>
          </w:p>
        </w:tc>
        <w:tc>
          <w:tcPr>
            <w:tcW w:type="dxa" w:w="1440"/>
          </w:tcPr>
          <w:p>
            <w:r>
              <w:t>(3)</w:t>
            </w:r>
          </w:p>
        </w:tc>
        <w:tc>
          <w:tcPr>
            <w:tcW w:type="dxa" w:w="1440"/>
          </w:tcPr>
          <w:p>
            <w:r>
              <w:t>(319)</w:t>
            </w:r>
          </w:p>
        </w:tc>
      </w:tr>
      <w:tr>
        <w:tc>
          <w:tcPr>
            <w:tcW w:type="dxa" w:w="1440"/>
          </w:tcPr>
          <w:p>
            <w:r>
              <w:t>Equity earnings of joint ventures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Other income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15</w:t>
            </w:r>
          </w:p>
        </w:tc>
      </w:tr>
      <w:tr>
        <w:tc>
          <w:tcPr>
            <w:tcW w:type="dxa" w:w="1440"/>
          </w:tcPr>
          <w:p>
            <w:r>
              <w:t>Earnings (loss) before finance costs and income taxes</w:t>
            </w:r>
          </w:p>
        </w:tc>
        <w:tc>
          <w:tcPr>
            <w:tcW w:type="dxa" w:w="1440"/>
          </w:tcPr>
          <w:p>
            <w:r>
              <w:t>327</w:t>
            </w:r>
          </w:p>
        </w:tc>
        <w:tc>
          <w:tcPr>
            <w:tcW w:type="dxa" w:w="1440"/>
          </w:tcPr>
          <w:p>
            <w:r>
              <w:t>209</w:t>
            </w:r>
          </w:p>
        </w:tc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(37)</w:t>
            </w:r>
          </w:p>
        </w:tc>
        <w:tc>
          <w:tcPr>
            <w:tcW w:type="dxa" w:w="1440"/>
          </w:tcPr>
          <w:p>
            <w:r>
              <w:t>552</w:t>
            </w:r>
          </w:p>
        </w:tc>
      </w:tr>
      <w:tr>
        <w:tc>
          <w:tcPr>
            <w:tcW w:type="dxa" w:w="1440"/>
          </w:tcPr>
          <w:p>
            <w:r>
              <w:t>Finance costs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(75)</w:t>
            </w:r>
          </w:p>
        </w:tc>
      </w:tr>
      <w:tr>
        <w:tc>
          <w:tcPr>
            <w:tcW w:type="dxa" w:w="1440"/>
          </w:tcPr>
          <w:p>
            <w:r>
              <w:t>Provision for income taxes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(114)</w:t>
            </w:r>
          </w:p>
        </w:tc>
      </w:tr>
      <w:tr>
        <w:tc>
          <w:tcPr>
            <w:tcW w:type="dxa" w:w="7200"/>
            <w:gridSpan w:val="5"/>
          </w:tcPr>
          <w:p>
            <w:r>
              <w:t>Net income</w:t>
            </w:r>
          </w:p>
        </w:tc>
        <w:tc>
          <w:tcPr>
            <w:tcW w:type="dxa" w:w="1440"/>
          </w:tcPr>
          <w:p>
            <w:r>
              <w:t>363</w:t>
            </w:r>
          </w:p>
        </w:tc>
      </w:tr>
      <w:tr>
        <w:tc>
          <w:tcPr>
            <w:tcW w:type="dxa" w:w="1440"/>
          </w:tcPr>
          <w:p>
            <w:r>
              <w:t>Invested capital (2)</w:t>
            </w:r>
          </w:p>
        </w:tc>
        <w:tc>
          <w:tcPr>
            <w:tcW w:type="dxa" w:w="1440"/>
          </w:tcPr>
          <w:p>
            <w:r>
              <w:t>1,876</w:t>
            </w:r>
          </w:p>
        </w:tc>
        <w:tc>
          <w:tcPr>
            <w:tcW w:type="dxa" w:w="1440"/>
          </w:tcPr>
          <w:p>
            <w:r>
              <w:t>1,026</w:t>
            </w:r>
          </w:p>
        </w:tc>
        <w:tc>
          <w:tcPr>
            <w:tcW w:type="dxa" w:w="1440"/>
          </w:tcPr>
          <w:p>
            <w:r>
              <w:t>381</w:t>
            </w:r>
          </w:p>
        </w:tc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3,326</w:t>
            </w:r>
          </w:p>
        </w:tc>
      </w:tr>
      <w:tr>
        <w:tc>
          <w:tcPr>
            <w:tcW w:type="dxa" w:w="1440"/>
          </w:tcPr>
          <w:p>
            <w:r>
              <w:t>Gross capital expenditures (3)4)</w:t>
            </w:r>
          </w:p>
        </w:tc>
        <w:tc>
          <w:tcPr>
            <w:tcW w:type="dxa" w:w="1440"/>
          </w:tcPr>
          <w:p>
            <w:r>
              <w:t>106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202</w:t>
            </w:r>
          </w:p>
        </w:tc>
      </w:tr>
      <w:tr>
        <w:tc>
          <w:tcPr>
            <w:tcW w:type="dxa" w:w="1440"/>
          </w:tcPr>
          <w:p>
            <w:r>
              <w:t>Gross rental equipment spend (4)</w:t>
            </w:r>
          </w:p>
        </w:tc>
        <w:tc>
          <w:tcPr>
            <w:tcW w:type="dxa" w:w="1440"/>
          </w:tcPr>
          <w:p>
            <w:r>
              <w:t>171</w:t>
            </w:r>
          </w:p>
        </w:tc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229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Year ended December31.202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erating costs are calculated as cost ot sales less cost of fuel plus selling, general, and administrative expenses </w:t>
      </w:r>
      <w:r>
        <w:rPr>
          <w:sz w:val="20"/>
        </w:rPr>
        <w:t xml:space="preserve">preciation and amortization. </w:t>
      </w:r>
      <w:r>
        <w:rPr>
          <w:sz w:val="20"/>
        </w:rPr>
        <w:t xml:space="preserve">ested capital is calculated as total assets less total liabilities, excluding net debt.Net debt is calculated as short- </w:t>
      </w:r>
      <w:r>
        <w:rPr>
          <w:sz w:val="20"/>
        </w:rPr>
        <w:t xml:space="preserve">d long-term debt, net of cash and cash equivalents </w:t>
      </w:r>
      <w:r>
        <w:rPr>
          <w:sz w:val="20"/>
        </w:rPr>
        <w:t xml:space="preserve">pital includes property,plant, and equipment and intangible assets. </w:t>
      </w:r>
      <w:r>
        <w:rPr>
          <w:sz w:val="20"/>
        </w:rPr>
        <w:t xml:space="preserve">ludes leases and borrowing costs capitalized and excludes additions through business acquisitions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al revenue and non-current assets (5) by location of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Total revenue Year ended December 31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Non-current assets (5) at December 31</w:t>
            </w:r>
          </w:p>
        </w:tc>
      </w:tr>
      <w:tr>
        <w:tc>
          <w:tcPr>
            <w:tcW w:type="dxa" w:w="2160"/>
          </w:tcPr>
          <w:p>
            <w:r>
              <w:t>($millions)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>Canada</w:t>
            </w:r>
          </w:p>
        </w:tc>
        <w:tc>
          <w:tcPr>
            <w:tcW w:type="dxa" w:w="2160"/>
          </w:tcPr>
          <w:p>
            <w:r>
              <w:t>2022 5,044</w:t>
            </w:r>
          </w:p>
        </w:tc>
        <w:tc>
          <w:tcPr>
            <w:tcW w:type="dxa" w:w="2160"/>
          </w:tcPr>
          <w:p>
            <w:r>
              <w:t>3,860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</w:tr>
      <w:tr>
        <w:tc>
          <w:tcPr>
            <w:tcW w:type="dxa" w:w="216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2,216</w:t>
            </w:r>
          </w:p>
        </w:tc>
        <w:tc>
          <w:tcPr>
            <w:tcW w:type="dxa" w:w="2160"/>
          </w:tcPr>
          <w:p>
            <w:r>
              <w:t>1,873</w:t>
            </w:r>
          </w:p>
        </w:tc>
        <w:tc>
          <w:tcPr>
            <w:tcW w:type="dxa" w:w="2160"/>
          </w:tcPr>
          <w:p>
            <w:r>
              <w:t>1,495 364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1,219</w:t>
            </w:r>
          </w:p>
        </w:tc>
        <w:tc>
          <w:tcPr>
            <w:tcW w:type="dxa" w:w="2160"/>
          </w:tcPr>
          <w:p>
            <w:r>
              <w:t>996</w:t>
            </w:r>
          </w:p>
        </w:tc>
        <w:tc>
          <w:tcPr>
            <w:tcW w:type="dxa" w:w="2160"/>
          </w:tcPr>
          <w:p>
            <w:r>
              <w:t>281</w:t>
            </w:r>
          </w:p>
        </w:tc>
      </w:tr>
      <w:tr>
        <w:tc>
          <w:tcPr>
            <w:tcW w:type="dxa" w:w="2160"/>
          </w:tcPr>
          <w:p>
            <w:r>
              <w:t>United Kingdom Argentina</w:t>
            </w:r>
          </w:p>
        </w:tc>
        <w:tc>
          <w:tcPr>
            <w:tcW w:type="dxa" w:w="2160"/>
          </w:tcPr>
          <w:p>
            <w:r>
              <w:t>436</w:t>
            </w:r>
          </w:p>
        </w:tc>
        <w:tc>
          <w:tcPr>
            <w:tcW w:type="dxa" w:w="2160"/>
          </w:tcPr>
          <w:p>
            <w:r>
              <w:t>282</w:t>
            </w:r>
          </w:p>
        </w:tc>
        <w:tc>
          <w:tcPr>
            <w:tcW w:type="dxa" w:w="2160"/>
          </w:tcPr>
          <w:p>
            <w:r>
              <w:t>88</w:t>
            </w:r>
          </w:p>
        </w:tc>
      </w:tr>
      <w:tr>
        <w:tc>
          <w:tcPr>
            <w:tcW w:type="dxa" w:w="2160"/>
          </w:tcPr>
          <w:p>
            <w:r>
              <w:t>Other countries</w:t>
            </w:r>
          </w:p>
        </w:tc>
        <w:tc>
          <w:tcPr>
            <w:tcW w:type="dxa" w:w="2160"/>
          </w:tcPr>
          <w:p>
            <w:r>
              <w:t>364</w:t>
            </w:r>
          </w:p>
        </w:tc>
        <w:tc>
          <w:tcPr>
            <w:tcW w:type="dxa" w:w="2160"/>
          </w:tcPr>
          <w:p>
            <w:r>
              <w:t>283</w:t>
            </w:r>
          </w:p>
        </w:tc>
        <w:tc>
          <w:tcPr>
            <w:tcW w:type="dxa" w:w="2160"/>
          </w:tcPr>
          <w:p>
            <w:r>
              <w:t>105</w:t>
            </w:r>
          </w:p>
        </w:tc>
      </w:tr>
    </w:tbl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