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Composition ofbusiness segments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Veglth. </w:t>
      </w:r>
      <w:r>
        <w:rPr>
          <w:sz w:val="20"/>
        </w:rPr>
        <w:t xml:space="preserve">Insur </w:t>
      </w:r>
    </w:p>
    <w:p>
      <w:pPr>
        <w:ind w:firstLine="360"/>
      </w:pPr>
      <w:r>
        <w:rPr>
          <w:sz w:val="20"/>
        </w:rPr>
        <w:t xml:space="preserve">Personal &amp; Commercial Banking provides a broad suite of financial products and services to individuals and businesses for their </w:t>
      </w:r>
      <w:r>
        <w:rPr>
          <w:sz w:val="20"/>
        </w:rPr>
        <w:t xml:space="preserve">day-to-day banking,investing and financing needs through two businesses:Canadian Banking and Caribbean &amp; U.S.Banking.In </w:t>
      </w:r>
      <w:r>
        <w:rPr>
          <w:sz w:val="20"/>
        </w:rPr>
        <w:t xml:space="preserve">Canada,we provide a broad suite offinancial products and services through our large branch network, automated teller </w:t>
      </w:r>
      <w:r>
        <w:rPr>
          <w:sz w:val="20"/>
        </w:rPr>
        <w:t xml:space="preserve">machines, and mobile sales network.In the Caribbean and the U.S.,we offer a broad range of financial products and services in </w:t>
      </w:r>
      <w:r>
        <w:rPr>
          <w:sz w:val="20"/>
        </w:rPr>
        <w:t xml:space="preserve">targeted markets.Non-interest income in Personal &amp; Commercial Banking mainly comprises Service charges, Mutual fund </w:t>
      </w:r>
      <w:r>
        <w:rPr>
          <w:sz w:val="20"/>
        </w:rPr>
        <w:t xml:space="preserve">revenue and Card service revenue. </w:t>
      </w:r>
    </w:p>
    <w:p>
      <w:pPr>
        <w:ind w:firstLine="360"/>
      </w:pPr>
      <w:r>
        <w:rPr>
          <w:sz w:val="20"/>
        </w:rPr>
        <w:t xml:space="preserve">ealth Management serves high net worth and ultra-high net worth individua and institutiona clients with aco </w:t>
      </w:r>
      <w:r>
        <w:rPr>
          <w:sz w:val="20"/>
        </w:rPr>
        <w:t xml:space="preserve">ite of advice-based solutions and strategies to help them achieve their financial goals through our lines of bu </w:t>
      </w:r>
      <w:r>
        <w:rPr>
          <w:sz w:val="20"/>
        </w:rPr>
        <w:t xml:space="preserve">nada,the U.S., the U.K., Europe and Asia,including Canadian Wealth Management,U.S.Wealth Management </w:t>
      </w:r>
      <w:r>
        <w:rPr>
          <w:sz w:val="20"/>
        </w:rPr>
        <w:t xml:space="preserve">tional),Global Asset Management, and International Wealth Management.Non-interestincome in Wealth Mo </w:t>
      </w:r>
      <w:r>
        <w:rPr>
          <w:sz w:val="20"/>
        </w:rPr>
        <w:t xml:space="preserve">mprises Investment management and custodial fees, Mutual fund revenue and Securities brokerage commiss </w:t>
      </w:r>
    </w:p>
    <w:p>
      <w:pPr>
        <w:ind w:firstLine="360"/>
      </w:pPr>
      <w:r>
        <w:rPr>
          <w:sz w:val="20"/>
        </w:rPr>
        <w:t xml:space="preserve">Insurance has operations in Canada and globally,operating under two business lines:Canadian Insurance and </w:t>
      </w:r>
      <w:r>
        <w:rPr>
          <w:sz w:val="20"/>
        </w:rPr>
        <w:t xml:space="preserve">International Insurance, providing a wide range of advice and solutions for individual and business clients including life,health </w:t>
      </w:r>
      <w:r>
        <w:rPr>
          <w:sz w:val="20"/>
        </w:rPr>
        <w:t xml:space="preserve">wealth,home,auto,travel, annuities and reinsurance.In Canada, we offer our products and services through a wide variety of </w:t>
      </w:r>
      <w:r>
        <w:rPr>
          <w:sz w:val="20"/>
        </w:rPr>
        <w:t xml:space="preserve">channels,comprised of mobile advisors, advice centres,RBc Insurance stores, and digital platforms as well as through </w:t>
      </w:r>
      <w:r>
        <w:rPr>
          <w:sz w:val="20"/>
        </w:rPr>
        <w:t xml:space="preserve">independent brokers and partners.Outside Canada,we operate in reinsurance and retrocession markets globally offering life </w:t>
      </w:r>
      <w:r>
        <w:rPr>
          <w:sz w:val="20"/>
        </w:rPr>
        <w:t xml:space="preserve">disability and longevity reinsurance products.Non-interest income in Insurance comprises Insurance premiums,investment and </w:t>
      </w:r>
      <w:r>
        <w:rPr>
          <w:sz w:val="20"/>
        </w:rPr>
        <w:t xml:space="preserve">fee income. </w:t>
      </w:r>
    </w:p>
    <w:p>
      <w:pPr>
        <w:ind w:firstLine="360"/>
      </w:pPr>
      <w:r>
        <w:rPr>
          <w:sz w:val="20"/>
        </w:rPr>
        <w:t xml:space="preserve">Investor &amp; Treasury Services offers custody,fund administration,shareholder services,private capitalservices,middle office </w:t>
      </w:r>
      <w:r>
        <w:rPr>
          <w:sz w:val="20"/>
        </w:rPr>
        <w:t xml:space="preserve">transaction banking (including trade finance,insourced solutions and services to broker dealers),and treasury and market </w:t>
      </w:r>
      <w:r>
        <w:rPr>
          <w:sz w:val="20"/>
        </w:rPr>
        <w:t xml:space="preserve">services (including cash/liquidity management,foreign exchange and securities finance).Non-interest income in Investor &amp; </w:t>
      </w:r>
      <w:r>
        <w:rPr>
          <w:sz w:val="20"/>
        </w:rPr>
        <w:t xml:space="preserve">Treasury Services mainly comprises Investment management and custodial fees, and Foreign exchange revenue,other than </w:t>
      </w:r>
      <w:r>
        <w:rPr>
          <w:sz w:val="20"/>
        </w:rPr>
        <w:t xml:space="preserve">trading. </w:t>
      </w:r>
    </w:p>
    <w:p>
      <w:pPr>
        <w:ind w:firstLine="360"/>
      </w:pPr>
      <w:r>
        <w:rPr>
          <w:sz w:val="20"/>
        </w:rPr>
        <w:t xml:space="preserve">Capital Markets provides expertise in advisory &amp; origination,sales &amp; trading, and lending &amp; financing to corporations, </w:t>
      </w:r>
      <w:r>
        <w:rPr>
          <w:sz w:val="20"/>
        </w:rPr>
        <w:t xml:space="preserve">institutional clients,asset managers,private equity firms and governments globally in our two main business lines:Corporate &amp; </w:t>
      </w:r>
      <w:r>
        <w:rPr>
          <w:sz w:val="20"/>
        </w:rPr>
        <w:t xml:space="preserve">Investment Banking and Global Markets.In North America, we offer a full suite of products and services which include equity and </w:t>
      </w:r>
      <w:r>
        <w:rPr>
          <w:sz w:val="20"/>
        </w:rPr>
        <w:t xml:space="preserve">debt origination and distribution, advisory services, and sales &amp; trading.Outside North America, we have a targeted strategic </w:t>
      </w:r>
      <w:r>
        <w:rPr>
          <w:sz w:val="20"/>
        </w:rPr>
        <w:t xml:space="preserve">presence in the U.K.&amp; Europe,Australia,Asia &amp; other markets aligned to our globa expertise.In the U.K.&amp; Europe,we offer a </w:t>
      </w:r>
      <w:r>
        <w:rPr>
          <w:sz w:val="20"/>
        </w:rPr>
        <w:t xml:space="preserve">diversified set of capabilities in key industry sectors of focus.In Australia and Asia, we compete with global and regional </w:t>
      </w:r>
      <w:r>
        <w:rPr>
          <w:sz w:val="20"/>
        </w:rPr>
        <w:t xml:space="preserve">investment banks in targeted areas aligned to our global expertise,including fixed income distribution and currencies trading, </w:t>
      </w:r>
      <w:r>
        <w:rPr>
          <w:sz w:val="20"/>
        </w:rPr>
        <w:t xml:space="preserve">secured financing,as well as corporate and investment banking.Non-interest income in Capital Markets mainly includes Trading </w:t>
      </w:r>
      <w:r>
        <w:rPr>
          <w:sz w:val="20"/>
        </w:rPr>
        <w:t xml:space="preserve">revenue,Underwriting and other advisory fees andCredit fees. </w:t>
      </w:r>
    </w:p>
    <w:p>
      <w:pPr>
        <w:ind w:firstLine="360"/>
      </w:pPr>
      <w:r>
        <w:rPr>
          <w:sz w:val="20"/>
        </w:rPr>
        <w:t xml:space="preserve">All other enterprise level activities that are not allocated to these five business segments,such as certain treasury and liquidity </w:t>
      </w:r>
      <w:r>
        <w:rPr>
          <w:sz w:val="20"/>
        </w:rPr>
        <w:t xml:space="preserve">management activities,including amounts associated with unattributed capital, and consolidation adjustments,including the </w:t>
      </w:r>
      <w:r>
        <w:rPr>
          <w:sz w:val="20"/>
        </w:rPr>
        <w:t xml:space="preserve">elimination of the Taxable equivalent basis (Teb gross-up amounts, are included in Corporate Support.Teb adjustments gross </w:t>
      </w:r>
      <w:r>
        <w:rPr>
          <w:sz w:val="20"/>
        </w:rPr>
        <w:t xml:space="preserve">up income from certain tax-advantaged sources from Canadian taxable corporate dividends and U.s.tax credit investments </w:t>
      </w:r>
      <w:r>
        <w:rPr>
          <w:sz w:val="20"/>
        </w:rPr>
        <w:t xml:space="preserve">recorded in Capital Markets to their effective tax equivalent value with the corresponding offset recorded in the provision for </w:t>
      </w:r>
      <w:r>
        <w:rPr>
          <w:sz w:val="20"/>
        </w:rPr>
        <w:t xml:space="preserve">income taxes.Management believes that these Teb adjustments are necessary for Capital Markets to reflect how it is managed </w:t>
      </w:r>
      <w:r>
        <w:rPr>
          <w:sz w:val="20"/>
        </w:rPr>
        <w:t xml:space="preserve">and enhances the comparability of revenue across our taxable and tax-advantaged sources.Our use of Teb adjustments may nol </w:t>
      </w:r>
      <w:r>
        <w:rPr>
          <w:sz w:val="20"/>
        </w:rPr>
        <w:t xml:space="preserve">be comparable to similarly adjusted amounts at other financial institutions.The Teb adjustment for the year ended October31, </w:t>
      </w:r>
      <w:r>
        <w:rPr>
          <w:sz w:val="20"/>
        </w:rPr>
        <w:t xml:space="preserve">2022 was$572 million October 31,2021-$518 million).Gains losses on economic hedges of our U.S.Wealth Management </w:t>
      </w:r>
      <w:r>
        <w:rPr>
          <w:sz w:val="20"/>
        </w:rPr>
        <w:t xml:space="preserve">(including City National) share-based compensation plans,which are reflected in revenue,and related variability in share-based </w:t>
      </w:r>
      <w:r>
        <w:rPr>
          <w:sz w:val="20"/>
        </w:rPr>
        <w:t xml:space="preserve">compensation expense driven by changes in the fair value of liabilities relating to these plans are also included in Corporate </w:t>
      </w:r>
      <w:r>
        <w:rPr>
          <w:sz w:val="20"/>
        </w:rPr>
        <w:t xml:space="preserve">Support as this presentation more closely aligns with how we view business performance and manage the underlying risks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Geographic segments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oorting,our segments are grouped into Canada, the U.S.and Other International.Transactions are primarily </w:t>
      </w:r>
      <w:r>
        <w:rPr>
          <w:sz w:val="20"/>
        </w:rPr>
        <w:t xml:space="preserve">cation that best reflects the risk due to negative changes in economic conditions and prospects for growth du </w:t>
      </w:r>
      <w:r>
        <w:rPr>
          <w:sz w:val="20"/>
        </w:rPr>
        <w:t xml:space="preserve">mic changes.This location frequently corresponds with the location of the legal entity through which the </w:t>
      </w:r>
      <w:r>
        <w:rPr>
          <w:sz w:val="20"/>
        </w:rPr>
        <w:t xml:space="preserve">cted and the location of our clients.Transactions are recorded in the local currency and are subject to foreigr </w:t>
      </w:r>
      <w:r>
        <w:rPr>
          <w:sz w:val="20"/>
        </w:rPr>
        <w:t xml:space="preserve">tuations with respect to the movement in the Canadian dollar.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Management reporting framework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Our management reporting framework is intended to measure the performance of each business segment as if it were a stand </w:t>
      </w:r>
      <w:r>
        <w:rPr>
          <w:sz w:val="20"/>
        </w:rPr>
        <w:t xml:space="preserve">alone business and reflects the way that the business segment is managed.This approach is intended to ensure that our </w:t>
      </w:r>
      <w:r>
        <w:rPr>
          <w:sz w:val="20"/>
        </w:rPr>
        <w:t xml:space="preserve">business segments'results include all applicable revenue and expenses associated with the conduct of their business and </w:t>
      </w:r>
      <w:r>
        <w:rPr>
          <w:sz w:val="20"/>
        </w:rPr>
        <w:t xml:space="preserve">depicts how management views those results.We regularly monitor these segment results for the purpose of making decisions </w:t>
      </w:r>
      <w:r>
        <w:rPr>
          <w:sz w:val="20"/>
        </w:rPr>
        <w:t xml:space="preserve">about resource allocation and performance assessment.These items do not impact our consolidated results.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The expenses in each business segment may include costs or services directly incurred or provided on thei </w:t>
      </w:r>
      <w:r>
        <w:rPr>
          <w:sz w:val="20"/>
        </w:rPr>
        <w:t xml:space="preserve">terprise level.For other costs not directly attributable to one of our business segments, we use a managemer </w:t>
      </w:r>
      <w:r>
        <w:rPr>
          <w:sz w:val="20"/>
        </w:rPr>
        <w:t xml:space="preserve">mework that uses assumptions and methodologies for allocating overhead costs and indirect expenses to ou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